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F3A37"/>
          <w:sz w:val="64"/>
          <w:szCs w:val="64"/>
        </w:rPr>
        <w:t xml:space="preserve">NexGenIQ</w:t>
      </w:r>
    </w:p>
    <w:p>
      <w:pPr>
        <w:spacing w:before="120"/>
        <w:jc w:val="center"/>
      </w:pPr>
      <w:r>
        <w:rPr>
          <w:color w:val="3D6B4E"/>
          <w:sz w:val="24"/>
          <w:szCs w:val="24"/>
        </w:rPr>
        <w:t xml:space="preserve">Selection Index &amp; Herd-Simulation Platform for Beef Cattle</w:t>
      </w:r>
    </w:p>
    <w:p>
      <w:pPr>
        <w:spacing w:before="700"/>
        <w:jc w:val="center"/>
      </w:pPr>
      <w:r>
        <w:rPr>
          <w:b/>
          <w:bCs/>
          <w:sz w:val="30"/>
          <w:szCs w:val="30"/>
        </w:rPr>
        <w:t xml:space="preserve">PHASE 3.5 DELIVERABLE</w:t>
      </w:r>
    </w:p>
    <w:p>
      <w:pPr>
        <w:spacing w:before="120"/>
        <w:jc w:val="center"/>
      </w:pPr>
      <w:r>
        <w:rPr>
          <w:color w:val="444444"/>
          <w:sz w:val="26"/>
          <w:szCs w:val="26"/>
        </w:rPr>
        <w:t xml:space="preserve">UI / UX Design Specification</w:t>
      </w:r>
    </w:p>
    <w:p>
      <w:pPr>
        <w:spacing w:before="120"/>
        <w:jc w:val="center"/>
      </w:pPr>
      <w:r>
        <w:rPr>
          <w:color w:val="666666"/>
          <w:sz w:val="21"/>
          <w:szCs w:val="21"/>
        </w:rPr>
        <w:t xml:space="preserve">Visual System  ·  Help Architecture  ·  Troubleshooting  ·  Index Builder Screens</w:t>
      </w:r>
    </w:p>
    <w:p>
      <w:pPr>
        <w:spacing w:before="1200"/>
        <w:jc w:val="center"/>
      </w:pPr>
      <w:r>
        <w:rPr>
          <w:sz w:val="22"/>
          <w:szCs w:val="22"/>
        </w:rPr>
        <w:t xml:space="preserve">Prepared for: Chase Markel, University of Wyoming</w:t>
      </w:r>
    </w:p>
    <w:p>
      <w:pPr>
        <w:spacing w:before="80"/>
        <w:jc w:val="center"/>
      </w:pPr>
      <w:r>
        <w:rPr>
          <w:color w:val="666666"/>
          <w:sz w:val="22"/>
          <w:szCs w:val="22"/>
        </w:rPr>
        <w:t xml:space="preserve">PhD Research — Cattle Decision Making   ·   May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Design Premise</w:t>
      </w:r>
    </w:p>
    <w:p>
      <w:pPr>
        <w:spacing w:after="160" w:line="276"/>
      </w:pPr>
      <w:r>
        <w:t xml:space="preserve">This document is the UI/UX design specification for </w:t>
      </w:r>
      <w:r>
        <w:rPr>
          <w:b/>
          <w:bCs/>
        </w:rPr>
        <w:t xml:space="preserve">NexGenIQ</w:t>
      </w:r>
      <w:r>
        <w:t xml:space="preserve"> (working name). It sits between the Phase 3 technical specification and the Phase 4 build, and it governs how the application looks, behaves, and explains itself. The visual mockup will be built to match this document.</w:t>
      </w:r>
    </w:p>
    <w:p>
      <w:pPr>
        <w:spacing w:after="160" w:line="276"/>
      </w:pPr>
      <w:r>
        <w:t xml:space="preserve">The premise is non-negotiable and stated plainly because it drives every decision that follows: </w:t>
      </w:r>
      <w:r>
        <w:rPr>
          <w:b/>
          <w:bCs/>
        </w:rPr>
        <w:t xml:space="preserve">the user interface is the reason NexGenIQ exists.</w:t>
      </w:r>
      <w:r>
        <w:t xml:space="preserve"> The computational engines must be correct — that is the floor — but every comparable tool surveyed in Phase 2 is, in plain terms, hard to use. iGenDec is so demanding it requires a trained facilitator; breed-association calculators are dated and single-purpose; quantitative-genetics suites are command-line software for specialists. NexGenIQ's contribution is to make rigorous selection-index and herd-simulation methods usable by anyone, regardless of background, without sacrificing any of the rigour.</w:t>
      </w:r>
    </w:p>
    <w:p>
      <w:pPr>
        <w:pStyle w:val="Heading2"/>
      </w:pPr>
      <w:r>
        <w:t xml:space="preserve">0.1 The four design principles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Radically intuitive.</w:t>
      </w:r>
      <w:r>
        <w:t xml:space="preserve"> A first-time user with no quantitative-genetics training can complete a real task — rank a set of bulls for their operation — without instruction. The interface teaches as it is used. This directly replaces iGenDec's facilitator model.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Explain everything, in context.</w:t>
      </w:r>
      <w:r>
        <w:t xml:space="preserve"> Every field, button, toggle, and output carries a clear, plain-language explanation of exactly what it does and why it matters — available at the point of use, not buried in a manual. A user never has to guess.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Sleek, modern, expensive — without ever trading away clarity.</w:t>
      </w:r>
      <w:r>
        <w:t xml:space="preserve"> NexGenIQ should look like a premium instrument. But polish is in service of clarity: high contrast, clear hierarchy, and generous space make the interface both beautiful and easier to read. Decoration that costs comprehension is rejected.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Trustworthy.</w:t>
      </w:r>
      <w:r>
        <w:t xml:space="preserve"> This software informs real breeding and financial decisions. The interface must always make the state of a result legible — is it valid, is it uncertain, what assumptions stand behind it — never hiding doubt behind a clean surface.</w:t>
      </w:r>
    </w:p>
    <w:p>
      <w:pPr>
        <w:pStyle w:val="Heading2"/>
      </w:pPr>
      <w:r>
        <w:t xml:space="preserve">0.2 Confirmed design decisions</w:t>
      </w:r>
    </w:p>
    <w:p>
      <w:pPr>
        <w:spacing w:after="160" w:line="276"/>
      </w:pPr>
      <w:r>
        <w:t xml:space="preserve">The following were agreed with the stakeholder and are fixed inputs to this specification: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Name:</w:t>
      </w:r>
      <w:r>
        <w:t xml:space="preserve"> NexGenIQ (working; may change).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Visual personality:</w:t>
      </w:r>
      <w:r>
        <w:t xml:space="preserve"> calm scientific / clinical — generous whitespace, restrained palette, crisp typography; a precise, trustworthy instrument.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Color direction:</w:t>
      </w:r>
      <w:r>
        <w:t xml:space="preserve"> Graphite + Sage — a near-black graphite structural anchor with a muted sage-green accent (Section 1.1).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Help model:</w:t>
      </w:r>
      <w:r>
        <w:t xml:space="preserve"> layered — quick tooltips on everything, an always-available context panel for deeper 'what &amp; why', and a linked glossary (Section 3).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 dedicated troubleshooting page</w:t>
      </w:r>
      <w:r>
        <w:t xml:space="preserve"> is in scope (Section 5).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First flow designed in depth:</w:t>
      </w:r>
      <w:r>
        <w:t xml:space="preserve"> the Index Builder, end to end (Section 4).</w:t>
      </w:r>
    </w:p>
    <w:p>
      <w:r>
        <w:br w:type="page"/>
      </w:r>
    </w:p>
    <w:p>
      <w:pPr>
        <w:pStyle w:val="Heading1"/>
      </w:pPr>
      <w:r>
        <w:t xml:space="preserve">Part 1 — Visual System</w:t>
      </w:r>
    </w:p>
    <w:p>
      <w:pPr>
        <w:pStyle w:val="Heading2"/>
      </w:pPr>
      <w:r>
        <w:t xml:space="preserve">1.1 Color Palette</w:t>
      </w:r>
    </w:p>
    <w:p>
      <w:pPr>
        <w:spacing w:after="160" w:line="276"/>
      </w:pPr>
      <w:r>
        <w:t xml:space="preserve">The palette is </w:t>
      </w:r>
      <w:r>
        <w:rPr>
          <w:b/>
          <w:bCs/>
        </w:rPr>
        <w:t xml:space="preserve">Graphite + Sage</w:t>
      </w:r>
      <w:r>
        <w:t xml:space="preserve">: a near-black graphite that anchors structure and typography, a muted sage green that signals action and life, and a family of warm neutrals that carry the generous whitespace the calm-scientific personality depends on. Color is used sparingly and always meaningfully — sage means 'this is interactive or this is the result', neutrals mean 'this is structure', and a small reserved set of semantic colors means 'pay attention: this is good / caution / wrong'.</w:t>
      </w:r>
    </w:p>
    <w:p>
      <w:pPr>
        <w:pStyle w:val="Heading3"/>
      </w:pPr>
      <w:r>
        <w:t xml:space="preserve">1.1.1 Core 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F3A37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Graphite 900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#2F3A37 — headings, primary text, top bar</w:t>
            </w:r>
          </w:p>
        </w:tc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4A534F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Graphite 700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#4A534F — secondary text</w:t>
            </w:r>
          </w:p>
        </w:tc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8A918D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Graphite 400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#8A918D — hints, placeholder, disabled</w:t>
            </w:r>
          </w:p>
        </w:tc>
      </w:tr>
      <w:tr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64231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Sage 900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#264231 — text on sage fills, pressed</w:t>
            </w:r>
          </w:p>
        </w:tc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3D6B4E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Sage 600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#3D6B4E — primary buttons, links, focus</w:t>
            </w:r>
          </w:p>
        </w:tc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7D9A82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Sage 300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#7D9A82 — charts, secondary accent</w:t>
            </w:r>
          </w:p>
        </w:tc>
      </w:tr>
      <w:tr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7EFE7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Sage 50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#E7EFE7 — selected rows, sage badges, tints</w:t>
            </w:r>
          </w:p>
        </w:tc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BFBF9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Canvas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#FBFBF9 — app background (warm off-white)</w:t>
            </w:r>
          </w:p>
        </w:tc>
        <w:tc>
          <w:tcPr>
            <w:tcW w:type="dxa" w:w="312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FFF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  <w:ind w:left="90"/>
            </w:pPr>
            <w:r>
              <w:rPr>
                <w:b/>
                <w:bCs/>
                <w:sz w:val="18"/>
                <w:szCs w:val="18"/>
              </w:rPr>
              <w:t xml:space="preserve">Surface</w:t>
            </w:r>
          </w:p>
          <w:p>
            <w:pPr>
              <w:spacing w:after="40" w:before="0"/>
              <w:ind w:left="90"/>
            </w:pPr>
            <w:r>
              <w:rPr>
                <w:color w:val="666666"/>
                <w:sz w:val="16"/>
                <w:szCs w:val="16"/>
              </w:rPr>
              <w:t xml:space="preserve">#FFFFFF — cards, panels, inputs</w:t>
            </w:r>
          </w:p>
        </w:tc>
      </w:tr>
    </w:tbl>
    <w:p>
      <w:pPr>
        <w:spacing w:after="60" w:line="276"/>
      </w:pPr>
      <w:r>
        <w:t xml:space="preserve">Neutrals are deliberately warm (a hint of green-grey, not blue-grey) so the off-white canvas feels considered rather than cold. Borders are a single hairline token, </w:t>
      </w:r>
      <w:r>
        <w:rPr>
          <w:rFonts w:ascii="Consolas" w:cs="Consolas" w:eastAsia="Consolas" w:hAnsi="Consolas"/>
          <w:sz w:val="21"/>
          <w:szCs w:val="21"/>
        </w:rPr>
        <w:t xml:space="preserve">#E3E5E0</w:t>
      </w:r>
      <w:r>
        <w:t xml:space="preserve">, at roughly 0.5px weight — visible enough to separate, quiet enough to disappear.</w:t>
      </w:r>
    </w:p>
    <w:p>
      <w:pPr>
        <w:pStyle w:val="Heading3"/>
      </w:pPr>
      <w:r>
        <w:t xml:space="preserve">1.1.2 Semantic colors</w:t>
      </w:r>
    </w:p>
    <w:p>
      <w:pPr>
        <w:spacing w:after="160" w:line="276"/>
      </w:pPr>
      <w:r>
        <w:t xml:space="preserve">A reserved set, used only for state — never decoration. They appear in the validation system (Section 5), inline messages, and status badges.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Fill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 / icon</w:t>
            </w:r>
          </w:p>
        </w:tc>
        <w:tc>
          <w:tcPr>
            <w:tcW w:type="dxa" w:w="36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 / valid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#E7EFE7 (sage 50)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#264231</w:t>
            </w:r>
          </w:p>
        </w:tc>
        <w:tc>
          <w:tcPr>
            <w:tcW w:type="dxa" w:w="36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run completed, a value validates, a top-percentile badge.</w:t>
            </w:r>
          </w:p>
        </w:tc>
      </w:tr>
      <w:tr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Caution / WARN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#FBEECF (warm amber)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#7A4F0B</w:t>
            </w:r>
          </w:p>
        </w:tc>
        <w:tc>
          <w:tcPr>
            <w:tcW w:type="dxa" w:w="36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result proceeds but is flagged — partial data, low accuracy, high Monte-Carlo error.</w:t>
            </w:r>
          </w:p>
        </w:tc>
      </w:tr>
      <w:tr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/ ERROR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#F6E4E2 (muted clay)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#7A2A22</w:t>
            </w:r>
          </w:p>
        </w:tc>
        <w:tc>
          <w:tcPr>
            <w:tcW w:type="dxa" w:w="36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run is blocked — non-PD matrix, missing units, cross-evaluation mismatch.</w:t>
            </w:r>
          </w:p>
        </w:tc>
      </w:tr>
      <w:tr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Information / INFO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#E7ECEF (cool slate)</w:t>
            </w:r>
          </w:p>
        </w:tc>
        <w:tc>
          <w:tcPr>
            <w:tcW w:type="dxa" w:w="19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#27465A</w:t>
            </w:r>
          </w:p>
        </w:tc>
        <w:tc>
          <w:tcPr>
            <w:tcW w:type="dxa" w:w="36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Advisory notes — a degenerate goal, a redundant trait, a tip.</w:t>
            </w:r>
          </w:p>
        </w:tc>
      </w:tr>
    </w:tbl>
    <w:p>
      <w:pPr>
        <w:pBdr>
          <w:left w:val="single" w:color="3D6B4E" w:sz="18" w:space="12"/>
        </w:pBdr>
        <w:spacing w:after="160" w:before="80" w:line="276"/>
        <w:ind w:left="360"/>
      </w:pPr>
      <w:r>
        <w:rPr>
          <w:i/>
          <w:iCs/>
          <w:sz w:val="21"/>
          <w:szCs w:val="21"/>
        </w:rPr>
        <w:t xml:space="preserve">Accessibility: every semantic state is conveyed by an icon and a text label as well as color, never by color alone (WCAG 2.2 AA). All text/background pairs in this palette meet at least 4.5:1 contrast; the graphite-on-canvas body pairing exceeds 12:1. A full dark mode is a v1.x deliverable; the palette was chosen so each token has a defined dark-mode counterpart, but the MVP ships light mode only.</w:t>
      </w:r>
    </w:p>
    <w:p>
      <w:pPr>
        <w:pStyle w:val="Heading2"/>
      </w:pPr>
      <w:r>
        <w:t xml:space="preserve">1.2 Typography</w:t>
      </w:r>
    </w:p>
    <w:p>
      <w:pPr>
        <w:spacing w:after="160" w:line="276"/>
      </w:pPr>
      <w:r>
        <w:t xml:space="preserve">One typeface family does all the work, in a tight set of sizes and just two weights, because restraint is what makes an interface feel calm and expensive.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Typeface:</w:t>
      </w:r>
      <w:r>
        <w:t xml:space="preserve"> Inter (or a near-equivalent humanist sans) for all UI and body text — highly legible at small sizes, neutral, professional. A monospace face (JetBrains Mono or similar) is used only for numeric data in tables, EPD values, and matrix editors, so columns of numbers align and read precisely.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Weights:</w:t>
      </w:r>
      <w:r>
        <w:t xml:space="preserve"> Regular (400) for body and data; Medium (500) for headings, labels, and buttons. No light, no bold-heavy — two weights keep the page quiet.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Type scale (px):</w:t>
      </w:r>
      <w:r>
        <w:t xml:space="preserve"> Display 28 / Page title 22 / Section 18 / Subsection 16 / Body 15 / Label &amp; secondary 13 / Caption &amp; hint 12. Line height 1.6 for body, 1.3 for headings.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Case:</w:t>
      </w:r>
      <w:r>
        <w:t xml:space="preserve"> sentence case everywhere — headings, labels, buttons, table headers. Never title case, never all-caps. All-caps is reserved for nothing; even small labels stay sentence case for a calm, modern read.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Numbers:</w:t>
      </w:r>
      <w:r>
        <w:t xml:space="preserve"> tabular (monospaced) figures for any column or list of numbers so digits align vertically; this matters across EPD tables, rankings, and the matrix editor.</w:t>
      </w:r>
    </w:p>
    <w:p>
      <w:pPr>
        <w:pStyle w:val="Heading2"/>
      </w:pPr>
      <w:r>
        <w:t xml:space="preserve">1.3 Layout, Spacing, and Grid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Spacing scale:</w:t>
      </w:r>
      <w:r>
        <w:t xml:space="preserve"> a strict 8px base scale — 4, 8, 12, 16, 24, 32, 48, 64. Nothing is spaced off-scale. Consistent rhythm is most of what makes a layout feel designed.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App frame:</w:t>
      </w:r>
      <w:r>
        <w:t xml:space="preserve"> a fixed left navigation rail (collapsible to icons), a slim top bar (workspace context, search, account, help), and a flexible main canvas. An optional right-hand context panel slides in for help (Section 3.2) without displacing the main content.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Content width:</w:t>
      </w:r>
      <w:r>
        <w:t xml:space="preserve"> the main canvas centers content at a comfortable measure (max ~1100px for forms and reading, full-bleed for wide data tables) so screens never feel sparse on large monitors or cramped on laptops.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Card-based surfaces:</w:t>
      </w:r>
      <w:r>
        <w:t xml:space="preserve"> white cards on the warm canvas group related controls. Cards use a 12px corner radius, the hairline border, and generous internal padding (24px). No drop shadows in the resting state — separation comes from the border and the canvas tint, which keeps the surface flat and modern. A subtle shadow appears only on elements that are genuinely floating (menus, the help panel, modals).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Corner radius:</w:t>
      </w:r>
      <w:r>
        <w:t xml:space="preserve"> 8px for inputs and buttons, 12px for cards, 16px for modals. Single-sided accent borders (e.g., a left border on an alert) keep square corners.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Density:</w:t>
      </w:r>
      <w:r>
        <w:t xml:space="preserve"> comfortable by default, with a compact toggle for data-heavy screens (large ranking tables, the matrix editor) so researchers can see more rows without the interface feeling cramped for a first-time producer.</w:t>
      </w:r>
    </w:p>
    <w:p>
      <w:pPr>
        <w:pStyle w:val="Heading2"/>
      </w:pPr>
      <w:r>
        <w:t xml:space="preserve">1.4 Components</w:t>
      </w:r>
    </w:p>
    <w:p>
      <w:pPr>
        <w:spacing w:after="160" w:line="276"/>
      </w:pPr>
      <w:r>
        <w:t xml:space="preserve">A small, consistent component library. Every component has defined resting, hover, focus, active, disabled, error, and loading states; only the essentials are described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Behaviour and design notes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Solid sage fill, white text, 8px radius, medium weight. One primary action per screen region. Shows an inline spinner and disables itself while a request is in flight.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 fill, graphite text, hairline border. For non-committal actions (cancel, back, secondary export).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/ quiet button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fill or border; sage text. For tertiary actions (clear, reset, 'learn more').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input / number input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 fill, hairline border, 8px radius, 40px tall. Sage focus ring (2px). Number inputs use the monospace face and right-align digits. A unit suffix (lb, in, %) sits inside the field, greyed.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 / combobox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Searchable when the option list is long (trait pickers, breed pickers). Selected value in graphite; placeholder in graphite-400.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Toggle / segmented control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binary or small-set choices (economic-weight vs BLUP-index mode; comfortable vs compact density). The active segment takes a sage tint, not a hard fill, to stay quiet.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Stepper / wizard header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horizontal step indicator across the top of multi-step flows (Section 4). Completed steps show a sage check; the current step is filled; future steps are quiet. Each step is clickable to revisit.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primary grouping surface (Section 1.3). A card may carry a header row with a title, an info trigger, and an optional action.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table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Sticky header, zebra-free (hairline row separators only), monospace numeric columns, sortable headers, row hover tint, optional row selection. Top-percentile and flagged rows carry a left accent bar in the relevant semantic color.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 / pill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Small, rounded, used for breed, evaluation source, percentile, and validation state. Always icon + text.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Inline alert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full-border or left-accent block in a semantic color carrying an icon, a short title, a plain-language message, and — where relevant — a 'how to fix this' link into the troubleshooting page.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Tooltip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small dark graphite bubble on hover/focus of any info trigger or control; one or two sentences (Section 3.1).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panel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right-hand slide-in panel carrying the deeper 'what &amp; why' for whatever the user is looking at (Section 3.2).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list/table has a designed empty state: a one-line explanation of what would appear here and a single button to create the first item. Never a blank screen.</w:t>
            </w:r>
          </w:p>
        </w:tc>
      </w:tr>
      <w:tr>
        <w:tc>
          <w:tcPr>
            <w:tcW w:type="dxa" w:w="22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</w:t>
            </w:r>
          </w:p>
        </w:tc>
        <w:tc>
          <w:tcPr>
            <w:tcW w:type="dxa" w:w="71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Brief confirmation of a completed action (saved, exported), bottom-center, auto-dismiss; errors never use toasts — they use inline alerts so they cannot be missed.</w:t>
            </w:r>
          </w:p>
        </w:tc>
      </w:tr>
    </w:tbl>
    <w:p>
      <w:pPr>
        <w:pStyle w:val="Heading2"/>
      </w:pPr>
      <w:r>
        <w:t xml:space="preserve">1.5 Motion, Iconography, Imagery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Motion:</w:t>
      </w:r>
      <w:r>
        <w:t xml:space="preserve"> purposeful and quick. Transitions are 150-200ms ease-out — panel slide-in, step changes, expanding sections. Motion communicates state change and spatial relationship; it is never decorative. Long computations (herd simulation) show honest progress, not a spinner that implies the wait is short. The interface respects the operating-system 'reduce motion' setting.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Iconography:</w:t>
      </w:r>
      <w:r>
        <w:t xml:space="preserve"> one consistent outline icon set (e.g., Tabler or Lucide), single weight, used to aid scanning — never as decoration competing with content. Icons always pair with a text label except in the most universally understood cases (close, search).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Imagery:</w:t>
      </w:r>
      <w:r>
        <w:t xml:space="preserve"> essentially none. NexGenIQ is a calm instrument; stock photography of cattle would cheapen it. The only graphical content is the data visualization itself — clean charts in the sage/graphite palette — which is the genuine subject and is allowed to be the visual interest of a screen.</w:t>
      </w:r>
    </w:p>
    <w:p>
      <w:r>
        <w:br w:type="page"/>
      </w:r>
    </w:p>
    <w:p>
      <w:pPr>
        <w:pStyle w:val="Heading1"/>
      </w:pPr>
      <w:r>
        <w:t xml:space="preserve">Part 2 — Interaction &amp; Information Architecture</w:t>
      </w:r>
    </w:p>
    <w:p>
      <w:pPr>
        <w:pStyle w:val="Heading2"/>
      </w:pPr>
      <w:r>
        <w:t xml:space="preserve">2.1 Top-Level Structure</w:t>
      </w:r>
    </w:p>
    <w:p>
      <w:pPr>
        <w:spacing w:after="160" w:line="276"/>
      </w:pPr>
      <w:r>
        <w:t xml:space="preserve">The left navigation rail organises the whole product into a small number of obvious destinations. The structure is shallow on purpose — depth is where intuitiveness goes to die.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/ Dashboard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screen after sign-in: recent scenarios, a clear 'start something new' choice, and quick links. Designed in Section 6.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Builder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end-to-end flow to build a selection index and rank animals. Designed in Section 4.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Herd Simulation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flow to derive economic values from a production-system description (Milestone 2).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 Data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Datasets, imported animals/EPDs, genetic parameter sets, saved breeding goals and scenarios.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Library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cited genetic-parameter library, the across-breed factor tables, and the published-index presets — browsable reference.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glossary, methodology explainers, and guided tutorials.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dedicated help-when-stuck destination. Designed in Section 5.</w:t>
            </w:r>
          </w:p>
        </w:tc>
      </w:tr>
      <w:tr>
        <w:tc>
          <w:tcPr>
            <w:tcW w:type="dxa" w:w="230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06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Account, organisation, density preference, API tokens, dataset permissions (for admins).</w:t>
            </w:r>
          </w:p>
        </w:tc>
      </w:tr>
    </w:tbl>
    <w:p>
      <w:pPr>
        <w:pStyle w:val="Heading2"/>
      </w:pPr>
      <w:r>
        <w:t xml:space="preserve">2.2 The Two Modes of Use: Guided and Full</w:t>
      </w:r>
    </w:p>
    <w:p>
      <w:pPr>
        <w:spacing w:after="160" w:line="276"/>
      </w:pPr>
      <w:r>
        <w:t xml:space="preserve">NexGenIQ serves a first-time producer and a quantitative geneticist with one interface, through </w:t>
      </w:r>
      <w:r>
        <w:rPr>
          <w:b/>
          <w:bCs/>
        </w:rPr>
        <w:t xml:space="preserve">progressive disclosure</w:t>
      </w:r>
      <w:r>
        <w:t xml:space="preserve"> rather than two separate products. Every screen has a sensible, safe default state that a beginner can accept without understanding it, and a clearly labelled way to open up full control.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Guided is the default.</w:t>
      </w:r>
      <w:r>
        <w:t xml:space="preserve"> Fields are pre-filled with cited defaults; advanced parameters are collapsed behind a calm 'Advanced settings' disclosure; the wizard moves the user step by step. A producer can reach a correct, real result touching only the essentials.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Full control is always one click away.</w:t>
      </w:r>
      <w:r>
        <w:t xml:space="preserve"> Researchers expand every disclosure, edit every matrix, override every default. Nothing is hidden permanently; nothing is dumbed down. The advanced controls are the same controls, simply not shown until asked for.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The user's role sets the starting point, not a ceiling.</w:t>
      </w:r>
      <w:r>
        <w:t xml:space="preserve"> A Researcher account opens disclosures by default; a Producer account keeps them collapsed. Either can change it. Role changes the default, never the available capability.</w:t>
      </w:r>
    </w:p>
    <w:p>
      <w:pPr>
        <w:pBdr>
          <w:left w:val="single" w:color="3D6B4E" w:sz="18" w:space="12"/>
        </w:pBdr>
        <w:spacing w:after="160" w:before="80" w:line="276"/>
        <w:ind w:left="360"/>
      </w:pPr>
      <w:r>
        <w:rPr>
          <w:i/>
          <w:iCs/>
          <w:sz w:val="21"/>
          <w:szCs w:val="21"/>
        </w:rPr>
        <w:t xml:space="preserve">This is the single most important interaction decision in the document. It is how NexGenIQ is intuitive for everyone without being limiting for anyone — and it is the concrete answer to iGenDec's facilitator gate.</w:t>
      </w:r>
    </w:p>
    <w:p>
      <w:pPr>
        <w:pStyle w:val="Heading2"/>
      </w:pPr>
      <w:r>
        <w:t xml:space="preserve">2.3 Universal Interaction Rules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Every input is explained</w:t>
      </w:r>
      <w:r>
        <w:t xml:space="preserve"> (Section 3). No field appears without an info trigger and helper text.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Validation is immediate and kind.</w:t>
      </w:r>
      <w:r>
        <w:t xml:space="preserve"> Inputs are checked as the user works; problems surface inline, next to the cause, in plain language, with a fix — never as a generic error after submission. The validation severities of Phase 3 (ERROR / WARN / INFO) map to the semantic colors of Section 1.1.2.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Nothing is lost.</w:t>
      </w:r>
      <w:r>
        <w:t xml:space="preserve"> Work autosaves continuously; a user can leave a half-built scenario and return to it. Destructive actions confirm and are undoable where possible.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The user always knows where they are and what happens next.</w:t>
      </w:r>
      <w:r>
        <w:t xml:space="preserve"> The wizard stepper, screen titles, and a single clear primary action per region remove all guesswork.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Results are honest.</w:t>
      </w:r>
      <w:r>
        <w:t xml:space="preserve"> A result is always shown with its uncertainty and its assumptions; a flagged or partial result is visibly flagged wherever it appears, not silently presented as final.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Keyboard and screen-reader complete.</w:t>
      </w:r>
      <w:r>
        <w:t xml:space="preserve"> Every flow is operable without a mouse; every control has an accessible name; focus order is logical. Accessibility is part of 'intuitive', not a separate concern.</w:t>
      </w:r>
    </w:p>
    <w:p>
      <w:r>
        <w:br w:type="page"/>
      </w:r>
    </w:p>
    <w:p>
      <w:pPr>
        <w:pStyle w:val="Heading1"/>
      </w:pPr>
      <w:r>
        <w:t xml:space="preserve">Part 3 — The Explanation System</w:t>
      </w:r>
    </w:p>
    <w:p>
      <w:pPr>
        <w:spacing w:after="160" w:line="276"/>
      </w:pPr>
      <w:r>
        <w:t xml:space="preserve">This part specifies how NexGenIQ explains itself. The stakeholder requirement is explicit: every button and field carries a clear explanation of exactly what it does. The mechanism is a </w:t>
      </w:r>
      <w:r>
        <w:rPr>
          <w:b/>
          <w:bCs/>
        </w:rPr>
        <w:t xml:space="preserve">three-layer model</w:t>
      </w:r>
      <w:r>
        <w:t xml:space="preserve"> — the user chooses how deep to go, and the interface never forces a wall of text on someone who just wants to proceed.</w:t>
      </w:r>
    </w:p>
    <w:p>
      <w:pPr>
        <w:pStyle w:val="Heading2"/>
      </w:pPr>
      <w:r>
        <w:t xml:space="preserve">3.1 Layer 1 — Tooltips (the quick answer)</w:t>
      </w:r>
    </w:p>
    <w:p>
      <w:pPr>
        <w:spacing w:after="160" w:line="276"/>
      </w:pPr>
      <w:r>
        <w:t xml:space="preserve">Every control — every field, button, toggle, table-column header, and chart element — has an </w:t>
      </w:r>
      <w:r>
        <w:rPr>
          <w:b/>
          <w:bCs/>
        </w:rPr>
        <w:t xml:space="preserve">info trigger</w:t>
      </w:r>
      <w:r>
        <w:t xml:space="preserve">: a small, quiet circled-i icon beside its label. Hovering it (or focusing it by keyboard, or tapping on touch) reveals a tooltip: a graphite bubble with one or two plain sentences answering 'what is this?'.</w:t>
      </w:r>
    </w:p>
    <w:p>
      <w:pPr>
        <w:spacing w:after="160" w:line="276"/>
      </w:pPr>
      <w:r>
        <w:t xml:space="preserve">Tooltip content rules: written in plain language with no unexplained jargon; one idea only; if the concept needs more than two sentences, the tooltip ends with a quiet 'More' link that opens Layer 2. Example, for the </w:t>
      </w:r>
      <w:r>
        <w:rPr>
          <w:b/>
          <w:bCs/>
        </w:rPr>
        <w:t xml:space="preserve">Economic weight</w:t>
      </w:r>
      <w:r>
        <w:t xml:space="preserve"> field: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│  Economic weight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How much profit changes when this trait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improves by one unit. Bigger number = the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trait matters more to your bottom line.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                                     More →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└─────────────────────────────────────────────┘</w:t>
      </w:r>
    </w:p>
    <w:p>
      <w:pPr>
        <w:spacing w:after="160" w:line="276"/>
      </w:pPr>
      <w:r>
        <w:t xml:space="preserve">Helper text complements the tooltip: short, persistent guidance shown directly beneath important inputs in guided mode (e.g., under the economic-weight field: "Leave the defaults if you're not sure — they come from published research."). Helper text can be hidden by users who don't want it; tooltips are always available.</w:t>
      </w:r>
    </w:p>
    <w:p>
      <w:pPr>
        <w:pStyle w:val="Heading2"/>
      </w:pPr>
      <w:r>
        <w:t xml:space="preserve">3.2 Layer 2 — The Context Panel (the 'what &amp; why')</w:t>
      </w:r>
    </w:p>
    <w:p>
      <w:pPr>
        <w:spacing w:after="160" w:line="276"/>
      </w:pPr>
      <w:r>
        <w:t xml:space="preserve">A persistent </w:t>
      </w:r>
      <w:r>
        <w:rPr>
          <w:b/>
          <w:bCs/>
        </w:rPr>
        <w:t xml:space="preserve">context panel</w:t>
      </w:r>
      <w:r>
        <w:t xml:space="preserve"> docks on the right edge of the screen. It is the always-available deeper explanation. It has two behaviours: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On demand:</w:t>
      </w:r>
      <w:r>
        <w:t xml:space="preserve"> clicking any 'More' link, or any info trigger with a second click, opens the panel focused on that exact topic.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Context-aware:</w:t>
      </w:r>
      <w:r>
        <w:t xml:space="preserve"> when open, the panel follows the user's focus — as they move between fields or wizard steps, it updates to explain whatever they are currently working on. A pin control freezes it on one topic if the user prefers.</w:t>
      </w:r>
    </w:p>
    <w:p>
      <w:pPr>
        <w:spacing w:after="160" w:line="276"/>
      </w:pPr>
      <w:r>
        <w:t xml:space="preserve">Each context-panel entry is structured identically so users learn the shape and can skim it: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What it is</w:t>
      </w:r>
      <w:r>
        <w:t xml:space="preserve"> — a plain-language definition.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Why it matters</w:t>
      </w:r>
      <w:r>
        <w:t xml:space="preserve"> — what this input or output actually changes about the result, in practical terms.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How to choose / read it</w:t>
      </w:r>
      <w:r>
        <w:t xml:space="preserve"> — concrete guidance: typical values, what a big or small number means, what most users should do.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Learn more</w:t>
      </w:r>
      <w:r>
        <w:t xml:space="preserve"> — links to the relevant methodology explainer and glossary terms for users who want the full theory.</w:t>
      </w:r>
    </w:p>
    <w:p>
      <w:pPr>
        <w:spacing w:after="160" w:line="276"/>
      </w:pPr>
      <w:r>
        <w:t xml:space="preserve">The panel never blocks the work — it slides over empty margin space or gently narrows the canvas, and it can be collapsed entirely. A researcher who needs no explanations works with it shut; a first-timer can keep it open as a running narrator.</w:t>
      </w:r>
    </w:p>
    <w:p>
      <w:pPr>
        <w:pStyle w:val="Heading2"/>
      </w:pPr>
      <w:r>
        <w:t xml:space="preserve">3.3 Layer 3 — The Glossary and Methodology Library</w:t>
      </w:r>
    </w:p>
    <w:p>
      <w:pPr>
        <w:spacing w:after="160" w:line="276"/>
      </w:pPr>
      <w:r>
        <w:t xml:space="preserve">The </w:t>
      </w:r>
      <w:r>
        <w:rPr>
          <w:b/>
          <w:bCs/>
        </w:rPr>
        <w:t xml:space="preserve">Learn</w:t>
      </w:r>
      <w:r>
        <w:t xml:space="preserve"> section holds the deepest layer: a complete glossary (every term from the Phase 1 glossary and more, each with a plain-language definition, a 'why it matters', and links to where it appears in the app) and a set of methodology explainers (illustrated, plain-language accounts of how an EPD works, how the index is built, how the simulation derives economic values). Every glossary term is a live link: wherever a term appears in a tooltip or context panel, it links here. Guided tutorials — short, interactive walk-throughs of a complete task — also live here and can be launched at any time.</w:t>
      </w:r>
    </w:p>
    <w:p>
      <w:pPr>
        <w:pStyle w:val="Heading2"/>
      </w:pPr>
      <w:r>
        <w:t xml:space="preserve">3.4 First-Run Onboarding</w:t>
      </w:r>
    </w:p>
    <w:p>
      <w:pPr>
        <w:spacing w:after="160" w:line="276"/>
      </w:pPr>
      <w:r>
        <w:t xml:space="preserve">On first sign-in, NexGenIQ runs a brief, skippable onboarding: a two-question setup (your role; what you want to do first) that sets the guided/full default, followed by an optional 60-second guided tour that coach-marks the navigation, the info triggers, and the context panel — so the user knows the explanation system exists. The very first time a user opens the Index Builder, a one-time inline coach-mark points out the stepper and the context panel. After that, the interface never interrupts; help is always pulled by the user, never pushed.</w:t>
      </w:r>
    </w:p>
    <w:p>
      <w:pPr>
        <w:pStyle w:val="Heading2"/>
      </w:pPr>
      <w:r>
        <w:t xml:space="preserve">3.5 Worked Example — Explanation Content for One Field</w:t>
      </w:r>
    </w:p>
    <w:p>
      <w:pPr>
        <w:spacing w:after="160" w:line="276"/>
      </w:pPr>
      <w:r>
        <w:t xml:space="preserve">To make the standard concrete, here is the complete three-layer explanation set for a single representative control, the </w:t>
      </w:r>
      <w:r>
        <w:rPr>
          <w:b/>
          <w:bCs/>
        </w:rPr>
        <w:t xml:space="preserve">index mode</w:t>
      </w:r>
      <w:r>
        <w:t xml:space="preserve"> toggle (economic-weight vs BLUP-index). Every control in the application is documented to this level as a Phase 4 content work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rPr>
          <w:tblHeader/>
        </w:trP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2F3A37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for the 'Index mode' toggle</w:t>
            </w:r>
          </w:p>
        </w:tc>
      </w:tr>
      <w:t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 + helper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mode.  Helper: "Most users should keep 'Standard'. Choose 'Accuracy-adjusted' only if your animals' EPDs vary a lot in accuracy."</w:t>
            </w:r>
          </w:p>
        </w:tc>
      </w:tr>
      <w:t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Tooltip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"How the index combines your traits. 'Standard' weights each trait purely by its economic value. 'Accuracy-adjusted' also accounts for how reliable each EPD is."</w:t>
            </w:r>
          </w:p>
        </w:tc>
      </w:tr>
      <w:t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panel — What it is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 ways of turning your economic weights into a single index. Standard mode applies your economic weights directly to each animal's EPDs. Accuracy-adjusted mode solves the full selection-index equations, which also down-weight EPDs that are measured with less certainty.</w:t>
            </w:r>
          </w:p>
        </w:tc>
      </w:tr>
      <w:t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panel — Why it matters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all your animals have similarly reliable EPDs, the two modes give almost the same ranking, and Standard is simpler and more transparent. If some animals are young with low-accuracy EPDs and others are proven, Accuracy-adjusted protects you from over-trusting an uncertain number.</w:t>
            </w:r>
          </w:p>
        </w:tc>
      </w:tr>
      <w:t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panel — How to choose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Standard unless you have a specific reason not to. Switch to Accuracy-adjusted when your candidate set mixes young and proven animals. The tool will hint this for you if it detects a wide spread of accuracies.</w:t>
            </w:r>
          </w:p>
        </w:tc>
      </w:tr>
      <w:tr>
        <w:tc>
          <w:tcPr>
            <w:tcW w:type="dxa" w:w="175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  <w:tc>
          <w:tcPr>
            <w:tcW w:type="dxa" w:w="7610"/>
            <w:tcBorders>
              <w:top w:val="single" w:color="B7C9CF" w:sz="1"/>
              <w:left w:val="single" w:color="B7C9CF" w:sz="1"/>
              <w:bottom w:val="single" w:color="B7C9CF" w:sz="1"/>
              <w:right w:val="single" w:color="B7C9C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Links to: glossary terms 'selection index', 'accuracy', 'BLUP'; methodology explainer 'How NexGenIQ builds your index'.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 — Index Builder: Screen-by-Screen Design</w:t>
      </w:r>
    </w:p>
    <w:p>
      <w:pPr>
        <w:spacing w:after="160" w:line="276"/>
      </w:pPr>
      <w:r>
        <w:t xml:space="preserve">The Index Builder is the first flow designed in depth and the Milestone 1 product. It is a </w:t>
      </w:r>
      <w:r>
        <w:rPr>
          <w:b/>
          <w:bCs/>
        </w:rPr>
        <w:t xml:space="preserve">four-step wizard</w:t>
      </w:r>
      <w:r>
        <w:t xml:space="preserve"> with a persistent stepper, followed by a results workspace. Each step is a single calm screen; the user can move forward only when the step is valid, and back freely. The context panel (Part 3) is available throughout. Wireframes below are schematic — they show layout and hierarchy, not final pixels.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●━━━━━━━━●━━━━━━━━○━━━━━━━━○            Index Builder</w:t>
      </w:r>
      <w:r>
        <w:rPr>
          <w:rFonts w:ascii="Consolas" w:cs="Consolas" w:eastAsia="Consolas" w:hAnsi="Consolas"/>
          <w:sz w:val="16"/>
          <w:szCs w:val="16"/>
        </w:rPr>
        <w:br/>
        <w:t xml:space="preserve">  Goal     Parameters  Animals   Review</w:t>
      </w:r>
    </w:p>
    <w:p>
      <w:pPr>
        <w:pStyle w:val="Heading2"/>
      </w:pPr>
      <w:r>
        <w:t xml:space="preserve">4.1 Step 1 — Define Your Breeding Goal</w:t>
      </w:r>
    </w:p>
    <w:p>
      <w:pPr>
        <w:spacing w:after="160" w:line="276"/>
      </w:pPr>
      <w:r>
        <w:rPr>
          <w:b/>
          <w:bCs/>
        </w:rPr>
        <w:t xml:space="preserve">Purpose:</w:t>
      </w:r>
      <w:r>
        <w:t xml:space="preserve"> capture what the user is trying to improve and what each trait is worth. </w:t>
      </w:r>
      <w:r>
        <w:rPr>
          <w:b/>
          <w:bCs/>
        </w:rPr>
        <w:t xml:space="preserve">Plain-language screen title:</w:t>
      </w:r>
      <w:r>
        <w:t xml:space="preserve"> "What are you breeding for?"</w:t>
      </w:r>
    </w:p>
    <w:p>
      <w:pPr>
        <w:spacing w:after="160" w:line="276"/>
      </w:pPr>
      <w:r>
        <w:t xml:space="preserve">The screen leads with a choice of three calm cards, so a beginner is never confronted with an empty economic-weight grid: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Start from a goal template</w:t>
      </w:r>
      <w:r>
        <w:t xml:space="preserve"> — pick a production situation (e.g., 'Self-replacing herd, sell calves at weaning'; 'Terminal — sell all calves fed'). Pre-fills traits and economic weights from presets.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Start from a published index</w:t>
      </w:r>
      <w:r>
        <w:t xml:space="preserve"> — load a known industry index ($M, $B, API, TI, $CHB, ...) as the starting point.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Start from a herd simulation</w:t>
      </w:r>
      <w:r>
        <w:t xml:space="preserve"> — use economic values derived by the Herd Simulation engine (enabled once Milestone 2 ships; the integration hand-off).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Build from scratch</w:t>
      </w:r>
      <w:r>
        <w:t xml:space="preserve"> — a quiet fourth option for advanced users.</w:t>
      </w:r>
    </w:p>
    <w:p>
      <w:pPr>
        <w:spacing w:after="160" w:line="276"/>
      </w:pPr>
      <w:r>
        <w:t xml:space="preserve">Whichever entry is chosen, the user lands on the </w:t>
      </w:r>
      <w:r>
        <w:rPr>
          <w:b/>
          <w:bCs/>
        </w:rPr>
        <w:t xml:space="preserve">economic-weight grid</w:t>
      </w:r>
      <w:r>
        <w:t xml:space="preserve">: one row per goal trait, showing the trait name (with its info trigger), the economic weight (an editable number input with a unit suffix and a slider for quick adjustment), and a plain-language 'what this trait is'. An 'Add trait' control opens the searchable trait picker, grouped by the Phase 1 categories (growth, maternal, carcass, fertility, ...). A single 'Economic basis' selector at the top (per cow / per calf / per unit) is explained and defaulted.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│ What are you breeding for?                    (i)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Economic basis:  [ Per cow exposed ▾ ] (i)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├──────────────────────────────────────────────────────┤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6"/>
          <w:szCs w:val="16"/>
        </w:rPr>
        <w:br/>
        <w:t xml:space="preserve"> │ Trait            Economic weight        What it is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Weaning weight(i) [  0.85 ] $/lb ──●──   Calf growth…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Calving ease (i)  [ 12.00 ] $/%  ────●─  Unassisted…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Stayability  (i)  [  6.40 ] $/%  ──●──   Cow longevity│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+ Add trait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└──────────────────────────────────────────────────────┘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[ Back ]   [ Continue → ]</w:t>
      </w:r>
    </w:p>
    <w:p>
      <w:pPr>
        <w:spacing w:after="160" w:line="276"/>
      </w:pPr>
      <w:r>
        <w:rPr>
          <w:b/>
          <w:bCs/>
        </w:rPr>
        <w:t xml:space="preserve">Guided vs full:</w:t>
      </w:r>
      <w:r>
        <w:t xml:space="preserve"> in guided mode the grid arrives pre-filled and the user may simply read and continue; the sliders make adjustment feel safe and physical. In full mode a researcher types exact weights and sees the underlying trait/component codes. </w:t>
      </w:r>
      <w:r>
        <w:rPr>
          <w:b/>
          <w:bCs/>
        </w:rPr>
        <w:t xml:space="preserve">Validation on this step:</w:t>
      </w:r>
      <w:r>
        <w:t xml:space="preserve"> economic-basis consistency, at least one trait present, redundant-trait warnings — all surfaced inline (Section 5.1).</w:t>
      </w:r>
    </w:p>
    <w:p>
      <w:pPr>
        <w:pStyle w:val="Heading2"/>
      </w:pPr>
      <w:r>
        <w:t xml:space="preserve">4.2 Step 2 — Genetic Parameters</w:t>
      </w:r>
    </w:p>
    <w:p>
      <w:pPr>
        <w:spacing w:after="160" w:line="276"/>
      </w:pPr>
      <w:r>
        <w:rPr>
          <w:b/>
          <w:bCs/>
        </w:rPr>
        <w:t xml:space="preserve">Purpose:</w:t>
      </w:r>
      <w:r>
        <w:t xml:space="preserve"> set the heritabilities and genetic correlations the engine needs. </w:t>
      </w:r>
      <w:r>
        <w:rPr>
          <w:b/>
          <w:bCs/>
        </w:rPr>
        <w:t xml:space="preserve">Plain-language screen title:</w:t>
      </w:r>
      <w:r>
        <w:t xml:space="preserve"> "How are these traits related?" This is the step most likely to intimidate a non-specialist, so the design works hardest here.</w:t>
      </w:r>
    </w:p>
    <w:p>
      <w:pPr>
        <w:spacing w:after="160" w:line="276"/>
      </w:pPr>
      <w:r>
        <w:t xml:space="preserve">The screen opens with a single reassuring choice and a sensible default already selected: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Use the built-in research library</w:t>
      </w:r>
      <w:r>
        <w:t xml:space="preserve"> (default, selected). A calm summary states which parameter set is active (e.g., 'Beef-cattle consensus set, v1, 2026') with a provenance badge and a 'view sources' link. A beginner reads this one sentence and continues — they never see a matrix.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Upload my own parameters.</w:t>
      </w:r>
      <w:r>
        <w:t xml:space="preserve"> Reveals the matrix editor for researchers: a clean, monospace, symmetric grid editor for G0 and P0 with live validation (symmetry, positive-definiteness, correlation range) and a CSV import. Each problem is flagged in the cell that causes it.</w:t>
      </w:r>
    </w:p>
    <w:p>
      <w:pPr>
        <w:spacing w:after="160" w:line="276"/>
      </w:pPr>
      <w:r>
        <w:t xml:space="preserve">Whichever path, an </w:t>
      </w:r>
      <w:r>
        <w:rPr>
          <w:b/>
          <w:bCs/>
        </w:rPr>
        <w:t xml:space="preserve">'Advanced settings'</w:t>
      </w:r>
      <w:r>
        <w:t xml:space="preserve"> disclosure (collapsed in guided mode) exposes per-trait heritability overrides and the index-mode toggle of Section 3.5. The context panel here is especially rich, explaining heritability and genetic correlation in plain terms with the 'why it matters' framing.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│ How are these traits related?                  (i)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◉ Use the built-in research library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 Beef-cattle consensus set · v1 · 2026  [✓ cited]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 These values come from published research.  view →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○ Upload my own parameters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▸ Advanced settings  (heritability, index mode)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└──────────────────────────────────────────────────────┘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[ Back ]   [ Continue → ]</w:t>
      </w:r>
    </w:p>
    <w:p>
      <w:pPr>
        <w:pStyle w:val="Heading2"/>
      </w:pPr>
      <w:r>
        <w:t xml:space="preserve">4.3 Step 3 — Add the Animals to Rank</w:t>
      </w:r>
    </w:p>
    <w:p>
      <w:pPr>
        <w:spacing w:after="160" w:line="276"/>
      </w:pPr>
      <w:r>
        <w:rPr>
          <w:b/>
          <w:bCs/>
        </w:rPr>
        <w:t xml:space="preserve">Purpose:</w:t>
      </w:r>
      <w:r>
        <w:t xml:space="preserve"> bring in the candidate animals and their EPDs. </w:t>
      </w:r>
      <w:r>
        <w:rPr>
          <w:b/>
          <w:bCs/>
        </w:rPr>
        <w:t xml:space="preserve">Plain-language screen title:</w:t>
      </w:r>
      <w:r>
        <w:t xml:space="preserve"> "Which animals do you want to compare?"</w:t>
      </w:r>
    </w:p>
    <w:p>
      <w:pPr>
        <w:spacing w:after="160" w:line="276"/>
      </w:pPr>
      <w:r>
        <w:t xml:space="preserve">Three ways in: </w:t>
      </w:r>
      <w:r>
        <w:rPr>
          <w:b/>
          <w:bCs/>
        </w:rPr>
        <w:t xml:space="preserve">upload a file</w:t>
      </w:r>
      <w:r>
        <w:t xml:space="preserve"> (CSV / catalogue export — the common path); </w:t>
      </w:r>
      <w:r>
        <w:rPr>
          <w:b/>
          <w:bCs/>
        </w:rPr>
        <w:t xml:space="preserve">choose a dataset</w:t>
      </w:r>
      <w:r>
        <w:t xml:space="preserve"> the user or their organisation already has in NexGenIQ; or </w:t>
      </w:r>
      <w:r>
        <w:rPr>
          <w:b/>
          <w:bCs/>
        </w:rPr>
        <w:t xml:space="preserve">enter a few animals by hand</w:t>
      </w:r>
      <w:r>
        <w:t xml:space="preserve"> for a quick comparison. The upload path is the design centerpiece because catalogue files are messy: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The user drops a file. NexGenIQ shows a preview of the first rows immediately.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A </w:t>
      </w:r>
      <w:r>
        <w:rPr>
          <w:b/>
          <w:bCs/>
        </w:rPr>
        <w:t xml:space="preserve">column-mapping screen</w:t>
      </w:r>
      <w:r>
        <w:t xml:space="preserve"> appears: each column of the file is matched to a NexGenIQ field (animal ID, breed, each EPD trait, each accuracy). The tool auto-detects obvious matches and asks the user only to confirm or fix the rest, each with a plain-language label.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An </w:t>
      </w:r>
      <w:r>
        <w:rPr>
          <w:b/>
          <w:bCs/>
        </w:rPr>
        <w:t xml:space="preserve">evaluation-identity</w:t>
      </w:r>
      <w:r>
        <w:t xml:space="preserve"> step asks, in plain language, where these EPDs came from — which breed association, which evaluation, what year, EPD or EBV scale. This is what lets NexGenIQ safely compare across breeds; it is explained, not assumed.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If the animals span multiple breeds/evaluations, NexGenIQ explains that it will put every EPD on a common base using the across-breed adjustment factors, shows which table version it will use, and lets the user proceed or adjust.</w:t>
      </w:r>
    </w:p>
    <w:p>
      <w:pPr>
        <w:spacing w:after="160" w:line="276"/>
      </w:pPr>
      <w:r>
        <w:rPr>
          <w:b/>
          <w:bCs/>
        </w:rPr>
        <w:t xml:space="preserve">Validation on this step</w:t>
      </w:r>
      <w:r>
        <w:t xml:space="preserve"> is heavy and kind: missing-EPD policy choice (exclude vs impute), unit/base checks, EPD-vs-EBV mismatch, unsupported-trait-for-multibreed — every issue surfaces inline against the row or column that caused it, with a fix. A clear summary states, e.g., "42 animals ready · 3 excluded (missing weaning-weight EPD) · 2 flagged."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│ Which animals do you want to compare?           (i)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[ ⬆ Upload a file ]  [ ▤ Choose a dataset ]  [ ✎ ]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── Column mapping ──────────────────────────────────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Your column      →   NexGenIQ field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"Reg #"          →   Animal ID            ✓ detected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"WW EPD"         →   Weaning weight EPD   ✓ detected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"WW Acc"         →   Weaning weight acc.  [ confirm ]│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 ✓ 42 animals ready · 3 excluded · 2 flagged   detail→│</w:t>
      </w:r>
      <w:r>
        <w:rPr>
          <w:rFonts w:ascii="Consolas" w:cs="Consolas" w:eastAsia="Consolas" w:hAnsi="Consolas"/>
          <w:sz w:val="16"/>
          <w:szCs w:val="16"/>
        </w:rPr>
        <w:br/>
        <w:t xml:space="preserve"> └──────────────────────────────────────────────────────┘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[ Back ]   [ Continue → ]</w:t>
      </w:r>
    </w:p>
    <w:p>
      <w:pPr>
        <w:pStyle w:val="Heading2"/>
      </w:pPr>
      <w:r>
        <w:t xml:space="preserve">4.4 Step 4 — Review and Build</w:t>
      </w:r>
    </w:p>
    <w:p>
      <w:pPr>
        <w:spacing w:after="160" w:line="276"/>
      </w:pPr>
      <w:r>
        <w:rPr>
          <w:b/>
          <w:bCs/>
        </w:rPr>
        <w:t xml:space="preserve">Purpose:</w:t>
      </w:r>
      <w:r>
        <w:t xml:space="preserve"> a final, plain-language summary before computing. </w:t>
      </w:r>
      <w:r>
        <w:rPr>
          <w:b/>
          <w:bCs/>
        </w:rPr>
        <w:t xml:space="preserve">Screen title:</w:t>
      </w:r>
      <w:r>
        <w:t xml:space="preserve"> "Ready to build your index." The screen restates, in calm prose, every choice made: the goal and its traits, the parameter set and its version, the animal count and any flags, the index mode, and the across-breed table version. Each summary line links back to its step for a last edit. One primary button — "Build my index" — runs the engine. Because the analytical solve is near-instant, the results workspace appears immediately; a brief honest progress state covers the moment.</w:t>
      </w:r>
    </w:p>
    <w:p>
      <w:pPr>
        <w:pStyle w:val="Heading2"/>
      </w:pPr>
      <w:r>
        <w:t xml:space="preserve">4.5 The Results Workspace</w:t>
      </w:r>
    </w:p>
    <w:p>
      <w:pPr>
        <w:spacing w:after="160" w:line="276"/>
      </w:pPr>
      <w:r>
        <w:t xml:space="preserve">This is the payoff screen and it must feel like one — the moment NexGenIQ proves its worth. It is a single, scannable workspace, not another wizard step.</w:t>
      </w:r>
    </w:p>
    <w:p>
      <w:pPr>
        <w:pStyle w:val="Heading3"/>
      </w:pPr>
      <w:r>
        <w:t xml:space="preserve">4.5.1 Layout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Headline strip.</w:t>
      </w:r>
      <w:r>
        <w:t xml:space="preserve"> A few large metric cards at the top: number of animals ranked, the top animal's index value, the spread, and any global flags. A first-time user understands the outcome in three seconds.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The ranking table.</w:t>
      </w:r>
      <w:r>
        <w:t xml:space="preserve"> The core: animals ranked by index value, best at the top. Columns: rank, animal ID, breed badge, the index value with its 95% confidence interval shown as a small inline range, and a compact </w:t>
      </w:r>
      <w:r>
        <w:rPr>
          <w:b/>
          <w:bCs/>
        </w:rPr>
        <w:t xml:space="preserve">contribution bar</w:t>
      </w:r>
      <w:r>
        <w:t xml:space="preserve"> — a single horizontal bar segmented by trait, showing at a glance which traits drive that animal's score. Sortable, searchable, filterable. Flagged or partial-data rows carry a left accent bar and an icon; top-percentile rows a sage accent.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The detail drawer.</w:t>
      </w:r>
      <w:r>
        <w:t xml:space="preserve"> Clicking any animal opens a side drawer: the full per-trait contribution breakdown (a clean horizontal bar chart), the animal's adjusted vs original EPDs, its accuracies, and a </w:t>
      </w:r>
      <w:r>
        <w:rPr>
          <w:b/>
          <w:bCs/>
        </w:rPr>
        <w:t xml:space="preserve">plain-language explanation generated for that animal</w:t>
      </w:r>
      <w:r>
        <w:t xml:space="preserve"> — e.g., "This bull ranks 2nd mainly because of strong calving ease and weaning weight; its below-average stayability holds it back slightly." This plain-language 'why' is a signature NexGenIQ feature and the antidote to opaque index numbers.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The validation panel.</w:t>
      </w:r>
      <w:r>
        <w:t xml:space="preserve"> A calm, collapsible panel listing every ERROR / WARN / INFO from the run, each in its semantic color, each with a plain explanation and a link into the troubleshooting page.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Sensitivity tab.</w:t>
      </w:r>
      <w:r>
        <w:t xml:space="preserve"> A second tab on the workspace runs tornado sensitivity: how the ranking would shift if economic weights or prices changed, with a rank-stability summary in one plain sentence ("Your top 5 animals stay in the top 5 across all tested price scenarios — this ranking is robust.").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Actions.</w:t>
      </w:r>
      <w:r>
        <w:t xml:space="preserve"> Export (CSV / PDF report), save the scenario, compare against another saved scenario side by side, and a clear path to adjust an input and re-run.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│ [42 ranked] [Top: +148.2] [Spread: 96] [2 flagged]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├──────────────────────────────────────────────────────┤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6"/>
          <w:szCs w:val="16"/>
        </w:rPr>
        <w:br/>
        <w:t xml:space="preserve"> │ #  Animal     Breed   Index (95% CI)   Contributions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1  AAA-1842   Angus   +148.2 ±9    ▆▆▅▃▂  ←click row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2  ASA-0571   Sim     +141.7 ±11   ▆▅▅▄▁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3  RAN-2290 ⚑ RedAng  +138.0 ±14   ▆▆▄▂▂  partial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…           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├──────────────────────────────────────────────────────┤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6"/>
          <w:szCs w:val="16"/>
        </w:rPr>
        <w:br/>
        <w:t xml:space="preserve"> │ ▾ Checks: 0 errors · 2 warnings · 1 note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[ Export ▾ ]  [ Save scenario ]  [ Compare ]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4.5.2 Why this screen works</w:t>
      </w:r>
    </w:p>
    <w:p>
      <w:pPr>
        <w:spacing w:after="160" w:line="276"/>
      </w:pPr>
      <w:r>
        <w:t xml:space="preserve">It answers the three questions a user actually has, in order: </w:t>
      </w:r>
      <w:r>
        <w:rPr>
          <w:i/>
          <w:iCs/>
        </w:rPr>
        <w:t xml:space="preserve">who won</w:t>
      </w:r>
      <w:r>
        <w:t xml:space="preserve"> (the ranking, instantly), </w:t>
      </w:r>
      <w:r>
        <w:rPr>
          <w:i/>
          <w:iCs/>
        </w:rPr>
        <w:t xml:space="preserve">why</w:t>
      </w:r>
      <w:r>
        <w:t xml:space="preserve"> (the contribution bars and the plain-language detail drawer), and </w:t>
      </w:r>
      <w:r>
        <w:rPr>
          <w:i/>
          <w:iCs/>
        </w:rPr>
        <w:t xml:space="preserve">can I trust it</w:t>
      </w:r>
      <w:r>
        <w:t xml:space="preserve"> (the confidence intervals, the validation panel, the sensitivity tab). No comparable tool answers all three, and none answers 'why' in plain language at all.</w:t>
      </w:r>
    </w:p>
    <w:p>
      <w:r>
        <w:br w:type="page"/>
      </w:r>
    </w:p>
    <w:p>
      <w:pPr>
        <w:pStyle w:val="Heading1"/>
      </w:pPr>
      <w:r>
        <w:t xml:space="preserve">Part 5 — Troubleshooting Design</w:t>
      </w:r>
    </w:p>
    <w:p>
      <w:pPr>
        <w:spacing w:after="160" w:line="276"/>
      </w:pPr>
      <w:r>
        <w:t xml:space="preserve">A dedicated troubleshooting destination is a stakeholder requirement. NexGenIQ treats troubleshooting as two connected things: </w:t>
      </w:r>
      <w:r>
        <w:rPr>
          <w:b/>
          <w:bCs/>
        </w:rPr>
        <w:t xml:space="preserve">inline problem-solving</w:t>
      </w:r>
      <w:r>
        <w:t xml:space="preserve"> at the point a problem occurs, and a </w:t>
      </w:r>
      <w:r>
        <w:rPr>
          <w:b/>
          <w:bCs/>
        </w:rPr>
        <w:t xml:space="preserve">standalone troubleshooting page</w:t>
      </w:r>
      <w:r>
        <w:t xml:space="preserve"> for browsing, searching, and deeper help.</w:t>
      </w:r>
    </w:p>
    <w:p>
      <w:pPr>
        <w:pStyle w:val="Heading2"/>
      </w:pPr>
      <w:r>
        <w:t xml:space="preserve">5.1 Inline Problem-Solving (the first line)</w:t>
      </w:r>
    </w:p>
    <w:p>
      <w:pPr>
        <w:spacing w:after="160" w:line="276"/>
      </w:pPr>
      <w:r>
        <w:t xml:space="preserve">Most problems should be solved without the user ever leaving their task. Every validation message (the ERROR / WARN / INFO system from Phase 3) is designed to be self-resolving: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It appears </w:t>
      </w:r>
      <w:r>
        <w:rPr>
          <w:b/>
          <w:bCs/>
        </w:rPr>
        <w:t xml:space="preserve">next to its cause</w:t>
      </w:r>
      <w:r>
        <w:t xml:space="preserve"> — the specific field, row, or column — never as a generic banner.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It is written in </w:t>
      </w:r>
      <w:r>
        <w:rPr>
          <w:b/>
          <w:bCs/>
        </w:rPr>
        <w:t xml:space="preserve">plain language</w:t>
      </w:r>
      <w:r>
        <w:t xml:space="preserve">: what went wrong, in human terms, with no error codes shown to the user (a code exists underneath, for support).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It states </w:t>
      </w:r>
      <w:r>
        <w:rPr>
          <w:b/>
          <w:bCs/>
        </w:rPr>
        <w:t xml:space="preserve">how to fix it</w:t>
      </w:r>
      <w:r>
        <w:t xml:space="preserve"> — a concrete next action, often with a button that performs the fix (e.g., 'Exclude these 3 animals' / 'Use the suggested correction').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It links to the matching troubleshooting-page entry via a quiet 'Learn more about this' link, for users who want the deeper why.</w:t>
      </w:r>
    </w:p>
    <w:p>
      <w:pPr>
        <w:spacing w:after="160" w:line="276"/>
      </w:pPr>
      <w:r>
        <w:t xml:space="preserve">Worked example — a non-positive-definite uploaded matrix:</w:t>
      </w:r>
    </w:p>
    <w:p>
      <w:pPr>
        <w:shd w:fill="F4F4F2" w:val="clear"/>
        <w:spacing w:after="160" w:before="8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│ ⚠  These correlations don't fit together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The genetic correlations you entered are not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mathematically consistent — no real population could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have all of them at once. This usually means a typo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in one cell.      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[ Show me the likely cell ]  [ Apply nearest fix ]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│ Learn more about this →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└──────────────────────────────────────────────────────┘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5.2 The Troubleshooting Page</w:t>
      </w:r>
    </w:p>
    <w:p>
      <w:pPr>
        <w:spacing w:after="160" w:line="276"/>
      </w:pPr>
      <w:r>
        <w:t xml:space="preserve">Reached from the left rail, from any 'Learn more about this' link, and from the help menu. It is calm and organised, not a dumped FAQ. Structure: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Search bar at the top.</w:t>
      </w:r>
      <w:r>
        <w:t xml:space="preserve"> Plain-language search across all troubleshooting content — 'my file won't upload', 'index looks wrong', 'what does flagged mean'.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Browse by where you are.</w:t>
      </w:r>
      <w:r>
        <w:t xml:space="preserve"> Sections mirror the app: 'Building an index', 'Importing animals &amp; files', 'Genetic parameters', 'Herd simulation', 'Reading your results', 'Accounts &amp; data'. A user thinks in terms of what they were doing, so the page is organised that way.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Each entry is a structured card:</w:t>
      </w:r>
      <w:r>
        <w:t xml:space="preserve"> the symptom in the user's words ('NexGenIQ excluded some of my animals'); what it means; the most common causes; and step-by-step resolution. Where useful, a small annotated screenshot or diagram.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 'common issues' shortlist</w:t>
      </w:r>
      <w:r>
        <w:t xml:space="preserve"> is surfaced at the top — the handful of things first-time users hit most: messy CSV columns, mixed-evaluation EPDs, missing accuracies, low-accuracy young animals.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An 'understand the warnings' reference:</w:t>
      </w:r>
      <w:r>
        <w:t xml:space="preserve"> a plain-language directory of every ERROR / WARN / INFO message NexGenIQ can show, what each means, and what to do — so a user who sees any flag anywhere can look it up.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 clear escalation path:</w:t>
      </w:r>
      <w:r>
        <w:t xml:space="preserve"> if the page does not solve it, a calm route to contact support (or, for the open-source deployment, to the community forum and the GitHub issue tracker), and a link to report a bug. Honest about being a research-grade open tool.</w:t>
      </w:r>
    </w:p>
    <w:p>
      <w:pPr>
        <w:pStyle w:val="Heading2"/>
      </w:pPr>
      <w:r>
        <w:t xml:space="preserve">5.3 Tone of Troubleshooting Content</w:t>
      </w:r>
    </w:p>
    <w:p>
      <w:pPr>
        <w:spacing w:after="160" w:line="276"/>
      </w:pPr>
      <w:r>
        <w:t xml:space="preserve">All troubleshooting and error content follows three rules. </w:t>
      </w:r>
      <w:r>
        <w:rPr>
          <w:b/>
          <w:bCs/>
        </w:rPr>
        <w:t xml:space="preserve">Never blame the user</w:t>
      </w:r>
      <w:r>
        <w:t xml:space="preserve"> — 'NexGenIQ couldn't read three columns', not 'you formatted the file wrong'. </w:t>
      </w:r>
      <w:r>
        <w:rPr>
          <w:b/>
          <w:bCs/>
        </w:rPr>
        <w:t xml:space="preserve">Never show raw jargon or stack traces</w:t>
      </w:r>
      <w:r>
        <w:t xml:space="preserve"> — a human sentence always, with technical detail available on request for advanced users. </w:t>
      </w:r>
      <w:r>
        <w:rPr>
          <w:b/>
          <w:bCs/>
        </w:rPr>
        <w:t xml:space="preserve">Always end with a way forward</w:t>
      </w:r>
      <w:r>
        <w:t xml:space="preserve"> — every entry, every message, closes with a concrete action, never a dead end.</w:t>
      </w:r>
    </w:p>
    <w:p>
      <w:r>
        <w:br w:type="page"/>
      </w:r>
    </w:p>
    <w:p>
      <w:pPr>
        <w:pStyle w:val="Heading1"/>
      </w:pPr>
      <w:r>
        <w:t xml:space="preserve">Part 6 — Home, Dashboard &amp; Onboarding</w:t>
      </w:r>
    </w:p>
    <w:p>
      <w:pPr>
        <w:pStyle w:val="Heading2"/>
      </w:pPr>
      <w:r>
        <w:t xml:space="preserve">6.1 The Home / Dashboard Screen</w:t>
      </w:r>
    </w:p>
    <w:p>
      <w:pPr>
        <w:spacing w:after="160" w:line="276"/>
      </w:pPr>
      <w:r>
        <w:t xml:space="preserve">The first screen after sign-in. Its job is to make the next action obvious and to make a returning user feel oriented in one glance. It is deliberately simple: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 clear 'start' choice.</w:t>
      </w:r>
      <w:r>
        <w:t xml:space="preserve"> Two or three large, calm action cards — 'Build a selection index', 'Run a herd simulation', 'Import data' — each with a one-line plain description. This is the make-or-break first impression; it must say, instantly, what NexGenIQ is for.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Recent work.</w:t>
      </w:r>
      <w:r>
        <w:t xml:space="preserve"> A quiet list of the user's recent scenarios and datasets, each resumable in one click. Empty for a new user, where a designed empty state invites the first action instead.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 'new here?' strip.</w:t>
      </w:r>
      <w:r>
        <w:t xml:space="preserve"> A dismissible row offering the guided tour and a link to a first tutorial — present for new users, gone once dismissed.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Nothing else.</w:t>
      </w:r>
      <w:r>
        <w:t xml:space="preserve"> No vanity metrics, no clutter. The dashboard is a launchpad, and a launchpad is mostly empty space.</w:t>
      </w:r>
    </w:p>
    <w:p>
      <w:pPr>
        <w:pStyle w:val="Heading2"/>
      </w:pPr>
      <w:r>
        <w:t xml:space="preserve">6.2 Onboarding</w:t>
      </w:r>
    </w:p>
    <w:p>
      <w:pPr>
        <w:spacing w:after="160" w:line="276"/>
      </w:pPr>
      <w:r>
        <w:t xml:space="preserve">Onboarding is specified in Section 3.4: a two-question setup that sets the guided/full default, an optional short guided tour that introduces the navigation and — critically — the explanation system, and one-time inline coach-marks the first time a major flow is opened. The principle is that onboarding teaches the user that help is everywhere and how to reach it, then gets out of the way permanently.</w:t>
      </w:r>
    </w:p>
    <w:p>
      <w:r>
        <w:br w:type="page"/>
      </w:r>
    </w:p>
    <w:p>
      <w:pPr>
        <w:pStyle w:val="Heading1"/>
      </w:pPr>
      <w:r>
        <w:t xml:space="preserve">Part 7 — Build Handoff</w:t>
      </w:r>
    </w:p>
    <w:p>
      <w:pPr>
        <w:pStyle w:val="Heading2"/>
      </w:pPr>
      <w:r>
        <w:t xml:space="preserve">7.1 What Phase 4 Builds From This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 </w:t>
      </w:r>
      <w:r>
        <w:rPr>
          <w:b/>
          <w:bCs/>
        </w:rPr>
        <w:t xml:space="preserve">design-token file</w:t>
      </w:r>
      <w:r>
        <w:t xml:space="preserve"> (colors, type scale, spacing, radii, motion) as the single source of truth for the front-end — derived directly from Part 1.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 </w:t>
      </w:r>
      <w:r>
        <w:rPr>
          <w:b/>
          <w:bCs/>
        </w:rPr>
        <w:t xml:space="preserve">component library</w:t>
      </w:r>
      <w:r>
        <w:t xml:space="preserve"> implementing Section 1.4, each component with all its states, built and documented in isolation before screens are assembled.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The </w:t>
      </w:r>
      <w:r>
        <w:rPr>
          <w:b/>
          <w:bCs/>
        </w:rPr>
        <w:t xml:space="preserve">Index Builder screens</w:t>
      </w:r>
      <w:r>
        <w:t xml:space="preserve"> of Part 4 as the first screens built, matching the Milestone 1 engine.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The </w:t>
      </w:r>
      <w:r>
        <w:rPr>
          <w:b/>
          <w:bCs/>
        </w:rPr>
        <w:t xml:space="preserve">explanation-content set</w:t>
      </w:r>
      <w:r>
        <w:t xml:space="preserve"> — tooltip, helper, and context-panel copy for every control — written as a structured content file (Section 3.5 is the template). This is a real, sized work item, not an afterthought.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The </w:t>
      </w:r>
      <w:r>
        <w:rPr>
          <w:b/>
          <w:bCs/>
        </w:rPr>
        <w:t xml:space="preserve">troubleshooting content</w:t>
      </w:r>
      <w:r>
        <w:t xml:space="preserve"> of Part 5, authored alongside the features it covers.</w:t>
      </w:r>
    </w:p>
    <w:p>
      <w:pPr>
        <w:pStyle w:val="Heading2"/>
      </w:pPr>
      <w:r>
        <w:t xml:space="preserve">7.2 The Visual Mockup</w:t>
      </w:r>
    </w:p>
    <w:p>
      <w:pPr>
        <w:spacing w:after="160" w:line="276"/>
      </w:pPr>
      <w:r>
        <w:t xml:space="preserve">The next deliverable is an interactive visual mockup of NexGenIQ built to match this specification — the Graphite + Sage system, the Index Builder flow, and the results workspace — so the stakeholder can see and react to the design before front-end code is written. The mockup is the bridge from this document into the Phase 4 build.</w:t>
      </w:r>
    </w:p>
    <w:p>
      <w:pPr>
        <w:pStyle w:val="Heading2"/>
      </w:pPr>
      <w:r>
        <w:t xml:space="preserve">7.3 Design Principles as Acceptance Criteria</w:t>
      </w:r>
    </w:p>
    <w:p>
      <w:pPr>
        <w:spacing w:after="160" w:line="276"/>
      </w:pPr>
      <w:r>
        <w:t xml:space="preserve">Every screen built in Phase 4 is checked against the four principles of Section 0.1. A screen ships only if a first-time user could use it unaided (radically intuitive), every control on it is explained (explain everything), it holds to the Graphite + Sage visual system (sleek and expensive), and it shows the honest state of every result (trustworthy). These are not aspirations — they are the acceptance criteria for the user interface.</w:t>
      </w:r>
    </w:p>
    <w:p>
      <w:pPr>
        <w:pBdr>
          <w:left w:val="single" w:color="3D6B4E" w:sz="18" w:space="12"/>
        </w:pBdr>
        <w:spacing w:after="160" w:before="80" w:line="276"/>
        <w:ind w:left="360"/>
      </w:pPr>
      <w:r>
        <w:rPr>
          <w:i/>
          <w:iCs/>
          <w:sz w:val="21"/>
          <w:szCs w:val="21"/>
        </w:rPr>
        <w:t xml:space="preserve">This specification, together with Phases 1-3, completes the design and planning work. Phase 4 begins with the visual mockup, then builds the NexGenIQ component library and the Index Builder screens against the Milestone 1 engine. Any ambiguity encountered during the build will be raised before implementation, per the project ground rules.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D3" w:sz="4" w:space="4"/>
      </w:pBdr>
      <w:tabs>
        <w:tab w:val="right" w:pos="9360"/>
      </w:tabs>
    </w:pPr>
    <w:r>
      <w:rPr>
        <w:b/>
        <w:bCs/>
        <w:color w:val="2F3A37"/>
        <w:sz w:val="16"/>
        <w:szCs w:val="16"/>
      </w:rPr>
      <w:t xml:space="preserve">NexGenIQ</w:t>
    </w:r>
    <w:r>
      <w:rPr>
        <w:color w:val="888888"/>
        <w:sz w:val="16"/>
        <w:szCs w:val="16"/>
      </w:rPr>
      <w:t xml:space="preserve">	UI / UX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8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D6B4E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2F3A37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D6B4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3.5 — NexGenIQ UI/UX Design Specification</dc:title>
  <dc:creator>NexGenIQ Project</dc:creator>
  <cp:lastModifiedBy>Un-named</cp:lastModifiedBy>
  <cp:revision>1</cp:revision>
  <dcterms:created xsi:type="dcterms:W3CDTF">2026-05-20T20:45:50.401Z</dcterms:created>
  <dcterms:modified xsi:type="dcterms:W3CDTF">2026-05-20T20:45:50.401Z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