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5C"/>
          <w:sz w:val="52"/>
          <w:szCs w:val="52"/>
        </w:rPr>
        <w:t xml:space="preserve">OPEN SELECTION INDEX TOOL</w:t>
      </w:r>
    </w:p>
    <w:p>
      <w:pPr>
        <w:spacing w:before="200"/>
        <w:jc w:val="center"/>
      </w:pPr>
      <w:r>
        <w:rPr>
          <w:color w:val="444444"/>
          <w:sz w:val="26"/>
          <w:szCs w:val="26"/>
        </w:rPr>
        <w:t xml:space="preserve">A Web-Based, Open-Source Selection Index &amp; Herd-Simulation Platform for Beef Cattle</w:t>
      </w:r>
    </w:p>
    <w:p>
      <w:pPr>
        <w:spacing w:before="700"/>
        <w:jc w:val="center"/>
      </w:pPr>
      <w:r>
        <w:rPr>
          <w:b/>
          <w:bCs/>
          <w:sz w:val="30"/>
          <w:szCs w:val="30"/>
        </w:rPr>
        <w:t xml:space="preserve">PHASE 3 DELIVERABLE</w:t>
      </w:r>
    </w:p>
    <w:p>
      <w:pPr>
        <w:spacing w:before="120"/>
        <w:jc w:val="center"/>
      </w:pPr>
      <w:r>
        <w:rPr>
          <w:color w:val="444444"/>
          <w:sz w:val="26"/>
          <w:szCs w:val="26"/>
        </w:rPr>
        <w:t xml:space="preserve">Architecture &amp; Technical Build Plan</w:t>
      </w:r>
    </w:p>
    <w:p>
      <w:pPr>
        <w:spacing w:before="120"/>
        <w:jc w:val="center"/>
      </w:pPr>
      <w:r>
        <w:rPr>
          <w:color w:val="666666"/>
          <w:sz w:val="21"/>
          <w:szCs w:val="21"/>
        </w:rPr>
        <w:t xml:space="preserve">Complete Technical Specification — Integrated Index Builder + Whole-Herd Simulation</w:t>
      </w:r>
    </w:p>
    <w:p>
      <w:pPr>
        <w:spacing w:before="1200"/>
        <w:jc w:val="center"/>
      </w:pPr>
      <w:r>
        <w:rPr>
          <w:sz w:val="22"/>
          <w:szCs w:val="22"/>
        </w:rPr>
        <w:t xml:space="preserve">Prepared for: Chase Markel, University of Wyoming</w:t>
      </w:r>
    </w:p>
    <w:p>
      <w:pPr>
        <w:spacing w:before="80"/>
        <w:jc w:val="center"/>
      </w:pPr>
      <w:r>
        <w:rPr>
          <w:color w:val="666666"/>
          <w:sz w:val="22"/>
          <w:szCs w:val="22"/>
        </w:rPr>
        <w:t xml:space="preserve">PhD Research — Cattle Decision Making</w:t>
      </w:r>
    </w:p>
    <w:p>
      <w:pPr>
        <w:spacing w:before="80"/>
        <w:jc w:val="center"/>
      </w:pPr>
      <w:r>
        <w:rPr>
          <w:color w:val="666666"/>
          <w:sz w:val="22"/>
          <w:szCs w:val="22"/>
        </w:rPr>
        <w:t xml:space="preserve">May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Document Purpose and System Overview</w:t>
      </w:r>
    </w:p>
    <w:p>
      <w:pPr>
        <w:spacing w:after="160" w:line="276"/>
      </w:pPr>
      <w:r>
        <w:t xml:space="preserve">This Phase 3 deliverable is the complete technical specification for the Open Selection Index Tool (OSIT). It is written to be executable by a software engineering team without further domain consultation: every calculation is defined mathematically, every data structure is specified, every API endpoint is described, and the build is sequenced into a roadmap with a testing and documentation plan.</w:t>
      </w:r>
    </w:p>
    <w:p>
      <w:pPr>
        <w:spacing w:after="160" w:line="276"/>
      </w:pPr>
      <w:r>
        <w:t xml:space="preserve">It builds directly on Phase 1 (genetics and selection theory) and Phase 2 (iGenDec and comparable-software gap analysis). Section references to those documents are given where a decision traces back to them.</w:t>
      </w:r>
    </w:p>
    <w:p>
      <w:pPr>
        <w:pStyle w:val="Heading2"/>
      </w:pPr>
      <w:r>
        <w:t xml:space="preserve">0.1 What the system is</w:t>
      </w:r>
    </w:p>
    <w:p>
      <w:pPr>
        <w:spacing w:after="160" w:line="276"/>
      </w:pPr>
      <w:r>
        <w:t xml:space="preserve">OSIT is a deployable, open-source web application with </w:t>
      </w:r>
      <w:r>
        <w:rPr>
          <w:b/>
          <w:bCs/>
        </w:rPr>
        <w:t xml:space="preserve">two integrated computational engines and the workflow that connects them</w:t>
      </w:r>
      <w:r>
        <w:t xml:space="preserve">:</w:t>
      </w:r>
    </w:p>
    <w:p>
      <w:pPr>
        <w:pStyle w:val="ListParagraph"/>
        <w:numPr>
          <w:ilvl w:val="0"/>
          <w:numId w:val="2"/>
        </w:numPr>
        <w:spacing w:after="60" w:line="272"/>
      </w:pPr>
      <w:r>
        <w:rPr>
          <w:b/>
          <w:bCs/>
        </w:rPr>
        <w:t xml:space="preserve">The Index Builder</w:t>
      </w:r>
      <w:r>
        <w:t xml:space="preserve"> — an analytical selection-index engine. Given EPDs, economic weights, and genetic parameters it constructs an economic selection index by solving </w:t>
      </w:r>
      <w:r>
        <w:rPr>
          <w:rFonts w:ascii="Consolas" w:cs="Consolas" w:eastAsia="Consolas" w:hAnsi="Consolas"/>
          <w:sz w:val="21"/>
          <w:szCs w:val="21"/>
        </w:rPr>
        <w:t xml:space="preserve">b = P-1Ga</w:t>
      </w:r>
      <w:r>
        <w:t xml:space="preserve">, applies multi-breed across-breed adjustment, scores and ranks candidate animals, and reports accuracy-aware uncertainty and sensitivity analysis. (Phase 1 Sections 2.2-2.9.)</w:t>
      </w:r>
    </w:p>
    <w:p>
      <w:pPr>
        <w:pStyle w:val="ListParagraph"/>
        <w:numPr>
          <w:ilvl w:val="0"/>
          <w:numId w:val="2"/>
        </w:numPr>
        <w:spacing w:after="60" w:line="272"/>
      </w:pPr>
      <w:r>
        <w:rPr>
          <w:b/>
          <w:bCs/>
        </w:rPr>
        <w:t xml:space="preserve">The Herd Simulation Engine</w:t>
      </w:r>
      <w:r>
        <w:t xml:space="preserve"> — a stochastic, whole-herd bio-economic simulator. Given a description of a production system (herd structure, reproduction, sale endpoint, prices, costs) it simulates a cow-calf enterprise over a planning horizon and derives marginal economic values by finite-difference perturbation of the simulated profit function. This is the iGenDec-style capability (Phase 2 Section 1.2).</w:t>
      </w:r>
    </w:p>
    <w:p>
      <w:pPr>
        <w:pStyle w:val="ListParagraph"/>
        <w:numPr>
          <w:ilvl w:val="0"/>
          <w:numId w:val="2"/>
        </w:numPr>
        <w:spacing w:after="60" w:line="272"/>
      </w:pPr>
      <w:r>
        <w:rPr>
          <w:b/>
          <w:bCs/>
        </w:rPr>
        <w:t xml:space="preserve">The integration</w:t>
      </w:r>
      <w:r>
        <w:t xml:space="preserve"> — economic values derived by the Simulation Engine flow directly into the Index Builder as the economic-weight vector. A user can run the full pipeline (describe system -&gt; derive economic values -&gt; build index -&gt; rank animals -&gt; stress-test) or use either engine standalone.</w:t>
      </w:r>
    </w:p>
    <w:p>
      <w:pPr>
        <w:pStyle w:val="Heading2"/>
      </w:pPr>
      <w:r>
        <w:t xml:space="preserve">0.2 Build sequencing (confirmed with stakeholder)</w:t>
      </w:r>
    </w:p>
    <w:p>
      <w:pPr>
        <w:spacing w:after="160" w:line="276"/>
      </w:pPr>
      <w:r>
        <w:t xml:space="preserve">Phase 3 specifies </w:t>
      </w:r>
      <w:r>
        <w:rPr>
          <w:b/>
          <w:bCs/>
        </w:rPr>
        <w:t xml:space="preserve">both engines as one integrated system</w:t>
      </w:r>
      <w:r>
        <w:t xml:space="preserve">. Phase 4 </w:t>
      </w:r>
      <w:r>
        <w:rPr>
          <w:b/>
          <w:bCs/>
        </w:rPr>
        <w:t xml:space="preserve">builds the Index Builder first</w:t>
      </w:r>
      <w:r>
        <w:t xml:space="preserve"> — it is exactly validatable against published indexes, so correctness is demonstrable early and the project is de-risked — then builds the Simulation Engine and wires the two together. Both engines ship; the Index Builder is the first testable milestone, not the endpoint. The data model, API, and UI in this specification are designed for both engines from the start so that nothing built in the first milestone is reworked when the simulation lands.</w:t>
      </w:r>
    </w:p>
    <w:p>
      <w:pPr>
        <w:pStyle w:val="Heading2"/>
      </w:pPr>
      <w:r>
        <w:t xml:space="preserve">0.3 Target users</w:t>
      </w:r>
    </w:p>
    <w:p>
      <w:pPr>
        <w:spacing w:after="160" w:line="276"/>
      </w:pPr>
      <w:r>
        <w:t xml:space="preserve">OSIT serves four audiences with one role-aware codebase (Phase 2 gap G2): </w:t>
      </w:r>
      <w:r>
        <w:rPr>
          <w:b/>
          <w:bCs/>
        </w:rPr>
        <w:t xml:space="preserve">academic researchers and quantitative geneticists</w:t>
      </w:r>
      <w:r>
        <w:t xml:space="preserve"> (full parameter control, reproducibility, API, batch runs); </w:t>
      </w:r>
      <w:r>
        <w:rPr>
          <w:b/>
          <w:bCs/>
        </w:rPr>
        <w:t xml:space="preserve">commercial cattle producers</w:t>
      </w:r>
      <w:r>
        <w:t xml:space="preserve"> (guided workflow, cited defaults, presets, plain-language output); </w:t>
      </w:r>
      <w:r>
        <w:rPr>
          <w:b/>
          <w:bCs/>
        </w:rPr>
        <w:t xml:space="preserve">seedstock / purebred breeders</w:t>
      </w:r>
      <w:r>
        <w:t xml:space="preserve"> (custom breeding-objective design, comparison of candidate matings, association data integration); and </w:t>
      </w:r>
      <w:r>
        <w:rPr>
          <w:b/>
          <w:bCs/>
        </w:rPr>
        <w:t xml:space="preserve">breed associations</w:t>
      </w:r>
      <w:r>
        <w:t xml:space="preserve"> (managed datasets, custom published indexes, member access control). Section 1.3 gives user stories for each.</w:t>
      </w:r>
    </w:p>
    <w:p>
      <w:pPr>
        <w:pBdr>
          <w:left w:val="single" w:color="1F4E5C" w:sz="18" w:space="12"/>
        </w:pBdr>
        <w:spacing w:after="160" w:before="80" w:line="276"/>
        <w:ind w:left="360"/>
      </w:pPr>
      <w:r>
        <w:rPr>
          <w:i/>
          <w:iCs/>
          <w:sz w:val="21"/>
          <w:szCs w:val="21"/>
        </w:rPr>
        <w:t xml:space="preserve">Open design decisions carried from Phase 1 Section 4 are resolved in this document and collected in Appendix A. Where a decision was confirmed with the stakeholder it is marked CONFIRMED.</w:t>
      </w:r>
    </w:p>
    <w:p>
      <w:r>
        <w:br w:type="page"/>
      </w:r>
    </w:p>
    <w:p>
      <w:pPr>
        <w:pStyle w:val="Heading1"/>
      </w:pPr>
      <w:r>
        <w:t xml:space="preserve">Part 3A — Product Specification</w:t>
      </w:r>
    </w:p>
    <w:p>
      <w:pPr>
        <w:pStyle w:val="Heading2"/>
      </w:pPr>
      <w:r>
        <w:t xml:space="preserve">1.1 Feature List</w:t>
      </w:r>
    </w:p>
    <w:p>
      <w:pPr>
        <w:spacing w:after="160" w:line="276"/>
      </w:pPr>
      <w:r>
        <w:t xml:space="preserve">Features are grouped by subsystem. The Roadmap column maps each to a release (M1 = Milestone 1 / Index Builder; M2 = Milestone 2 / Simulation Engine; v1.x = post-1.0).</w:t>
      </w:r>
    </w:p>
    <w:p>
      <w:pPr>
        <w:pStyle w:val="Heading3"/>
      </w:pPr>
      <w:r>
        <w:t xml:space="preserve">1.1.1 Index Builder features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50"/>
        <w:gridCol w:w="5510"/>
        <w:gridCol w:w="1100"/>
      </w:tblGrid>
      <w:tr>
        <w:trPr>
          <w:tblHeader/>
        </w:trPr>
        <w:tc>
          <w:tcPr>
            <w:tcW w:type="dxa" w:w="21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Feature</w:t>
            </w:r>
          </w:p>
        </w:tc>
        <w:tc>
          <w:tcPr>
            <w:tcW w:type="dxa" w:w="551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Description</w:t>
            </w:r>
          </w:p>
        </w:tc>
        <w:tc>
          <w:tcPr>
            <w:tcW w:type="dxa" w:w="11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Roadmap</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Breeding-goal definition</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Define goal traits and economic weights, on one declared economic basis. Sources: direct entry, preset, or simulation-derived.</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Genetic-parameter management</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Load/edit heritabilities, genetic and phenotypic correlations, genetic SDs. From the built-in cited library or user-supplied full matrices.</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Index solver</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Compute index weights b. Economic-weight mode (b = a) as default; full BLUP-index mode (b = P-1Ga) as accuracy-adjusted advanced mode.</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Multi-breed across-breed adjustment</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Apply versioned USMARC/BIF adjustment factors to put candidate EPDs on a common base before indexing.</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EPD/animal import</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Upload candidate animals with EPDs via CSV with a guided column-mapping step; tag evaluation identity (breed, association, base year, EPD vs EBV).</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Animal scoring &amp; ranking</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Compute index value per animal; rank; show per-trait contribution breakdown.</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Accuracy-aware uncertainty</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Propagate EPD accuracies to a standard error and confidence interval on each index value.</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Sensitivity analysis</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One-at-a-time (tornado) variation of economic weights and parameters; rank-stability summary.</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Monte-Carlo sensitivity</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Joint random variation of uncertain inputs; distribution of index weights and rankings.</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v1.1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Risk-adjusted ranking</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Rank on a lower confidence bound of the index value, penalising low-accuracy animals.</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v1.1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Published-index presets</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Library of published indexes ($M/$B/$C, API/TI, $CHB, ...) loadable as starting points.</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Response prediction</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Project genetic gain in the goal and per trait via the breeders' equation for a chosen selection intensity.</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v1.1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Scenario save / compare</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Persist named index scenarios; compare rankings side by side.</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bl>
    <w:p>
      <w:pPr>
        <w:pStyle w:val="Heading3"/>
      </w:pPr>
      <w:r>
        <w:t xml:space="preserve">1.1.2 Herd Simulation Engine features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50"/>
        <w:gridCol w:w="5510"/>
        <w:gridCol w:w="1100"/>
      </w:tblGrid>
      <w:tr>
        <w:trPr>
          <w:tblHeader/>
        </w:trPr>
        <w:tc>
          <w:tcPr>
            <w:tcW w:type="dxa" w:w="21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Feature</w:t>
            </w:r>
          </w:p>
        </w:tc>
        <w:tc>
          <w:tcPr>
            <w:tcW w:type="dxa" w:w="551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Description</w:t>
            </w:r>
          </w:p>
        </w:tc>
        <w:tc>
          <w:tcPr>
            <w:tcW w:type="dxa" w:w="11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Roadmap</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Production-system definition</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Describe herd: size, breeding season, conception rate, age distribution, calving-loss and difficulty rates, cow and bull breed composition.</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Sale-endpoint configuration</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Choose calf marketing endpoint: weaning, backgrounded, fed (fatcattle), or carcass/grid (slaughtercattle); terminal vs replacement-generating.</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Economic-parameter entry</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Sale prices by weight/sex class, carcass grid premiums/discounts, AUM/pasture costs by month, feedlot and backgrounding costs, planning horizon, discount rate.</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Stochastic herd simulation</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Individual-animal, year-by-year simulation with burn-in; correlated genetic and phenotypic trait generation; breed effects, F1 heterosis, age-of-dam adjustments.</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MEV derivation</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Finite-difference perturbation of trait genetic means; discounted profit difference -&gt; marginal economic value per trait component.</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Monte-Carlo error reporting</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Report simulation (Monte-Carlo) standard error of each derived MEV; advise run length.</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Hand-off to Index Builder</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Derived MEV vector populates a Breeding-goal economic-weight set directly.</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Scenario library &amp; presets</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Pre-built production-system templates (e.g., Northern Plains spring-calving, retained heifers, weaning sale).</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bl>
    <w:p>
      <w:pPr>
        <w:pStyle w:val="Heading3"/>
      </w:pPr>
      <w:r>
        <w:t xml:space="preserve">1.1.3 Platform features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50"/>
        <w:gridCol w:w="5510"/>
        <w:gridCol w:w="1100"/>
      </w:tblGrid>
      <w:tr>
        <w:trPr>
          <w:tblHeader/>
        </w:trPr>
        <w:tc>
          <w:tcPr>
            <w:tcW w:type="dxa" w:w="21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Feature</w:t>
            </w:r>
          </w:p>
        </w:tc>
        <w:tc>
          <w:tcPr>
            <w:tcW w:type="dxa" w:w="551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Description</w:t>
            </w:r>
          </w:p>
        </w:tc>
        <w:tc>
          <w:tcPr>
            <w:tcW w:type="dxa" w:w="11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Roadmap</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User accounts &amp; roles</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Registration, login, roles: Producer, Researcher, Breeder, Association Admin, Site Admin.</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Dataset access control</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Path-and-wildcard allow/deny permissions on EPD datasets (adopted from iGenDec, Phase 2 4.1).</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REST API</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Documented HTTP API mirroring every engine function; token auth; batch-friendly.</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Reproducibility ledger</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Every run records inputs, parameter-library version, adjustment-factor table version, engine version, RNG seed (simulation).</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Export &amp; reporting</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Export rankings, index definitions, and reports as CSV, JSON, and PDF.</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21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Audit &amp; versioning</w:t>
            </w:r>
          </w:p>
        </w:tc>
        <w:tc>
          <w:tcPr>
            <w:tcW w:type="dxa" w:w="55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Versioned parameter library, adjustment-factor tables, and preset indexes; changelog visible to users.</w:t>
            </w:r>
          </w:p>
        </w:tc>
        <w:tc>
          <w:tcPr>
            <w:tcW w:type="dxa" w:w="11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bl>
    <w:p>
      <w:pPr>
        <w:pStyle w:val="Heading2"/>
      </w:pPr>
      <w:r>
        <w:t xml:space="preserve">1.2 User Stories by Audience</w:t>
      </w:r>
    </w:p>
    <w:p>
      <w:pPr>
        <w:pStyle w:val="Heading3"/>
      </w:pPr>
      <w:r>
        <w:t xml:space="preserve">1.2.1 Academic researcher / quantitative geneticist</w:t>
      </w:r>
    </w:p>
    <w:p>
      <w:pPr>
        <w:pStyle w:val="ListParagraph"/>
        <w:numPr>
          <w:ilvl w:val="0"/>
          <w:numId w:val="2"/>
        </w:numPr>
        <w:spacing w:after="60" w:line="272"/>
      </w:pPr>
      <w:r>
        <w:t xml:space="preserve">As a researcher, I supply my own estimated genetic (co)variance matrices so the index reflects my population, not literature defaults.</w:t>
      </w:r>
    </w:p>
    <w:p>
      <w:pPr>
        <w:pStyle w:val="ListParagraph"/>
        <w:numPr>
          <w:ilvl w:val="0"/>
          <w:numId w:val="2"/>
        </w:numPr>
        <w:spacing w:after="60" w:line="272"/>
      </w:pPr>
      <w:r>
        <w:t xml:space="preserve">As a researcher, I script 500 index scenarios via the API and retrieve results programmatically for a sensitivity study.</w:t>
      </w:r>
    </w:p>
    <w:p>
      <w:pPr>
        <w:pStyle w:val="ListParagraph"/>
        <w:numPr>
          <w:ilvl w:val="0"/>
          <w:numId w:val="2"/>
        </w:numPr>
        <w:spacing w:after="60" w:line="272"/>
      </w:pPr>
      <w:r>
        <w:t xml:space="preserve">As a researcher, I reproduce a run exactly months later because every input and parameter-library version is recorded.</w:t>
      </w:r>
    </w:p>
    <w:p>
      <w:pPr>
        <w:pStyle w:val="ListParagraph"/>
        <w:numPr>
          <w:ilvl w:val="0"/>
          <w:numId w:val="2"/>
        </w:numPr>
        <w:spacing w:after="60" w:line="272"/>
      </w:pPr>
      <w:r>
        <w:t xml:space="preserve">As a researcher, I compare the economic-weight index against the full BLUP-index to quantify the effect of accuracy weighting.</w:t>
      </w:r>
    </w:p>
    <w:p>
      <w:pPr>
        <w:pStyle w:val="ListParagraph"/>
        <w:numPr>
          <w:ilvl w:val="0"/>
          <w:numId w:val="2"/>
        </w:numPr>
        <w:spacing w:after="60" w:line="272"/>
      </w:pPr>
      <w:r>
        <w:t xml:space="preserve">As a researcher, I export a derived MEV vector and the simulation's Monte-Carlo error to report in a paper.</w:t>
      </w:r>
    </w:p>
    <w:p>
      <w:pPr>
        <w:pStyle w:val="Heading3"/>
      </w:pPr>
      <w:r>
        <w:t xml:space="preserve">1.2.2 Commercial cattle producer</w:t>
      </w:r>
    </w:p>
    <w:p>
      <w:pPr>
        <w:pStyle w:val="ListParagraph"/>
        <w:numPr>
          <w:ilvl w:val="0"/>
          <w:numId w:val="2"/>
        </w:numPr>
        <w:spacing w:after="60" w:line="272"/>
      </w:pPr>
      <w:r>
        <w:t xml:space="preserve">As a producer, I describe my operation in plain terms and get economic values without needing to know quantitative genetics.</w:t>
      </w:r>
    </w:p>
    <w:p>
      <w:pPr>
        <w:pStyle w:val="ListParagraph"/>
        <w:numPr>
          <w:ilvl w:val="0"/>
          <w:numId w:val="2"/>
        </w:numPr>
        <w:spacing w:after="60" w:line="272"/>
      </w:pPr>
      <w:r>
        <w:t xml:space="preserve">As a producer, I upload a sale catalogue's bulls as a CSV and see them ranked for MY operation, with a plain-language reason each ranks where it does.</w:t>
      </w:r>
    </w:p>
    <w:p>
      <w:pPr>
        <w:pStyle w:val="ListParagraph"/>
        <w:numPr>
          <w:ilvl w:val="0"/>
          <w:numId w:val="2"/>
        </w:numPr>
        <w:spacing w:after="60" w:line="272"/>
      </w:pPr>
      <w:r>
        <w:t xml:space="preserve">As a producer, I compare bulls from three different breeds on one list because the tool puts their EPDs on a common base.</w:t>
      </w:r>
    </w:p>
    <w:p>
      <w:pPr>
        <w:pStyle w:val="ListParagraph"/>
        <w:numPr>
          <w:ilvl w:val="0"/>
          <w:numId w:val="2"/>
        </w:numPr>
        <w:spacing w:after="60" w:line="272"/>
      </w:pPr>
      <w:r>
        <w:t xml:space="preserve">As a producer, I see how much the ranking would change if calf prices fell, so I know how robust my choice is.</w:t>
      </w:r>
    </w:p>
    <w:p>
      <w:pPr>
        <w:pStyle w:val="Heading3"/>
      </w:pPr>
      <w:r>
        <w:t xml:space="preserve">1.2.3 Seedstock / purebred breeder</w:t>
      </w:r>
    </w:p>
    <w:p>
      <w:pPr>
        <w:pStyle w:val="ListParagraph"/>
        <w:numPr>
          <w:ilvl w:val="0"/>
          <w:numId w:val="2"/>
        </w:numPr>
        <w:spacing w:after="60" w:line="272"/>
      </w:pPr>
      <w:r>
        <w:t xml:space="preserve">As a breeder, I design a custom breeding objective for my target commercial customer and rank my own herd against it.</w:t>
      </w:r>
    </w:p>
    <w:p>
      <w:pPr>
        <w:pStyle w:val="ListParagraph"/>
        <w:numPr>
          <w:ilvl w:val="0"/>
          <w:numId w:val="2"/>
        </w:numPr>
        <w:spacing w:after="60" w:line="272"/>
      </w:pPr>
      <w:r>
        <w:t xml:space="preserve">As a breeder, I evaluate candidate matings by combining parent EPDs into predicted progeny index values.</w:t>
      </w:r>
    </w:p>
    <w:p>
      <w:pPr>
        <w:pStyle w:val="ListParagraph"/>
        <w:numPr>
          <w:ilvl w:val="0"/>
          <w:numId w:val="2"/>
        </w:numPr>
        <w:spacing w:after="60" w:line="272"/>
      </w:pPr>
      <w:r>
        <w:t xml:space="preserve">As a breeder, I import my breed association's EPD dataset and keep my selection decisions aligned with the latest evaluation.</w:t>
      </w:r>
    </w:p>
    <w:p>
      <w:pPr>
        <w:pStyle w:val="Heading3"/>
      </w:pPr>
      <w:r>
        <w:t xml:space="preserve">1.2.4 Breed association</w:t>
      </w:r>
    </w:p>
    <w:p>
      <w:pPr>
        <w:pStyle w:val="ListParagraph"/>
        <w:numPr>
          <w:ilvl w:val="0"/>
          <w:numId w:val="2"/>
        </w:numPr>
        <w:spacing w:after="60" w:line="272"/>
      </w:pPr>
      <w:r>
        <w:t xml:space="preserve">As an association admin, I host my members' EPD datasets and control which members can access which datasets.</w:t>
      </w:r>
    </w:p>
    <w:p>
      <w:pPr>
        <w:pStyle w:val="ListParagraph"/>
        <w:numPr>
          <w:ilvl w:val="0"/>
          <w:numId w:val="2"/>
        </w:numPr>
        <w:spacing w:after="60" w:line="272"/>
      </w:pPr>
      <w:r>
        <w:t xml:space="preserve">As an association admin, I publish a custom association index and let members apply it to their animals.</w:t>
      </w:r>
    </w:p>
    <w:p>
      <w:pPr>
        <w:pStyle w:val="ListParagraph"/>
        <w:numPr>
          <w:ilvl w:val="0"/>
          <w:numId w:val="2"/>
        </w:numPr>
        <w:spacing w:after="60" w:line="272"/>
      </w:pPr>
      <w:r>
        <w:t xml:space="preserve">As an association admin, I use the simulation engine to derive and document the economic weights behind a new published index.</w:t>
      </w:r>
    </w:p>
    <w:p>
      <w:pPr>
        <w:pStyle w:val="Heading2"/>
      </w:pPr>
      <w:r>
        <w:t xml:space="preserve">1.3 Input / Output Specification (Major Functions)</w:t>
      </w:r>
    </w:p>
    <w:p>
      <w:pPr>
        <w:pStyle w:val="Heading3"/>
      </w:pPr>
      <w:r>
        <w:t xml:space="preserve">1.3.1 Build Index</w:t>
      </w:r>
    </w:p>
    <w:p>
      <w:pPr>
        <w:spacing w:after="160" w:line="276"/>
      </w:pPr>
      <w:r>
        <w:rPr>
          <w:b/>
          <w:bCs/>
        </w:rPr>
        <w:t xml:space="preserve">Inputs:</w:t>
      </w:r>
      <w:r>
        <w:t xml:space="preserve"> a Breeding Goal (goal traits + economic weights + basis); a Genetic Parameter Set (G0, P0, genetic SDs); an index mode (economic-weight | BLUP-index); a candidate Animal Set (per-animal EPDs + accuracies + evaluation identity); an across-breed adjustment selection (table version, or 'native multi-breed evaluation').</w:t>
      </w:r>
    </w:p>
    <w:p>
      <w:pPr>
        <w:spacing w:after="160" w:line="276"/>
      </w:pPr>
      <w:r>
        <w:rPr>
          <w:b/>
          <w:bCs/>
        </w:rPr>
        <w:t xml:space="preserve">Outputs:</w:t>
      </w:r>
      <w:r>
        <w:t xml:space="preserve"> index weights b; per-animal index value with standard error and confidence interval; ranking; per-trait contribution matrix; validation report; the reproducibility ledger entry.</w:t>
      </w:r>
    </w:p>
    <w:p>
      <w:pPr>
        <w:pStyle w:val="Heading3"/>
      </w:pPr>
      <w:r>
        <w:t xml:space="preserve">1.3.2 Derive Economic Values (Simulation)</w:t>
      </w:r>
    </w:p>
    <w:p>
      <w:pPr>
        <w:spacing w:after="160" w:line="276"/>
      </w:pPr>
      <w:r>
        <w:rPr>
          <w:b/>
          <w:bCs/>
        </w:rPr>
        <w:t xml:space="preserve">Inputs:</w:t>
      </w:r>
      <w:r>
        <w:t xml:space="preserve"> a Production System (herd, reproduction, breed composition); a Sale Endpoint configuration; an Economic Parameter Set (prices, grid, costs, horizon, discount rate); simulation controls (burn-in years, planning-horizon years, replicate count, RNG seed).</w:t>
      </w:r>
    </w:p>
    <w:p>
      <w:pPr>
        <w:spacing w:after="160" w:line="276"/>
      </w:pPr>
      <w:r>
        <w:rPr>
          <w:b/>
          <w:bCs/>
        </w:rPr>
        <w:t xml:space="preserve">Outputs:</w:t>
      </w:r>
      <w:r>
        <w:t xml:space="preserve"> a vector of marginal economic values per trait component, each with a Monte-Carlo standard error; simulated baseline profit and herd summary; the reproducibility ledger entry. The MEV vector is directly usable as a Breeding Goal's economic weights.</w:t>
      </w:r>
    </w:p>
    <w:p>
      <w:pPr>
        <w:pStyle w:val="Heading3"/>
      </w:pPr>
      <w:r>
        <w:t xml:space="preserve">1.3.3 Sensitivity Analysis</w:t>
      </w:r>
    </w:p>
    <w:p>
      <w:pPr>
        <w:spacing w:after="160" w:line="276"/>
      </w:pPr>
      <w:r>
        <w:rPr>
          <w:b/>
          <w:bCs/>
        </w:rPr>
        <w:t xml:space="preserve">Inputs:</w:t>
      </w:r>
      <w:r>
        <w:t xml:space="preserve"> a completed index scenario; a list of inputs to vary with ranges; mode (tornado | Monte-Carlo).</w:t>
      </w:r>
    </w:p>
    <w:p>
      <w:pPr>
        <w:spacing w:after="160" w:line="276"/>
      </w:pPr>
      <w:r>
        <w:rPr>
          <w:b/>
          <w:bCs/>
        </w:rPr>
        <w:t xml:space="preserve">Outputs:</w:t>
      </w:r>
      <w:r>
        <w:t xml:space="preserve"> per-input effect on index weights and on ranking; rank-correlation stability summary; tornado chart data / Monte-Carlo distributions.</w:t>
      </w:r>
    </w:p>
    <w:p>
      <w:pPr>
        <w:pStyle w:val="Heading2"/>
      </w:pPr>
      <w:r>
        <w:t xml:space="preserve">1.4 Edge Cases and Validation Rules</w:t>
      </w:r>
    </w:p>
    <w:p>
      <w:pPr>
        <w:spacing w:after="160" w:line="276"/>
      </w:pPr>
      <w:r>
        <w:t xml:space="preserve">These extend the theory-level rules of Phase 1 Section 2.8 into concrete software behaviour. Severity: ERROR blocks the run; WARN proceeds with a flagged result; INFO is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4250"/>
        <w:gridCol w:w="3260"/>
      </w:tblGrid>
      <w:tr>
        <w:trPr>
          <w:tblHeader/>
        </w:trPr>
        <w:tc>
          <w:tcPr>
            <w:tcW w:type="dxa" w:w="18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Rule</w:t>
            </w:r>
          </w:p>
        </w:tc>
        <w:tc>
          <w:tcPr>
            <w:tcW w:type="dxa" w:w="42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Check</w:t>
            </w:r>
          </w:p>
        </w:tc>
        <w:tc>
          <w:tcPr>
            <w:tcW w:type="dxa" w:w="326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Severity / behaviour</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Matrix symmetry</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G0, P0 symmetric within tolerance 1e-8.</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 reject.</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Positive definiteness</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 positive definite; G0 positive semi-definite (eigenvalue check).</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by default; offer flagged nearest-PD repair (Appendix A, decision 6).</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Correlation range</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All correlations in [-1,1]; |r_g| computed from covariances within bound.</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 reject.</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Heritability range</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h2 in (0,1].</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 reject.</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Unit / base consistency</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Every candidate EPD has known units and declared base/evaluation identity.</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 reject the animal set.</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Economic-basis consistency</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All economic weights share one basis (per cow | per calf | per unit).</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 reject.</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Missing EPD for index trait</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Animal lacks an EPD for a goal/information trait.</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User-selected per run: exclude-with-WARN (default) | mean-impute-with-WARN (result flagged partial).</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EPD vs EBV mismatch</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Animal set mixes EPD-scale and EBV-scale columns.</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unless a per-column scale flag is set so the engine can reconcile.</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Cross-evaluation comparison</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Animals from different associations/base years without an adjustment table.</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 require an across-breed table or a 'native multi-breed' declaration.</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Unsupported across-breed trait</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Index trait has no published USMARC factor (e.g., feed efficiency).</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ERROR for multi-breed runs unless user supplies a factor (then WARN: user-derived).</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Near-zero accuracy</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Candidate EPD accuracy below a threshold (default BIF acc &lt; 0.05).</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WARN — point-estimate ranking unreliable; suggest risk-adjusted mode.</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Redundant traits</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Both a composite trait and its components in the goal (e.g., YW with WW+PWG).</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WARN — possible double-counting.</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Degenerate goal</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Single goal trait, or one |economic weight| &gt; 100x others.</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INFO — index reduces toward single-trait/tandem selection.</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Simulation not converged</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Cow age distribution still drifting at end of burn-in.</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WARN — increase burn-in years.</w:t>
            </w:r>
          </w:p>
        </w:tc>
      </w:tr>
      <w:tr>
        <w:tc>
          <w:tcPr>
            <w:tcW w:type="dxa" w:w="18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High Monte-Carlo error</w:t>
            </w:r>
          </w:p>
        </w:tc>
        <w:tc>
          <w:tcPr>
            <w:tcW w:type="dxa" w:w="42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Derived MEV standard error &gt; a set fraction of the MEV.</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WARN — increase replicate count or horizon.</w:t>
            </w:r>
          </w:p>
        </w:tc>
      </w:tr>
    </w:tbl>
    <w:p>
      <w:r>
        <w:br w:type="page"/>
      </w:r>
    </w:p>
    <w:p>
      <w:pPr>
        <w:pStyle w:val="Heading1"/>
      </w:pPr>
      <w:r>
        <w:t xml:space="preserve">Part 3B — Mathematical &amp; Algorithmic Specification</w:t>
      </w:r>
    </w:p>
    <w:p>
      <w:pPr>
        <w:pStyle w:val="Heading2"/>
      </w:pPr>
      <w:r>
        <w:t xml:space="preserve">2.1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Symbol</w:t>
            </w:r>
          </w:p>
        </w:tc>
        <w:tc>
          <w:tcPr>
            <w:tcW w:type="dxa" w:w="736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Meaning</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 n</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number of goal traits; number of information sources (EPDs)</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 (m x 1)</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economic weights on goal traits</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 (m x 1)</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true breeding values of goal traits; H = a'g is the aggregate genotype</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x (n x 1)</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information sources for an animal (its EPDs, base-adjusted)</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 (n x 1)</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index weights; I = b'x is the index value</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 (n x n)</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(co)variance matrix among information sources</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 (n x m)</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covariance matrix between information sources and goal-trait breeding values</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G0, P0</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trait-level genetic and phenotypic (co)variance matrices</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sigma_u,k</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additive genetic SD of trait k; r_g(j,k) genetic correlation</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r_k (BIF)</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BIF accuracy of EPD k for an animal; rho_k = theoretical accuracy</w:t>
            </w:r>
          </w:p>
        </w:tc>
      </w:tr>
      <w:tr>
        <w:tc>
          <w:tcPr>
            <w:tcW w:type="dxa" w:w="20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 L</w:t>
            </w:r>
          </w:p>
        </w:tc>
        <w:tc>
          <w:tcPr>
            <w:tcW w:type="dxa" w:w="73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selection intensity; generation interval</w:t>
            </w:r>
          </w:p>
        </w:tc>
      </w:tr>
    </w:tbl>
    <w:p>
      <w:pPr>
        <w:pStyle w:val="Heading2"/>
      </w:pPr>
      <w:r>
        <w:t xml:space="preserve">2.2 The Index Builder — Core Algorithm</w:t>
      </w:r>
    </w:p>
    <w:p>
      <w:pPr>
        <w:spacing w:after="160" w:line="276"/>
      </w:pPr>
      <w:r>
        <w:t xml:space="preserve">The Index Builder solves the selection-index equations of Phase 1 Section 2.2. This section specifies the computation precisely.</w:t>
      </w:r>
    </w:p>
    <w:p>
      <w:pPr>
        <w:pStyle w:val="Heading3"/>
      </w:pPr>
      <w:r>
        <w:t xml:space="preserve">2.2.1 Constructing P and G</w:t>
      </w:r>
    </w:p>
    <w:p>
      <w:pPr>
        <w:spacing w:after="160" w:line="276"/>
      </w:pPr>
      <w:r>
        <w:t xml:space="preserve">Information sources are EPDs from a national evaluation. For an animal, EPD k predicts (half) the breeding value of trait k with BIF accuracy r_k. Convert to theoretical accuracy and reliability (Phase 1 Section 1.4):</w:t>
      </w:r>
    </w:p>
    <w:p>
      <w:pPr>
        <w:spacing w:after="140" w:before="120"/>
        <w:jc w:val="center"/>
      </w:pPr>
      <w:r>
        <w:rPr>
          <w:rFonts w:ascii="Cambria Math" w:cs="Cambria Math" w:eastAsia="Cambria Math" w:hAnsi="Cambria Math"/>
          <w:i/>
          <w:iCs/>
          <w:sz w:val="24"/>
          <w:szCs w:val="24"/>
        </w:rPr>
        <w:t xml:space="preserve">rho_k = sqrt(1 - (1 - r_k)^2) ;   reliability rel_k = rho_k^2 = 1 - (1 - r_k)^2</w:t>
      </w:r>
    </w:p>
    <w:p>
      <w:pPr>
        <w:spacing w:after="160" w:line="276"/>
      </w:pPr>
      <w:r>
        <w:t xml:space="preserve">The variance of an EPD and the covariance between two EPDs of the same animal are:</w:t>
      </w:r>
    </w:p>
    <w:p>
      <w:pPr>
        <w:spacing w:after="140" w:before="120"/>
        <w:jc w:val="center"/>
      </w:pPr>
      <w:r>
        <w:rPr>
          <w:rFonts w:ascii="Cambria Math" w:cs="Cambria Math" w:eastAsia="Cambria Math" w:hAnsi="Cambria Math"/>
          <w:i/>
          <w:iCs/>
          <w:sz w:val="24"/>
          <w:szCs w:val="24"/>
        </w:rPr>
        <w:t xml:space="preserve">Var(EPD_k) = (1/4) * rel_k * sigma_u,k^2</w:t>
      </w:r>
    </w:p>
    <w:p>
      <w:pPr>
        <w:spacing w:after="140" w:before="120"/>
        <w:jc w:val="center"/>
      </w:pPr>
      <w:r>
        <w:rPr>
          <w:rFonts w:ascii="Cambria Math" w:cs="Cambria Math" w:eastAsia="Cambria Math" w:hAnsi="Cambria Math"/>
          <w:i/>
          <w:iCs/>
          <w:sz w:val="24"/>
          <w:szCs w:val="24"/>
        </w:rPr>
        <w:t xml:space="preserve">Cov(EPD_j, EPD_k) = (1/4) * sqrt(rel_j * rel_k) * r_g(j,k) * sigma_u,j * sigma_u,k</w:t>
      </w:r>
    </w:p>
    <w:p>
      <w:pPr>
        <w:spacing w:after="160" w:line="276"/>
      </w:pPr>
      <w:r>
        <w:t xml:space="preserve">These populate the n x n matrix </w:t>
      </w:r>
      <w:r>
        <w:rPr>
          <w:b/>
          <w:bCs/>
        </w:rPr>
        <w:t xml:space="preserve">P</w:t>
      </w:r>
      <w:r>
        <w:t xml:space="preserve">. The factor 1/4 places EPDs on the progeny-difference scale (EPD = EBV/2, so Var(EPD) = Var(EBV)/4). The n x m matrix </w:t>
      </w:r>
      <w:r>
        <w:rPr>
          <w:b/>
          <w:bCs/>
        </w:rPr>
        <w:t xml:space="preserve">G</w:t>
      </w:r>
      <w:r>
        <w:t xml:space="preserve"> holds the covariance between information source j and goal-trait breeding value k:</w:t>
      </w:r>
    </w:p>
    <w:p>
      <w:pPr>
        <w:spacing w:after="140" w:before="120"/>
        <w:jc w:val="center"/>
      </w:pPr>
      <w:r>
        <w:rPr>
          <w:rFonts w:ascii="Cambria Math" w:cs="Cambria Math" w:eastAsia="Cambria Math" w:hAnsi="Cambria Math"/>
          <w:i/>
          <w:iCs/>
          <w:sz w:val="24"/>
          <w:szCs w:val="24"/>
        </w:rPr>
        <w:t xml:space="preserve">G(j,k) = (1/2) * rel_j^(1/2) * r_g(j,k) * sigma_u,j * sigma_u,k</w:t>
      </w:r>
    </w:p>
    <w:p>
      <w:pPr>
        <w:spacing w:after="160" w:line="276"/>
      </w:pPr>
      <w:r>
        <w:t xml:space="preserve">with the 1/2 converting one scale (EPD) to the other (breeding value). When information sources and goal traits are the same set and accuracies are uniform, P and G reduce to scaled copies of G0 and the solution collapses to the economic-weight index — the consistency check of Phase 1 Section 2.2.4.</w:t>
      </w:r>
    </w:p>
    <w:p>
      <w:pPr>
        <w:pStyle w:val="Heading3"/>
      </w:pPr>
      <w:r>
        <w:t xml:space="preserve">2.2.2 Solving for index weights</w:t>
      </w:r>
    </w:p>
    <w:p>
      <w:pPr>
        <w:spacing w:after="160" w:line="276"/>
      </w:pPr>
      <w:r>
        <w:t xml:space="preserve">Index weights are b = P-1 G a. The implementation </w:t>
      </w:r>
      <w:r>
        <w:rPr>
          <w:b/>
          <w:bCs/>
        </w:rPr>
        <w:t xml:space="preserve">never explicitly inverts P</w:t>
      </w:r>
      <w:r>
        <w:t xml:space="preserve">. It solves the linear system by Cholesky factorisation, which is numerically stable for the symmetric positive-definite P:</w:t>
      </w:r>
    </w:p>
    <w:p>
      <w:pPr>
        <w:pStyle w:val="ListParagraph"/>
        <w:numPr>
          <w:ilvl w:val="0"/>
          <w:numId w:val="3"/>
        </w:numPr>
        <w:spacing w:after="60" w:line="272"/>
      </w:pPr>
      <w:r>
        <w:t xml:space="preserve">Factor P = L L' (Cholesky). If factorisation fails, P is not positive definite — raise the validation ERROR of Section 1.4.</w:t>
      </w:r>
    </w:p>
    <w:p>
      <w:pPr>
        <w:pStyle w:val="ListParagraph"/>
        <w:numPr>
          <w:ilvl w:val="0"/>
          <w:numId w:val="3"/>
        </w:numPr>
        <w:spacing w:after="60" w:line="272"/>
      </w:pPr>
      <w:r>
        <w:t xml:space="preserve">Form the right-hand side w = G a (an n-vector).</w:t>
      </w:r>
    </w:p>
    <w:p>
      <w:pPr>
        <w:pStyle w:val="ListParagraph"/>
        <w:numPr>
          <w:ilvl w:val="0"/>
          <w:numId w:val="3"/>
        </w:numPr>
        <w:spacing w:after="60" w:line="272"/>
      </w:pPr>
      <w:r>
        <w:t xml:space="preserve">Solve L y = w by forward substitution, then L' b = y by back substitution. The result b is the index-weight vector.</w:t>
      </w:r>
    </w:p>
    <w:p>
      <w:pPr>
        <w:spacing w:after="160" w:line="276"/>
      </w:pPr>
      <w:r>
        <w:t xml:space="preserve">In </w:t>
      </w:r>
      <w:r>
        <w:rPr>
          <w:b/>
          <w:bCs/>
        </w:rPr>
        <w:t xml:space="preserve">economic-weight mode</w:t>
      </w:r>
      <w:r>
        <w:t xml:space="preserve"> (the CONFIRMED default), the solver is bypassed and b = a directly, with the goal traits and information sources required to coincide. In </w:t>
      </w:r>
      <w:r>
        <w:rPr>
          <w:b/>
          <w:bCs/>
        </w:rPr>
        <w:t xml:space="preserve">BLUP-index mode</w:t>
      </w:r>
      <w:r>
        <w:t xml:space="preserve">, the full solve runs. Both modes share one code path: economic-weight mode is the special case P-1G = I.</w:t>
      </w:r>
    </w:p>
    <w:p>
      <w:pPr>
        <w:pStyle w:val="Heading3"/>
      </w:pPr>
      <w:r>
        <w:t xml:space="preserve">2.2.3 Scoring, ranking, and contributions</w:t>
      </w:r>
    </w:p>
    <w:p>
      <w:pPr>
        <w:spacing w:after="160" w:line="276"/>
      </w:pPr>
      <w:r>
        <w:t xml:space="preserve">For animal i with base-adjusted EPD vector x_i, the index value and its per-trait contribution are:</w:t>
      </w:r>
    </w:p>
    <w:p>
      <w:pPr>
        <w:spacing w:after="140" w:before="120"/>
        <w:jc w:val="center"/>
      </w:pPr>
      <w:r>
        <w:rPr>
          <w:rFonts w:ascii="Cambria Math" w:cs="Cambria Math" w:eastAsia="Cambria Math" w:hAnsi="Cambria Math"/>
          <w:i/>
          <w:iCs/>
          <w:sz w:val="24"/>
          <w:szCs w:val="24"/>
        </w:rPr>
        <w:t xml:space="preserve">I_i = b' x_i = sum_k b_k * x_i,k ;   contribution_i,k = b_k * x_i,k</w:t>
      </w:r>
    </w:p>
    <w:p>
      <w:pPr>
        <w:spacing w:after="160" w:line="276"/>
      </w:pPr>
      <w:r>
        <w:t xml:space="preserve">Animals are ranked by descending I_i. The contribution matrix (animals x traits) is returned so the UI can explain each ranking. The index is reported on three selectable scales (Appendix A, decision 7): raw I; deviation from population mean (default); and a rescaled familiar-mean/SD presentation.</w:t>
      </w:r>
    </w:p>
    <w:p>
      <w:pPr>
        <w:pStyle w:val="Heading3"/>
      </w:pPr>
      <w:r>
        <w:t xml:space="preserve">2.2.4 Uncertainty on the index value</w:t>
      </w:r>
    </w:p>
    <w:p>
      <w:pPr>
        <w:spacing w:after="160" w:line="276"/>
      </w:pPr>
      <w:r>
        <w:t xml:space="preserve">Index weights b are treated as fixed; each animal's EPD vector carries sampling error with covariance matrix S_i (built exactly as P in Section 2.2.1 but using animal i's own accuracies). The standard error of the index value and its 95% interval are:</w:t>
      </w:r>
    </w:p>
    <w:p>
      <w:pPr>
        <w:spacing w:after="140" w:before="120"/>
        <w:jc w:val="center"/>
      </w:pPr>
      <w:r>
        <w:rPr>
          <w:rFonts w:ascii="Cambria Math" w:cs="Cambria Math" w:eastAsia="Cambria Math" w:hAnsi="Cambria Math"/>
          <w:i/>
          <w:iCs/>
          <w:sz w:val="24"/>
          <w:szCs w:val="24"/>
        </w:rPr>
        <w:t xml:space="preserve">Var(I_i) = b' S_i b ;   SE(I_i) = sqrt(b' S_i b) ;   95% CI = I_i +/- 1.96 * SE(I_i)</w:t>
      </w:r>
    </w:p>
    <w:p>
      <w:pPr>
        <w:spacing w:after="160" w:line="276"/>
      </w:pPr>
      <w:r>
        <w:t xml:space="preserve">The risk-adjusted ranking mode (v1.1) ranks on the lower bound I_i - z*SE(I_i) for a user-chosen z, penalising low-accuracy animals.</w:t>
      </w:r>
    </w:p>
    <w:p>
      <w:pPr>
        <w:pStyle w:val="Heading2"/>
      </w:pPr>
      <w:r>
        <w:t xml:space="preserve">2.3 Multi-Breed Across-Breed Adjustment</w:t>
      </w:r>
    </w:p>
    <w:p>
      <w:pPr>
        <w:spacing w:after="160" w:line="276"/>
      </w:pPr>
      <w:r>
        <w:t xml:space="preserve">Before indexing a multi-breed animal set, each EPD is moved to the common (Angus) base using the versioned USMARC/BIF factor table (Phase 1 Section 1.6):</w:t>
      </w:r>
    </w:p>
    <w:p>
      <w:pPr>
        <w:spacing w:after="140" w:before="120"/>
        <w:jc w:val="center"/>
      </w:pPr>
      <w:r>
        <w:rPr>
          <w:rFonts w:ascii="Cambria Math" w:cs="Cambria Math" w:eastAsia="Cambria Math" w:hAnsi="Cambria Math"/>
          <w:i/>
          <w:iCs/>
          <w:sz w:val="24"/>
          <w:szCs w:val="24"/>
        </w:rPr>
        <w:t xml:space="preserve">EPD_adjusted(i,k) = EPD_withinBreed(i,k) + AF(breed_i, trait_k, table_version)</w:t>
      </w:r>
    </w:p>
    <w:p>
      <w:pPr>
        <w:spacing w:after="160" w:line="276"/>
      </w:pPr>
      <w:r>
        <w:t xml:space="preserve">Algorithm: (1) read each animal's breed and evaluation identity; (2) if all animals share one native multi-breed evaluation, skip adjustment; (3) otherwise look up AF for each (breed, trait) pair from the selected table version — ERROR if a trait has no published factor and the user supplied none; (4) apply the additive shift; (5) record the table version and every applied factor in the reproducibility ledger. The transformation is explicit, reversible, and shown to the user.</w:t>
      </w:r>
    </w:p>
    <w:p>
      <w:pPr>
        <w:pStyle w:val="Heading2"/>
      </w:pPr>
      <w:r>
        <w:t xml:space="preserve">2.4 Response Prediction (v1.1)</w:t>
      </w:r>
    </w:p>
    <w:p>
      <w:pPr>
        <w:spacing w:after="160" w:line="276"/>
      </w:pPr>
      <w:r>
        <w:t xml:space="preserve">Given a built index and a selection proportion p, the breeders' equation (Phase 1 Section 3.5) projects gain. The accuracy of the index as a predictor of the aggregate genotype is r_IH = sqrt( (b'Ga) / (b'Pb * a'C0a) ) where C0 is the goal-trait genetic (co)variance matrix; selection intensity i is obtained from p via the standard normal (i = phi(z_p)/p). Annual gain in the aggregate genotype and partitioned per trait:</w:t>
      </w:r>
    </w:p>
    <w:p>
      <w:pPr>
        <w:spacing w:after="140" w:before="120"/>
        <w:jc w:val="center"/>
      </w:pPr>
      <w:r>
        <w:rPr>
          <w:rFonts w:ascii="Cambria Math" w:cs="Cambria Math" w:eastAsia="Cambria Math" w:hAnsi="Cambria Math"/>
          <w:i/>
          <w:iCs/>
          <w:sz w:val="24"/>
          <w:szCs w:val="24"/>
        </w:rPr>
        <w:t xml:space="preserve">Delta H / year = (i * r_IH * sigma_H) / L ;   Delta g_k = (i / (sigma_I * L)) * (C0 b)_k</w:t>
      </w:r>
    </w:p>
    <w:p>
      <w:pPr>
        <w:spacing w:after="160" w:line="276"/>
      </w:pPr>
      <w:r>
        <w:t xml:space="preserve">with sigma_I = sqrt(b'Pb) and sigma_H = sqrt(a'C0a). Outputs are projected annual and cumulative gains for the goal and each trait.</w:t>
      </w:r>
    </w:p>
    <w:p>
      <w:pPr>
        <w:pStyle w:val="Heading2"/>
      </w:pPr>
      <w:r>
        <w:t xml:space="preserve">2.5 The Herd Simulation Engine</w:t>
      </w:r>
    </w:p>
    <w:p>
      <w:pPr>
        <w:spacing w:after="160" w:line="276"/>
      </w:pPr>
      <w:r>
        <w:t xml:space="preserve">The Simulation Engine derives economic weights by simulating a beef cow-calf enterprise and differentiating its profit function numerically. The design follows the documented iGenDec methodology (Phase 2 Section 1.2) while being re-implemented openly and modularly. It is built in Milestone 2; this section specifies it in full so Milestone 1's data model and API accommodate it.</w:t>
      </w:r>
    </w:p>
    <w:p>
      <w:pPr>
        <w:pStyle w:val="Heading3"/>
      </w:pPr>
      <w:r>
        <w:t xml:space="preserve">2.5.1 Simulation structure</w:t>
      </w:r>
    </w:p>
    <w:p>
      <w:pPr>
        <w:pStyle w:val="ListParagraph"/>
        <w:numPr>
          <w:ilvl w:val="0"/>
          <w:numId w:val="3"/>
        </w:numPr>
        <w:spacing w:after="60" w:line="272"/>
      </w:pPr>
      <w:r>
        <w:rPr>
          <w:b/>
          <w:bCs/>
        </w:rPr>
        <w:t xml:space="preserve">Initialise</w:t>
      </w:r>
      <w:r>
        <w:t xml:space="preserve"> a cow herd of the target size with a breed composition sampled from the user's CowHerdBreedComposition and an age distribution from the user's ageDist. Assign each cow correlated breeding values drawn from G0 (multivariate normal via Cholesky of G0) plus breed additive effects and F1 heterosis for its composition.</w:t>
      </w:r>
    </w:p>
    <w:p>
      <w:pPr>
        <w:pStyle w:val="ListParagraph"/>
        <w:numPr>
          <w:ilvl w:val="0"/>
          <w:numId w:val="3"/>
        </w:numPr>
        <w:spacing w:after="60" w:line="272"/>
      </w:pPr>
      <w:r>
        <w:rPr>
          <w:b/>
          <w:bCs/>
        </w:rPr>
        <w:t xml:space="preserve">Burn-in:</w:t>
      </w:r>
      <w:r>
        <w:t xml:space="preserve"> simulate </w:t>
      </w:r>
      <w:r>
        <w:rPr>
          <w:rFonts w:ascii="Consolas" w:cs="Consolas" w:eastAsia="Consolas" w:hAnsi="Consolas"/>
          <w:sz w:val="21"/>
          <w:szCs w:val="21"/>
        </w:rPr>
        <w:t xml:space="preserve">burnin</w:t>
      </w:r>
      <w:r>
        <w:t xml:space="preserve"> years (default 10) without recording economic output, so the cow age structure and trait expression stabilise. For terminal indexes burn-in is skipped (age structure is fixed by ageDist).</w:t>
      </w:r>
    </w:p>
    <w:p>
      <w:pPr>
        <w:pStyle w:val="ListParagraph"/>
        <w:numPr>
          <w:ilvl w:val="0"/>
          <w:numId w:val="3"/>
        </w:numPr>
        <w:spacing w:after="60" w:line="272"/>
      </w:pPr>
      <w:r>
        <w:rPr>
          <w:b/>
          <w:bCs/>
        </w:rPr>
        <w:t xml:space="preserve">Annual cycle</w:t>
      </w:r>
      <w:r>
        <w:t xml:space="preserve">, repeated for </w:t>
      </w:r>
      <w:r>
        <w:rPr>
          <w:rFonts w:ascii="Consolas" w:cs="Consolas" w:eastAsia="Consolas" w:hAnsi="Consolas"/>
          <w:sz w:val="21"/>
          <w:szCs w:val="21"/>
        </w:rPr>
        <w:t xml:space="preserve">planningHorizon</w:t>
      </w:r>
      <w:r>
        <w:t xml:space="preserve"> years (default 20): mate cows to the bull battery; simulate conception per 21-day cycle at the herd conception rate; for pregnant cows simulate calving (calving difficulty as a threshold trait, calving loss); generate each calf's correlated genetic and phenotypic trait values (direct + maternal components, breed effects, heterosis, breed x sex x age-of-dam adjustments, age/seasonal effects); grow calves to the chosen sale endpoint; cull and replace cows (retain heifers unless terminal).</w:t>
      </w:r>
    </w:p>
    <w:p>
      <w:pPr>
        <w:pStyle w:val="ListParagraph"/>
        <w:numPr>
          <w:ilvl w:val="0"/>
          <w:numId w:val="3"/>
        </w:numPr>
        <w:spacing w:after="60" w:line="272"/>
      </w:pPr>
      <w:r>
        <w:rPr>
          <w:b/>
          <w:bCs/>
        </w:rPr>
        <w:t xml:space="preserve">Economics:</w:t>
      </w:r>
      <w:r>
        <w:t xml:space="preserve"> for each year accumulate revenue (calf sales by weight/sex class or carcass grid value; cull-cow sales) minus cost (pasture AUM by month, feedlot/backgrounding feed, fixed and per-head costs). Discount each year to present value at the user's discount rate; sum to net present profit Pi over the horizon.</w:t>
      </w:r>
    </w:p>
    <w:p>
      <w:pPr>
        <w:pStyle w:val="Heading3"/>
      </w:pPr>
      <w:r>
        <w:t xml:space="preserve">2.5.2 Deriving marginal economic values</w:t>
      </w:r>
    </w:p>
    <w:p>
      <w:pPr>
        <w:spacing w:after="160" w:line="276"/>
      </w:pPr>
      <w:r>
        <w:t xml:space="preserve">The marginal economic value of trait component k is the derivative of net profit with respect to the genetic mean of that component, estimated by central finite difference:</w:t>
      </w:r>
    </w:p>
    <w:p>
      <w:pPr>
        <w:spacing w:after="140" w:before="120"/>
        <w:jc w:val="center"/>
      </w:pPr>
      <w:r>
        <w:rPr>
          <w:rFonts w:ascii="Cambria Math" w:cs="Cambria Math" w:eastAsia="Cambria Math" w:hAnsi="Cambria Math"/>
          <w:i/>
          <w:iCs/>
          <w:sz w:val="24"/>
          <w:szCs w:val="24"/>
        </w:rPr>
        <w:t xml:space="preserve">MEV_k = [ Pi(mu_k + delta_k) - Pi(mu_k - delta_k) ] / (2 * delta_k)</w:t>
      </w:r>
    </w:p>
    <w:p>
      <w:pPr>
        <w:spacing w:after="160" w:line="276"/>
      </w:pPr>
      <w:r>
        <w:t xml:space="preserve">where delta_k is a small perturbation (default: a fixed small fraction of the trait's genetic SD). To control Monte-Carlo noise, </w:t>
      </w:r>
      <w:r>
        <w:rPr>
          <w:b/>
          <w:bCs/>
        </w:rPr>
        <w:t xml:space="preserve">common random numbers</w:t>
      </w:r>
      <w:r>
        <w:t xml:space="preserve"> are used — the perturbed and baseline runs share the same RNG seed so that the difference reflects the perturbation, not sampling noise. Each MEV is computed as the mean over R replicate herds; its Monte-Carlo standard error is the replicate SD divided by sqrt(R) and is reported to the user. The full MEV vector, on a declared economic basis (per cow exposed, by default), is the economic-weight vector handed to the Index Builder.</w:t>
      </w:r>
    </w:p>
    <w:p>
      <w:pPr>
        <w:pStyle w:val="Heading3"/>
      </w:pPr>
      <w:r>
        <w:t xml:space="preserve">2.5.3 Validation of the simulation</w:t>
      </w:r>
    </w:p>
    <w:p>
      <w:pPr>
        <w:spacing w:after="160" w:line="276"/>
      </w:pPr>
      <w:r>
        <w:t xml:space="preserve">The simulation is validated by: (1) reproducing iGenDec-published example MEVs for the same documented input scenarios within Monte-Carlo error; (2) internal consistency checks (profit additivity, herd-size stability, age-distribution convergence); (3) economic sanity checks (terminal indexes assign zero/near-zero value to maternal traits; maternal-trait MEVs change sign appropriately with forage cost).</w:t>
      </w:r>
    </w:p>
    <w:p>
      <w:pPr>
        <w:pStyle w:val="Heading2"/>
      </w:pPr>
      <w:r>
        <w:t xml:space="preserve">2.6 Genetic Parameter Handling</w:t>
      </w:r>
    </w:p>
    <w:p>
      <w:pPr>
        <w:spacing w:after="160" w:line="276"/>
      </w:pPr>
      <w:r>
        <w:t xml:space="preserve">CONFIRMED (Appendix A, decision 2): the tool ships a </w:t>
      </w:r>
      <w:r>
        <w:rPr>
          <w:b/>
          <w:bCs/>
        </w:rPr>
        <w:t xml:space="preserve">cited consensus beef-cattle parameter set</w:t>
      </w:r>
      <w:r>
        <w:t xml:space="preserve"> plus </w:t>
      </w:r>
      <w:r>
        <w:rPr>
          <w:b/>
          <w:bCs/>
        </w:rPr>
        <w:t xml:space="preserve">breed-specific overrides</w:t>
      </w:r>
      <w:r>
        <w:t xml:space="preserve"> where strong published estimates exist; the active set is always shown. Parameters are versioned data objects, not code.</w:t>
      </w:r>
    </w:p>
    <w:p>
      <w:pPr>
        <w:pStyle w:val="ListParagraph"/>
        <w:numPr>
          <w:ilvl w:val="0"/>
          <w:numId w:val="2"/>
        </w:numPr>
        <w:spacing w:after="60" w:line="272"/>
      </w:pPr>
      <w:r>
        <w:rPr>
          <w:b/>
          <w:bCs/>
        </w:rPr>
        <w:t xml:space="preserve">Built-in library:</w:t>
      </w:r>
      <w:r>
        <w:t xml:space="preserve"> heritabilities, genetic and phenotypic correlations, and genetic SDs for the standard beef trait set, each value carrying a literature citation. Curating this library (drawing on the references compiled in Phases 1-2) is a Milestone-1 work item.</w:t>
      </w:r>
    </w:p>
    <w:p>
      <w:pPr>
        <w:pStyle w:val="ListParagraph"/>
        <w:numPr>
          <w:ilvl w:val="0"/>
          <w:numId w:val="2"/>
        </w:numPr>
        <w:spacing w:after="60" w:line="272"/>
      </w:pPr>
      <w:r>
        <w:rPr>
          <w:b/>
          <w:bCs/>
        </w:rPr>
        <w:t xml:space="preserve">User-supplied:</w:t>
      </w:r>
      <w:r>
        <w:t xml:space="preserve"> researchers upload full G0 and P0 matrices; these pass the Section 1.4 validation and are used as given.</w:t>
      </w:r>
    </w:p>
    <w:p>
      <w:pPr>
        <w:pStyle w:val="ListParagraph"/>
        <w:numPr>
          <w:ilvl w:val="0"/>
          <w:numId w:val="2"/>
        </w:numPr>
        <w:spacing w:after="60" w:line="272"/>
      </w:pPr>
      <w:r>
        <w:rPr>
          <w:b/>
          <w:bCs/>
        </w:rPr>
        <w:t xml:space="preserve">Provenance:</w:t>
      </w:r>
      <w:r>
        <w:t xml:space="preserve"> every run records which parameter set and version it used, in the reproducibility ledger.</w:t>
      </w:r>
    </w:p>
    <w:p>
      <w:pPr>
        <w:pStyle w:val="Heading2"/>
      </w:pPr>
      <w:r>
        <w:t xml:space="preserve">2.7 Optimisation and Numerical Methods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350"/>
        <w:gridCol w:w="3660"/>
      </w:tblGrid>
      <w:tr>
        <w:trPr>
          <w:tblHeader/>
        </w:trPr>
        <w:tc>
          <w:tcPr>
            <w:tcW w:type="dxa" w:w="23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Computation</w:t>
            </w:r>
          </w:p>
        </w:tc>
        <w:tc>
          <w:tcPr>
            <w:tcW w:type="dxa" w:w="33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Method</w:t>
            </w:r>
          </w:p>
        </w:tc>
        <w:tc>
          <w:tcPr>
            <w:tcW w:type="dxa" w:w="366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Rationale</w:t>
            </w:r>
          </w:p>
        </w:tc>
      </w:tr>
      <w:tr>
        <w:tc>
          <w:tcPr>
            <w:tcW w:type="dxa" w:w="2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Solve b = P-1Ga</w:t>
            </w:r>
          </w:p>
        </w:tc>
        <w:tc>
          <w:tcPr>
            <w:tcW w:type="dxa" w:w="3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Cholesky factorisation + triangular solves</w:t>
            </w:r>
          </w:p>
        </w:tc>
        <w:tc>
          <w:tcPr>
            <w:tcW w:type="dxa" w:w="36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Stable for symmetric PD P; avoids explicit inversion; doubles as PD check.</w:t>
            </w:r>
          </w:p>
        </w:tc>
      </w:tr>
      <w:tr>
        <w:tc>
          <w:tcPr>
            <w:tcW w:type="dxa" w:w="2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Positive-definiteness test</w:t>
            </w:r>
          </w:p>
        </w:tc>
        <w:tc>
          <w:tcPr>
            <w:tcW w:type="dxa" w:w="3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Symmetric eigenvalue decomposition</w:t>
            </w:r>
          </w:p>
        </w:tc>
        <w:tc>
          <w:tcPr>
            <w:tcW w:type="dxa" w:w="36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Detects invalid user matrices; smallest eigenvalue drives nearest-PD repair.</w:t>
            </w:r>
          </w:p>
        </w:tc>
      </w:tr>
      <w:tr>
        <w:tc>
          <w:tcPr>
            <w:tcW w:type="dxa" w:w="2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Nearest-PD repair (optional)</w:t>
            </w:r>
          </w:p>
        </w:tc>
        <w:tc>
          <w:tcPr>
            <w:tcW w:type="dxa" w:w="3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Higham nearest-correlation-matrix algorithm</w:t>
            </w:r>
          </w:p>
        </w:tc>
        <w:tc>
          <w:tcPr>
            <w:tcW w:type="dxa" w:w="36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Documented, well-understood; only applied with explicit user consent and a flag.</w:t>
            </w:r>
          </w:p>
        </w:tc>
      </w:tr>
      <w:tr>
        <w:tc>
          <w:tcPr>
            <w:tcW w:type="dxa" w:w="2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Correlated trait sampling</w:t>
            </w:r>
          </w:p>
        </w:tc>
        <w:tc>
          <w:tcPr>
            <w:tcW w:type="dxa" w:w="3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Multivariate normal via Cholesky of G0</w:t>
            </w:r>
          </w:p>
        </w:tc>
        <w:tc>
          <w:tcPr>
            <w:tcW w:type="dxa" w:w="36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Standard, fast, exact for the Gaussian model.</w:t>
            </w:r>
          </w:p>
        </w:tc>
      </w:tr>
      <w:tr>
        <w:tc>
          <w:tcPr>
            <w:tcW w:type="dxa" w:w="2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MEV derivative</w:t>
            </w:r>
          </w:p>
        </w:tc>
        <w:tc>
          <w:tcPr>
            <w:tcW w:type="dxa" w:w="3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Central finite difference with common random numbers</w:t>
            </w:r>
          </w:p>
        </w:tc>
        <w:tc>
          <w:tcPr>
            <w:tcW w:type="dxa" w:w="36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Second-order accurate; CRN cancels Monte-Carlo noise between baseline and perturbed runs.</w:t>
            </w:r>
          </w:p>
        </w:tc>
      </w:tr>
      <w:tr>
        <w:tc>
          <w:tcPr>
            <w:tcW w:type="dxa" w:w="2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Threshold traits (calving difficulty, etc.)</w:t>
            </w:r>
          </w:p>
        </w:tc>
        <w:tc>
          <w:tcPr>
            <w:tcW w:type="dxa" w:w="3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Liability-threshold model on a normal latent scale</w:t>
            </w:r>
          </w:p>
        </w:tc>
        <w:tc>
          <w:tcPr>
            <w:tcW w:type="dxa" w:w="36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Phase 1 Section 1.2; consistent with how associations evaluate these traits.</w:t>
            </w:r>
          </w:p>
        </w:tc>
      </w:tr>
      <w:tr>
        <w:tc>
          <w:tcPr>
            <w:tcW w:type="dxa" w:w="2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Selection intensity</w:t>
            </w:r>
          </w:p>
        </w:tc>
        <w:tc>
          <w:tcPr>
            <w:tcW w:type="dxa" w:w="33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Standard-normal density/quantile (i = phi(z_p)/p)</w:t>
            </w:r>
          </w:p>
        </w:tc>
        <w:tc>
          <w:tcPr>
            <w:tcW w:type="dxa" w:w="36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Exact for the infinitesimal model used in response prediction.</w:t>
            </w:r>
          </w:p>
        </w:tc>
      </w:tr>
    </w:tbl>
    <w:p>
      <w:r>
        <w:br w:type="page"/>
      </w:r>
    </w:p>
    <w:p>
      <w:pPr>
        <w:pStyle w:val="Heading1"/>
      </w:pPr>
      <w:r>
        <w:t xml:space="preserve">Part 3C — Technical Architecture</w:t>
      </w:r>
    </w:p>
    <w:p>
      <w:pPr>
        <w:pStyle w:val="Heading2"/>
      </w:pPr>
      <w:r>
        <w:t xml:space="preserve">3.1 Recommended Technology Stack</w:t>
      </w:r>
    </w:p>
    <w:p>
      <w:pPr>
        <w:spacing w:after="160" w:line="276"/>
      </w:pPr>
      <w:r>
        <w:t xml:space="preserve">The stack is chosen for numerical correctness, openness, contributor familiarity, and a clean separation between the two engines and the web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700"/>
        <w:gridCol w:w="4910"/>
      </w:tblGrid>
      <w:tr>
        <w:trPr>
          <w:tblHeader/>
        </w:trPr>
        <w:tc>
          <w:tcPr>
            <w:tcW w:type="dxa" w:w="17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Layer</w:t>
            </w:r>
          </w:p>
        </w:tc>
        <w:tc>
          <w:tcPr>
            <w:tcW w:type="dxa" w:w="27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Recommendation</w:t>
            </w:r>
          </w:p>
        </w:tc>
        <w:tc>
          <w:tcPr>
            <w:tcW w:type="dxa" w:w="491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Justification</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Backend language</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Python 3.12+</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Dominant language of quantitative genetics and scientific computing; NumPy/SciPy give correct, audited linear algebra; lowers the contribution barrier for the researcher audience.</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Numerical core</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NumPy + SciPy</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scipy.linalg.cho_factor / cho_solve for the index solve; scipy.linalg.eigh for PD checks; battle-tested and reproducible.</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API framework</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FastAPI</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Async, API-first, automatic OpenAPI docs, Pydantic validation — ideal for the documented REST API and the researcher batch-run use case (verified current best practice for NumPy-backed scientific web apps, 2026).</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Simulation engine</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Python module; performance-critical inner loop optionally accelerated with Numba or a typed Cython/Rust kernel</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Keep the simulation in-process and inspectable; isolate only the hot loop if profiling demands it. Long runs execute as background jobs (Section 3.3).</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Background jobs</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Celery + Redis (or RQ)</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Herd simulations and Monte-Carlo sensitivity are long-running; they must run off the request thread with progress reporting.</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Database</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PostgreSQL</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Relational integrity for users, datasets, scenarios, ledger; JSONB columns for flexible parameter blobs; mature and open.</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Frontend</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React + TypeScript (Vite)</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Component model fits the multi-step builder and simulation wizards; TypeScript catches interface errors; large contributor pool.</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Charting</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Plotly or Recharts</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Tornado charts, contribution breakdowns, Monte-Carlo distributions, genetic-trend plots.</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Auth</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OAuth2 password + JWT (FastAPI security); optional institutional SSO later</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Standard, stateless, API-friendly; SSO matters for university/association deployment.</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Containerisation / deploy</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Docker + docker-compose; Kubernetes-ready</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One-command self-hosting (Phase 2 gap G1); scales for a hosted multi-tenant deployment.</w:t>
            </w:r>
          </w:p>
        </w:tc>
      </w:tr>
      <w:tr>
        <w:tc>
          <w:tcPr>
            <w:tcW w:type="dxa" w:w="17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CI / testing</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GitHub Actions; pytest + Vitest</w:t>
            </w:r>
          </w:p>
        </w:tc>
        <w:tc>
          <w:tcPr>
            <w:tcW w:type="dxa" w:w="49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Automated validation suite (Part 3D) on every commit.</w:t>
            </w:r>
          </w:p>
        </w:tc>
      </w:tr>
    </w:tbl>
    <w:p>
      <w:pPr>
        <w:pBdr>
          <w:left w:val="single" w:color="1F4E5C" w:sz="18" w:space="12"/>
        </w:pBdr>
        <w:spacing w:after="160" w:before="80" w:line="276"/>
        <w:ind w:left="360"/>
      </w:pPr>
      <w:r>
        <w:rPr>
          <w:i/>
          <w:iCs/>
          <w:sz w:val="21"/>
          <w:szCs w:val="21"/>
        </w:rPr>
        <w:t xml:space="preserve">Stack rationale traces to Phase 2 gaps: open and self-hostable (G1), API-first for researchers (G8), reproducible numerical core (G10). Python is preferred over the Go that iGenDec uses because the project's research audience lives in Python and because NumPy/SciPy provide audited linear algebra; the architecture does not preclude a Rust/Cython kernel for the simulation hot loop.</w:t>
      </w:r>
    </w:p>
    <w:p>
      <w:pPr>
        <w:pStyle w:val="Heading2"/>
      </w:pPr>
      <w:r>
        <w:t xml:space="preserve">3.2 System Architecture</w:t>
      </w:r>
    </w:p>
    <w:p>
      <w:pPr>
        <w:spacing w:after="160" w:line="276"/>
      </w:pPr>
      <w:r>
        <w:t xml:space="preserve">OSIT is a three-tier application with a clear separation between a stateless web/API tier, the two computational engines, and a persistence tier, plus an asynchronous worker tier for long-running jobs. The architecture, described tier by tier:</w:t>
      </w:r>
    </w:p>
    <w:p>
      <w:pPr>
        <w:pStyle w:val="Heading3"/>
      </w:pPr>
      <w:r>
        <w:t xml:space="preserve">3.2.1 Client tier</w:t>
      </w:r>
    </w:p>
    <w:p>
      <w:pPr>
        <w:spacing w:after="160" w:line="276"/>
      </w:pPr>
      <w:r>
        <w:t xml:space="preserve">A React/TypeScript single-page application. Three role-aware UI surfaces share components: the </w:t>
      </w:r>
      <w:r>
        <w:rPr>
          <w:b/>
          <w:bCs/>
        </w:rPr>
        <w:t xml:space="preserve">Index Builder</w:t>
      </w:r>
      <w:r>
        <w:t xml:space="preserve"> wizard, the </w:t>
      </w:r>
      <w:r>
        <w:rPr>
          <w:b/>
          <w:bCs/>
        </w:rPr>
        <w:t xml:space="preserve">Simulation</w:t>
      </w:r>
      <w:r>
        <w:t xml:space="preserve"> wizard, and the </w:t>
      </w:r>
      <w:r>
        <w:rPr>
          <w:b/>
          <w:bCs/>
        </w:rPr>
        <w:t xml:space="preserve">Results/Comparison</w:t>
      </w:r>
      <w:r>
        <w:t xml:space="preserve"> workspace. The SPA talks only to the REST API; it holds no business logic beyond presentation and input collection. Progressive disclosure (Phase 2 gap G2) is a client concern: Producer role sees guided steps and presets; Researcher role sees full parameter editors.</w:t>
      </w:r>
    </w:p>
    <w:p>
      <w:pPr>
        <w:pStyle w:val="Heading3"/>
      </w:pPr>
      <w:r>
        <w:t xml:space="preserve">3.2.2 Application / API tier</w:t>
      </w:r>
    </w:p>
    <w:p>
      <w:pPr>
        <w:spacing w:after="160" w:line="276"/>
      </w:pPr>
      <w:r>
        <w:t xml:space="preserve">A FastAPI service exposing the REST API (Section 3.4). It is </w:t>
      </w:r>
      <w:r>
        <w:rPr>
          <w:b/>
          <w:bCs/>
        </w:rPr>
        <w:t xml:space="preserve">stateless</w:t>
      </w:r>
      <w:r>
        <w:t xml:space="preserve"> — every request carries a JWT; no session state is held in the process. Its responsibilities: authentication and authorisation (including dataset-scoped permission checks); request validation via Pydantic schemas; orchestration — calling the engines synchronously for fast operations (an index solve is milliseconds) and enqueuing long operations (herd simulation, Monte-Carlo sensitivity) to the worker tier; and writing the reproducibility ledger. The API tier imports the two engines as libraries.</w:t>
      </w:r>
    </w:p>
    <w:p>
      <w:pPr>
        <w:pStyle w:val="Heading3"/>
      </w:pPr>
      <w:r>
        <w:t xml:space="preserve">3.2.3 Engine libraries</w:t>
      </w:r>
    </w:p>
    <w:p>
      <w:pPr>
        <w:spacing w:after="160" w:line="276"/>
      </w:pPr>
      <w:r>
        <w:t xml:space="preserve">Two independently testable Python packages, deliberately decoupled from the web layer so they can also be used as standalone libraries or from the command line (a researcher convenience and a validation aid):</w:t>
      </w:r>
    </w:p>
    <w:p>
      <w:pPr>
        <w:pStyle w:val="ListParagraph"/>
        <w:numPr>
          <w:ilvl w:val="0"/>
          <w:numId w:val="2"/>
        </w:numPr>
        <w:spacing w:after="60" w:line="272"/>
      </w:pPr>
      <w:r>
        <w:rPr>
          <w:rFonts w:ascii="Consolas" w:cs="Consolas" w:eastAsia="Consolas" w:hAnsi="Consolas"/>
          <w:sz w:val="21"/>
          <w:szCs w:val="21"/>
        </w:rPr>
        <w:t xml:space="preserve">osit-index</w:t>
      </w:r>
      <w:r>
        <w:t xml:space="preserve"> — the Index Builder: P/G construction, Cholesky solve, scoring, ranking, uncertainty, across-breed adjustment, sensitivity, response prediction. Pure functions over NumPy arrays; no I/O, no database, no web dependency.</w:t>
      </w:r>
    </w:p>
    <w:p>
      <w:pPr>
        <w:pStyle w:val="ListParagraph"/>
        <w:numPr>
          <w:ilvl w:val="0"/>
          <w:numId w:val="2"/>
        </w:numPr>
        <w:spacing w:after="60" w:line="272"/>
      </w:pPr>
      <w:r>
        <w:rPr>
          <w:rFonts w:ascii="Consolas" w:cs="Consolas" w:eastAsia="Consolas" w:hAnsi="Consolas"/>
          <w:sz w:val="21"/>
          <w:szCs w:val="21"/>
        </w:rPr>
        <w:t xml:space="preserve">osit-sim</w:t>
      </w:r>
      <w:r>
        <w:t xml:space="preserve"> — the Herd Simulation Engine: herd model, stochastic annual cycle, economics, MEV finite-difference derivation. Pure simulation over typed parameter objects; no web dependency. Its public output — a MEV vector — is exactly the economic-weight input </w:t>
      </w:r>
      <w:r>
        <w:rPr>
          <w:rFonts w:ascii="Consolas" w:cs="Consolas" w:eastAsia="Consolas" w:hAnsi="Consolas"/>
          <w:sz w:val="21"/>
          <w:szCs w:val="21"/>
        </w:rPr>
        <w:t xml:space="preserve">osit-index</w:t>
      </w:r>
      <w:r>
        <w:t xml:space="preserve"> expects, which is the integration seam.</w:t>
      </w:r>
    </w:p>
    <w:p>
      <w:pPr>
        <w:pStyle w:val="Heading3"/>
      </w:pPr>
      <w:r>
        <w:t xml:space="preserve">3.2.4 Worker tier</w:t>
      </w:r>
    </w:p>
    <w:p>
      <w:pPr>
        <w:spacing w:after="160" w:line="276"/>
      </w:pPr>
      <w:r>
        <w:t xml:space="preserve">Celery workers consuming a Redis-backed queue. They run herd simulations and Monte-Carlo sensitivity jobs, report progress, and write results back to PostgreSQL. Workers import the same engine libraries as the API tier — there is exactly one implementation of each engine.</w:t>
      </w:r>
    </w:p>
    <w:p>
      <w:pPr>
        <w:pStyle w:val="Heading3"/>
      </w:pPr>
      <w:r>
        <w:t xml:space="preserve">3.2.5 Persistence tier</w:t>
      </w:r>
    </w:p>
    <w:p>
      <w:pPr>
        <w:spacing w:after="160" w:line="276"/>
      </w:pPr>
      <w:r>
        <w:t xml:space="preserve">PostgreSQL holds users, roles, datasets and permissions, animal/EPD records, breeding goals, genetic parameter sets, production-system definitions, scenarios, job records, and the reproducibility ledger. Object storage (local filesystem or S3-compatible) holds uploaded CSVs and generated PDF reports. Redis additionally serves as the job broker and a cache for the (read-mostly) parameter library and adjustment-factor tables.</w:t>
      </w:r>
    </w:p>
    <w:p>
      <w:pPr>
        <w:pStyle w:val="Heading3"/>
      </w:pPr>
      <w:r>
        <w:t xml:space="preserve">3.2.6 Request flow examples</w:t>
      </w:r>
    </w:p>
    <w:p>
      <w:pPr>
        <w:spacing w:after="160" w:line="276"/>
      </w:pPr>
      <w:r>
        <w:rPr>
          <w:b/>
          <w:bCs/>
        </w:rPr>
        <w:t xml:space="preserve">Fast path (build index):</w:t>
      </w:r>
      <w:r>
        <w:t xml:space="preserve"> SPA -&gt; POST /indexes/{id}/solve -&gt; API validates, calls </w:t>
      </w:r>
      <w:r>
        <w:rPr>
          <w:rFonts w:ascii="Consolas" w:cs="Consolas" w:eastAsia="Consolas" w:hAnsi="Consolas"/>
          <w:sz w:val="21"/>
          <w:szCs w:val="21"/>
        </w:rPr>
        <w:t xml:space="preserve">osit-index</w:t>
      </w:r>
      <w:r>
        <w:t xml:space="preserve"> synchronously, writes a ledger entry, returns weights + ranking in one response.</w:t>
      </w:r>
    </w:p>
    <w:p>
      <w:pPr>
        <w:spacing w:after="160" w:line="276"/>
      </w:pPr>
      <w:r>
        <w:rPr>
          <w:b/>
          <w:bCs/>
        </w:rPr>
        <w:t xml:space="preserve">Slow path (derive economic values):</w:t>
      </w:r>
      <w:r>
        <w:t xml:space="preserve"> SPA -&gt; POST /simulations -&gt; API validates, enqueues a Celery job, returns a job id; worker runs </w:t>
      </w:r>
      <w:r>
        <w:rPr>
          <w:rFonts w:ascii="Consolas" w:cs="Consolas" w:eastAsia="Consolas" w:hAnsi="Consolas"/>
          <w:sz w:val="21"/>
          <w:szCs w:val="21"/>
        </w:rPr>
        <w:t xml:space="preserve">osit-sim</w:t>
      </w:r>
      <w:r>
        <w:t xml:space="preserve">, updating progress; SPA polls GET /jobs/{id}; on completion the derived MEV vector is stored and offered as a Breeding Goal economic-weight set.</w:t>
      </w:r>
    </w:p>
    <w:p>
      <w:pPr>
        <w:pStyle w:val="Heading2"/>
      </w:pPr>
      <w:r>
        <w:t xml:space="preserve">3.3 Data Model / Schema</w:t>
      </w:r>
    </w:p>
    <w:p>
      <w:pPr>
        <w:spacing w:after="160" w:line="276"/>
      </w:pPr>
      <w:r>
        <w:t xml:space="preserve">Core relational entities (PostgreSQL). Primary keys are UUIDs; timestamps and soft-delete flags are omitted from the listing for brevity but present on every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4200"/>
      </w:tblGrid>
      <w:tr>
        <w:trPr>
          <w:tblHeader/>
        </w:trPr>
        <w:tc>
          <w:tcPr>
            <w:tcW w:type="dxa" w:w="19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Entity</w:t>
            </w:r>
          </w:p>
        </w:tc>
        <w:tc>
          <w:tcPr>
            <w:tcW w:type="dxa" w:w="326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Key fields</w:t>
            </w:r>
          </w:p>
        </w:tc>
        <w:tc>
          <w:tcPr>
            <w:tcW w:type="dxa" w:w="42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Notes</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User</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email, password_hash, role, organisation_id</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Roles: producer, researcher, breeder, assoc_admin, site_admin.</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Organisation</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name, type</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Associations, universities, farms; scopes datasets and members.</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Dataset</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name, owner_org_id, path</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An EPD database (e.g., AHA/2026Bulls). Tree path supports the wildcard ACL.</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DatasetPermission</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user_id, dataset_path_pattern, deny (bool)</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Path-and-wildcard allow/deny; best-match resolution (adopted from iGenDec, Phase 2 4.1).</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Animal</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dataset_id, animal_ref, breed, sex</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 candidate animal; belongs to a dataset.</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EpdRecord</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animal_id, trait_code, value, accuracy, scale, evaluation_id</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scale = EPD|EBV; evaluation_id ties to base year + association + provider.</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Evaluation</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association, provider, base_year, multibreed (bool)</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Evaluation identity; drives across-breed-adjustment decisions.</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Trait</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code, name, category, units, default_direction</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The trait registry — data, not code, so traits are extensible (Phase 2 gap G9).</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GeneticParameterSet</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name, version, scope (consensus|breed|user), matrices (JSONB), citations</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G0, P0, genetic SDs; versioned; cited.</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AdjustmentFactorTable</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version, year, factors (JSONB)</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USMARC/BIF across-breed factors; versioned by year.</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BreedingGoal</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name, owner_id, basis, components (JSONB: trait/component + economic weight)</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The goal a; basis = per_cow|per_calf|per_unit.</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IndexScenario</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name, breeding_goal_id, parameter_set_id, mode, adjustment_table_id, settings</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 reusable index definition; mode = economic_weight|blup_index.</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ProductionSystem</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name, owner_id, herd (JSONB), breed_composition (JSONB)</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Inputs to the simulation engine.</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EconomicScenario</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name, sale_endpoint, terminal (bool), prices (JSONB), grid (JSONB), costs (JSONB), horizon, discount_rate</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Economic inputs to the simulation.</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SimulationRun</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production_system_id, economic_scenario_id, controls (JSONB), status</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burn-in, horizon, replicates, seed; status tracked for async.</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DerivedMEV</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simulation_run_id, component, value, mc_std_error</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Output of a simulation; convertible into a BreedingGoal.</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Job</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type, status, progress, result_ref, error</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Async job tracking for simulations and Monte-Carlo sensitivity.</w:t>
            </w:r>
          </w:p>
        </w:tc>
      </w:tr>
      <w:tr>
        <w:tc>
          <w:tcPr>
            <w:tcW w:type="dxa" w:w="19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RunLedger</w:t>
            </w:r>
          </w:p>
        </w:tc>
        <w:tc>
          <w:tcPr>
            <w:tcW w:type="dxa" w:w="32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scenario_id, engine_version, param_set_version, adjustment_table_version, seed, inputs_hash, created_by</w:t>
            </w:r>
          </w:p>
        </w:tc>
        <w:tc>
          <w:tcPr>
            <w:tcW w:type="dxa" w:w="42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The reproducibility ledger — one row per engine execution (Phase 2 gap G10).</w:t>
            </w:r>
          </w:p>
        </w:tc>
      </w:tr>
    </w:tbl>
    <w:p>
      <w:pPr>
        <w:pStyle w:val="Heading2"/>
      </w:pPr>
      <w:r>
        <w:t xml:space="preserve">3.4 API Design</w:t>
      </w:r>
    </w:p>
    <w:p>
      <w:pPr>
        <w:spacing w:after="160" w:line="276"/>
      </w:pPr>
      <w:r>
        <w:t xml:space="preserve">A versioned REST API under </w:t>
      </w:r>
      <w:r>
        <w:rPr>
          <w:rFonts w:ascii="Consolas" w:cs="Consolas" w:eastAsia="Consolas" w:hAnsi="Consolas"/>
          <w:sz w:val="21"/>
          <w:szCs w:val="21"/>
        </w:rPr>
        <w:t xml:space="preserve">/api/v1</w:t>
      </w:r>
      <w:r>
        <w:t xml:space="preserve">. JSON request/response; OAuth2 + JWT bearer auth; FastAPI auto-generates the OpenAPI schema and interactive docs. Representative endpoints (full CRUD on each resource is implied; selected action endpoints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4710"/>
        <w:gridCol w:w="1600"/>
      </w:tblGrid>
      <w:tr>
        <w:trPr>
          <w:tblHeader/>
        </w:trPr>
        <w:tc>
          <w:tcPr>
            <w:tcW w:type="dxa" w:w="30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Method &amp; path</w:t>
            </w:r>
          </w:p>
        </w:tc>
        <w:tc>
          <w:tcPr>
            <w:tcW w:type="dxa" w:w="471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Purpose</w:t>
            </w:r>
          </w:p>
        </w:tc>
        <w:tc>
          <w:tcPr>
            <w:tcW w:type="dxa" w:w="16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Sync/async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POST /auth/token</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Obtain a JWT from credentials.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 /traits</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List the trait registry.</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GET/POST /genetic-parameter-sets</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List / create genetic parameter sets; upload matrices.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 /adjustment-factor-tables</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List versioned across-breed factor tables.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GET/POST /datasets ; POST /datasets/{id}/animals:import</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Manage datasets; import animals/EPDs from CSV with column mapping.</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GET/POST /breeding-goals</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Manage breeding goals (economic weights).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GET/POST /index-scenarios</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Manage index scenario definitions.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POST /index-scenarios/{id}/solve</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Run the Index Builder: returns weights, ranking, contributions, uncertainty, ledger id.</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POST /index-scenarios/{id}/sensitivity</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Tornado (sync) or Monte-Carlo (async) sensitivity analysis.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 / async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POST /index-scenarios/{id}/response</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Project genetic gain (breeders' equation).</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GET/POST /production-systems ; /economic-scenarios</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Manage simulation inputs.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POST /simulations</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Launch a herd simulation to derive MEVs; returns a job id.</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 /jobs/{id}</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Poll async job status, progress, and result reference.</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POST /breeding-goals:from-mev/{simulation_run_id}</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Create a breeding goal from a simulation's derived MEV vector — the integration endpoint.</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 /index-scenarios/{id}/export?format=csv|json|pdf</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Export results and the index definition.</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r>
        <w:tc>
          <w:tcPr>
            <w:tcW w:type="dxa" w:w="30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GET /ledger/{id}</w:t>
            </w:r>
          </w:p>
        </w:tc>
        <w:tc>
          <w:tcPr>
            <w:tcW w:type="dxa" w:w="47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Retrieve a reproducibility ledger entry.</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sync</w:t>
            </w:r>
          </w:p>
        </w:tc>
      </w:tr>
    </w:tbl>
    <w:p>
      <w:pPr>
        <w:spacing w:after="160" w:line="276"/>
      </w:pPr>
      <w:r>
        <w:t xml:space="preserve">Error responses use a consistent envelope: HTTP status, a machine code, a human message, and a </w:t>
      </w:r>
      <w:r>
        <w:rPr>
          <w:rFonts w:ascii="Consolas" w:cs="Consolas" w:eastAsia="Consolas" w:hAnsi="Consolas"/>
          <w:sz w:val="21"/>
          <w:szCs w:val="21"/>
        </w:rPr>
        <w:t xml:space="preserve">validations</w:t>
      </w:r>
      <w:r>
        <w:t xml:space="preserve"> array carrying the Section 1.4 rule results (severity ERROR/WARN/INFO) so the client can surface them inline.</w:t>
      </w:r>
    </w:p>
    <w:p>
      <w:pPr>
        <w:pStyle w:val="Heading2"/>
      </w:pPr>
      <w:r>
        <w:t xml:space="preserve">3.5 Frontend Component Breakdown</w:t>
      </w:r>
    </w:p>
    <w:p>
      <w:pPr>
        <w:pStyle w:val="ListParagraph"/>
        <w:numPr>
          <w:ilvl w:val="0"/>
          <w:numId w:val="2"/>
        </w:numPr>
        <w:spacing w:after="60" w:line="272"/>
      </w:pPr>
      <w:r>
        <w:rPr>
          <w:b/>
          <w:bCs/>
        </w:rPr>
        <w:t xml:space="preserve">Shell &amp; auth:</w:t>
      </w:r>
      <w:r>
        <w:t xml:space="preserve"> AppShell, NavBar, RoleGuard, LoginView, RegisterView, OrgSwitcher.</w:t>
      </w:r>
    </w:p>
    <w:p>
      <w:pPr>
        <w:pStyle w:val="ListParagraph"/>
        <w:numPr>
          <w:ilvl w:val="0"/>
          <w:numId w:val="2"/>
        </w:numPr>
        <w:spacing w:after="60" w:line="272"/>
      </w:pPr>
      <w:r>
        <w:rPr>
          <w:b/>
          <w:bCs/>
        </w:rPr>
        <w:t xml:space="preserve">Index Builder wizard:</w:t>
      </w:r>
      <w:r>
        <w:t xml:space="preserve"> GoalEditor (trait picker + economic-weight grid + basis selector), ParameterSetPicker / MatrixEditor, AnimalImporter (CSV upload + ColumnMapper + evaluation-identity tagger), AdjustmentTablePicker, ModeSelector (economic-weight | BLUP-index), SolveButton.</w:t>
      </w:r>
    </w:p>
    <w:p>
      <w:pPr>
        <w:pStyle w:val="ListParagraph"/>
        <w:numPr>
          <w:ilvl w:val="0"/>
          <w:numId w:val="2"/>
        </w:numPr>
        <w:spacing w:after="60" w:line="272"/>
      </w:pPr>
      <w:r>
        <w:rPr>
          <w:b/>
          <w:bCs/>
        </w:rPr>
        <w:t xml:space="preserve">Results workspace:</w:t>
      </w:r>
      <w:r>
        <w:t xml:space="preserve"> RankingTable (sortable, with per-row ContributionBar), IndexValueChart with confidence intervals, ContributionBreakdown, ValidationPanel (ERROR/WARN/INFO), ScenarioComparison.</w:t>
      </w:r>
    </w:p>
    <w:p>
      <w:pPr>
        <w:pStyle w:val="ListParagraph"/>
        <w:numPr>
          <w:ilvl w:val="0"/>
          <w:numId w:val="2"/>
        </w:numPr>
        <w:spacing w:after="60" w:line="272"/>
      </w:pPr>
      <w:r>
        <w:rPr>
          <w:b/>
          <w:bCs/>
        </w:rPr>
        <w:t xml:space="preserve">Sensitivity:</w:t>
      </w:r>
      <w:r>
        <w:t xml:space="preserve"> SensitivityConfig, TornadoChart, MonteCarloDistribution, RankStabilitySummary.</w:t>
      </w:r>
    </w:p>
    <w:p>
      <w:pPr>
        <w:pStyle w:val="ListParagraph"/>
        <w:numPr>
          <w:ilvl w:val="0"/>
          <w:numId w:val="2"/>
        </w:numPr>
        <w:spacing w:after="60" w:line="272"/>
      </w:pPr>
      <w:r>
        <w:rPr>
          <w:b/>
          <w:bCs/>
        </w:rPr>
        <w:t xml:space="preserve">Simulation wizard:</w:t>
      </w:r>
      <w:r>
        <w:t xml:space="preserve"> ProductionSystemEditor (herd, reproduction, breed composition), SaleEndpointSelector, EconomicScenarioEditor (price grid, carcass grid, costs), SimulationControls (burn-in, horizon, replicates, seed), JobProgressPanel, DerivedMEVPanel with a 'Use as breeding goal' action.</w:t>
      </w:r>
    </w:p>
    <w:p>
      <w:pPr>
        <w:pStyle w:val="ListParagraph"/>
        <w:numPr>
          <w:ilvl w:val="0"/>
          <w:numId w:val="2"/>
        </w:numPr>
        <w:spacing w:after="60" w:line="272"/>
      </w:pPr>
      <w:r>
        <w:rPr>
          <w:b/>
          <w:bCs/>
        </w:rPr>
        <w:t xml:space="preserve">Shared:</w:t>
      </w:r>
      <w:r>
        <w:t xml:space="preserve"> ParameterProvenanceBadge (shows active library version), ReproducibilityLedgerView, ExportMenu, HelpDrawer (context help drawn from the methodology docs).</w:t>
      </w:r>
    </w:p>
    <w:p>
      <w:pPr>
        <w:pStyle w:val="Heading2"/>
      </w:pPr>
      <w:r>
        <w:t xml:space="preserve">3.6 Authentication, Authorisation, and User Management</w:t>
      </w:r>
    </w:p>
    <w:p>
      <w:pPr>
        <w:pStyle w:val="ListParagraph"/>
        <w:numPr>
          <w:ilvl w:val="0"/>
          <w:numId w:val="2"/>
        </w:numPr>
        <w:spacing w:after="60" w:line="272"/>
      </w:pPr>
      <w:r>
        <w:rPr>
          <w:b/>
          <w:bCs/>
        </w:rPr>
        <w:t xml:space="preserve">Authentication:</w:t>
      </w:r>
      <w:r>
        <w:t xml:space="preserve"> OAuth2 password flow issuing short-lived JWT access tokens plus refresh tokens; passwords hashed with a modern KDF (Argon2id). Institutional SSO (SAML/OIDC) is a v1.x addition for university and association deployments.</w:t>
      </w:r>
    </w:p>
    <w:p>
      <w:pPr>
        <w:pStyle w:val="ListParagraph"/>
        <w:numPr>
          <w:ilvl w:val="0"/>
          <w:numId w:val="2"/>
        </w:numPr>
        <w:spacing w:after="60" w:line="272"/>
      </w:pPr>
      <w:r>
        <w:rPr>
          <w:b/>
          <w:bCs/>
        </w:rPr>
        <w:t xml:space="preserve">Roles:</w:t>
      </w:r>
      <w:r>
        <w:t xml:space="preserve"> producer, researcher, breeder, assoc_admin, site_admin — each unlocking UI surfaces and API scopes. Researchers gain full parameter editing and batch API scopes; assoc_admins gain dataset and permission management within their organisation; site_admin manages the parameter library and adjustment-factor tables.</w:t>
      </w:r>
    </w:p>
    <w:p>
      <w:pPr>
        <w:pStyle w:val="ListParagraph"/>
        <w:numPr>
          <w:ilvl w:val="0"/>
          <w:numId w:val="2"/>
        </w:numPr>
        <w:spacing w:after="60" w:line="272"/>
      </w:pPr>
      <w:r>
        <w:rPr>
          <w:b/>
          <w:bCs/>
        </w:rPr>
        <w:t xml:space="preserve">Dataset authorisation:</w:t>
      </w:r>
      <w:r>
        <w:t xml:space="preserve"> the path-and-wildcard allow/deny model adopted from iGenDec (Phase 2 Section 4.1). Every dataset access resolves the best-matching permission (longest path, fewest wildcards); default on first sign-in is broad access, refined by an admin.</w:t>
      </w:r>
    </w:p>
    <w:p>
      <w:pPr>
        <w:pStyle w:val="ListParagraph"/>
        <w:numPr>
          <w:ilvl w:val="0"/>
          <w:numId w:val="2"/>
        </w:numPr>
        <w:spacing w:after="60" w:line="272"/>
      </w:pPr>
      <w:r>
        <w:rPr>
          <w:b/>
          <w:bCs/>
        </w:rPr>
        <w:t xml:space="preserve">API tokens:</w:t>
      </w:r>
      <w:r>
        <w:t xml:space="preserve"> researchers can mint long-lived personal access tokens for batch/scripted use, scoped and revocable.</w:t>
      </w:r>
    </w:p>
    <w:p>
      <w:pPr>
        <w:pStyle w:val="Heading2"/>
      </w:pPr>
      <w:r>
        <w:t xml:space="preserve">3.7 Open-Source Licensing Recommendation</w:t>
      </w:r>
    </w:p>
    <w:p>
      <w:pPr>
        <w:spacing w:after="160" w:line="276"/>
      </w:pPr>
      <w:r>
        <w:t xml:space="preserve">CONFIRMED direction (Phase 2 gap G1): OSIT is open-source. Recommended licence: a </w:t>
      </w:r>
      <w:r>
        <w:rPr>
          <w:b/>
          <w:bCs/>
        </w:rPr>
        <w:t xml:space="preserve">permissive licence — Apache License 2.0</w:t>
      </w:r>
      <w:r>
        <w:t xml:space="preserve">. Rationale: Apache-2.0 maximises adoption and contribution across academia, breed associations, and commercial users (Phase 2's four audiences); it includes an explicit patent grant, valuable given the methodological content; and it imposes no copyleft obligation that might deter an association or commercial integrator. A copyleft licence (GPL-3.0) was considered for its share-alike guarantee but rejected because it would discourage exactly the institutional adopters the project most wants. The curated genetic-parameter library and documentation should additionally carry a data/content licence (CC-BY-4.0) so the citations and values can be reused with attribution. The repository will include a CONTRIBUTING guide, a code of conduct, and a developer-certificate-of-origin sign-off.</w:t>
      </w:r>
    </w:p>
    <w:p>
      <w:r>
        <w:br w:type="page"/>
      </w:r>
    </w:p>
    <w:p>
      <w:pPr>
        <w:pStyle w:val="Heading1"/>
      </w:pPr>
      <w:r>
        <w:t xml:space="preserve">Part 3D — Development Roadmap</w:t>
      </w:r>
    </w:p>
    <w:p>
      <w:pPr>
        <w:pStyle w:val="Heading2"/>
      </w:pPr>
      <w:r>
        <w:t xml:space="preserve">4.1 Phased Plan</w:t>
      </w:r>
    </w:p>
    <w:p>
      <w:pPr>
        <w:spacing w:after="160" w:line="276"/>
      </w:pPr>
      <w:r>
        <w:t xml:space="preserve">Four releases. Milestone 1 and Milestone 2 together constitute the integrated v1.0; v1.1 and v1.2 are post-1.0.</w:t>
      </w:r>
    </w:p>
    <w:p>
      <w:pPr>
        <w:pStyle w:val="Heading3"/>
      </w:pPr>
      <w:r>
        <w:t xml:space="preserve">4.1.1 Milestone 1 — Index Builder (the Phase 4 starting point)</w:t>
      </w:r>
    </w:p>
    <w:p>
      <w:pPr>
        <w:spacing w:after="160" w:line="276"/>
      </w:pPr>
      <w:r>
        <w:t xml:space="preserve">Goal: a deployable web app that builds and applies analytical selection indexes, validatable against published indexes. Scope: the </w:t>
      </w:r>
      <w:r>
        <w:rPr>
          <w:rFonts w:ascii="Consolas" w:cs="Consolas" w:eastAsia="Consolas" w:hAnsi="Consolas"/>
          <w:sz w:val="21"/>
          <w:szCs w:val="21"/>
        </w:rPr>
        <w:t xml:space="preserve">osit-index</w:t>
      </w:r>
      <w:r>
        <w:t xml:space="preserve"> engine (P/G construction, Cholesky solve, scoring, ranking, contributions, uncertainty, across-breed adjustment, tornado sensitivity); the curated genetic-parameter library v1; the published-index preset library; CSV animal import with column mapping; user accounts, roles, and dataset ACLs; the REST API for all of the above; the reproducibility ledger; CSV/JSON/PDF export; the Index Builder and Results UI; Docker self-host packaging.</w:t>
      </w:r>
    </w:p>
    <w:p>
      <w:pPr>
        <w:pStyle w:val="Heading3"/>
      </w:pPr>
      <w:r>
        <w:t xml:space="preserve">4.1.2 Milestone 2 — Herd Simulation Engine (completes v1.0)</w:t>
      </w:r>
    </w:p>
    <w:p>
      <w:pPr>
        <w:spacing w:after="160" w:line="276"/>
      </w:pPr>
      <w:r>
        <w:t xml:space="preserve">Goal: the bio-economic simulation that derives economic values, fully integrated. Scope: the </w:t>
      </w:r>
      <w:r>
        <w:rPr>
          <w:rFonts w:ascii="Consolas" w:cs="Consolas" w:eastAsia="Consolas" w:hAnsi="Consolas"/>
          <w:sz w:val="21"/>
          <w:szCs w:val="21"/>
        </w:rPr>
        <w:t xml:space="preserve">osit-sim</w:t>
      </w:r>
      <w:r>
        <w:t xml:space="preserve"> engine (herd model, stochastic annual cycle, breed effects + heterosis + age-of-dam adjustments, economics, finite-difference MEV derivation with common random numbers and Monte-Carlo error reporting); the four sale endpoints and terminal/replacement switch; production-system and economic-scenario management; the Celery/Redis worker tier and job tracking; the Simulation UI wizard; the </w:t>
      </w:r>
      <w:r>
        <w:rPr>
          <w:rFonts w:ascii="Consolas" w:cs="Consolas" w:eastAsia="Consolas" w:hAnsi="Consolas"/>
          <w:sz w:val="21"/>
          <w:szCs w:val="21"/>
        </w:rPr>
        <w:t xml:space="preserve">from-mev</w:t>
      </w:r>
      <w:r>
        <w:t xml:space="preserve"> integration endpoint and the end-to-end pipeline; simulation validation against iGenDec example outputs.</w:t>
      </w:r>
    </w:p>
    <w:p>
      <w:pPr>
        <w:pStyle w:val="Heading3"/>
      </w:pPr>
      <w:r>
        <w:t xml:space="preserve">4.1.3 v1.1 — Decision-support depth</w:t>
      </w:r>
    </w:p>
    <w:p>
      <w:pPr>
        <w:spacing w:after="160" w:line="276"/>
      </w:pPr>
      <w:r>
        <w:t xml:space="preserve">Risk-adjusted (lower-bound) ranking; Monte-Carlo sensitivity analysis; response prediction (breeders' equation); scenario comparison enhancements; institutional SSO.</w:t>
      </w:r>
    </w:p>
    <w:p>
      <w:pPr>
        <w:pStyle w:val="Heading3"/>
      </w:pPr>
      <w:r>
        <w:t xml:space="preserve">4.1.4 v1.2 and beyond</w:t>
      </w:r>
    </w:p>
    <w:p>
      <w:pPr>
        <w:spacing w:after="160" w:line="276"/>
      </w:pPr>
      <w:r>
        <w:t xml:space="preserve">Crossbred/heterosis prediction for candidate animals; breed-specific parameter-library expansion; species generalisation (sheep, swine, dairy profiles built on the species-agnostic core); optimal-contribution / inbreeding-aware selection; public API rate-limited tier for third-party integration.</w:t>
      </w:r>
    </w:p>
    <w:p>
      <w:pPr>
        <w:pStyle w:val="Heading2"/>
      </w:pPr>
      <w:r>
        <w:t xml:space="preserve">4.2 Prioritised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310"/>
        <w:gridCol w:w="1600"/>
      </w:tblGrid>
      <w:tr>
        <w:trPr>
          <w:tblHeader/>
        </w:trPr>
        <w:tc>
          <w:tcPr>
            <w:tcW w:type="dxa" w:w="14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Priority</w:t>
            </w:r>
          </w:p>
        </w:tc>
        <w:tc>
          <w:tcPr>
            <w:tcW w:type="dxa" w:w="631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Feature</w:t>
            </w:r>
          </w:p>
        </w:tc>
        <w:tc>
          <w:tcPr>
            <w:tcW w:type="dxa" w:w="16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Release</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 (must)</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Index solver (b = P-1Ga, Cholesky); economic-weight + BLUP modes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Genetic-parameter library v1 (cited consensus set)</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Multi-breed across-breed adjustment (versioned tables)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CSV animal/EPD import with column mapping + evaluation tagging</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Accuracy-aware uncertainty on index values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Validation engine (Section 1.4 rules)</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Accounts, roles, dataset ACLs; REST API; reproducibility ledger</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P1 (should)</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Published-index presets; tornado sensitivity; export; scenario save/compare</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Herd simulation engine + MEV derivation</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P0</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Worker tier, job tracking, simulation UI, from-mev integration</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P1</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Simulation presets; Monte-Carlo error reporting</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P2 (could)</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Risk-adjusted ranking; Monte-Carlo sensitivity; response prediction</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v1.1</w:t>
            </w:r>
          </w:p>
        </w:tc>
      </w:tr>
      <w:tr>
        <w:tc>
          <w:tcPr>
            <w:tcW w:type="dxa" w:w="14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P3 (future)</w:t>
            </w:r>
          </w:p>
        </w:tc>
        <w:tc>
          <w:tcPr>
            <w:tcW w:type="dxa" w:w="63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Crossbred prediction; breed-specific params; species generalisation</w:t>
            </w:r>
          </w:p>
        </w:tc>
        <w:tc>
          <w:tcPr>
            <w:tcW w:type="dxa" w:w="1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v1.2+</w:t>
            </w:r>
          </w:p>
        </w:tc>
      </w:tr>
    </w:tbl>
    <w:p>
      <w:pPr>
        <w:pStyle w:val="Heading2"/>
      </w:pPr>
      <w:r>
        <w:t xml:space="preserve">4.3 Testing Strategy</w:t>
      </w:r>
    </w:p>
    <w:p>
      <w:pPr>
        <w:pStyle w:val="ListParagraph"/>
        <w:numPr>
          <w:ilvl w:val="0"/>
          <w:numId w:val="2"/>
        </w:numPr>
        <w:spacing w:after="60" w:line="272"/>
      </w:pPr>
      <w:r>
        <w:rPr>
          <w:b/>
          <w:bCs/>
        </w:rPr>
        <w:t xml:space="preserve">Unit tests</w:t>
      </w:r>
      <w:r>
        <w:t xml:space="preserve"> (pytest / Vitest): every engine function. For </w:t>
      </w:r>
      <w:r>
        <w:rPr>
          <w:rFonts w:ascii="Consolas" w:cs="Consolas" w:eastAsia="Consolas" w:hAnsi="Consolas"/>
          <w:sz w:val="21"/>
          <w:szCs w:val="21"/>
        </w:rPr>
        <w:t xml:space="preserve">osit-index</w:t>
      </w:r>
      <w:r>
        <w:t xml:space="preserve"> — P/G construction against hand-worked examples, Cholesky solve against </w:t>
      </w:r>
      <w:r>
        <w:rPr>
          <w:rFonts w:ascii="Consolas" w:cs="Consolas" w:eastAsia="Consolas" w:hAnsi="Consolas"/>
          <w:sz w:val="21"/>
          <w:szCs w:val="21"/>
        </w:rPr>
        <w:t xml:space="preserve">numpy.linalg.solve</w:t>
      </w:r>
      <w:r>
        <w:t xml:space="preserve"> on well-conditioned systems, accuracy conversions against the Phase 1 conversion table, across-breed adjustment arithmetic. For </w:t>
      </w:r>
      <w:r>
        <w:rPr>
          <w:rFonts w:ascii="Consolas" w:cs="Consolas" w:eastAsia="Consolas" w:hAnsi="Consolas"/>
          <w:sz w:val="21"/>
          <w:szCs w:val="21"/>
        </w:rPr>
        <w:t xml:space="preserve">osit-sim</w:t>
      </w:r>
      <w:r>
        <w:t xml:space="preserve"> — each sub-model (conception, calving, growth, economics) in isolation.</w:t>
      </w:r>
    </w:p>
    <w:p>
      <w:pPr>
        <w:pStyle w:val="ListParagraph"/>
        <w:numPr>
          <w:ilvl w:val="0"/>
          <w:numId w:val="2"/>
        </w:numPr>
        <w:spacing w:after="60" w:line="272"/>
      </w:pPr>
      <w:r>
        <w:rPr>
          <w:b/>
          <w:bCs/>
        </w:rPr>
        <w:t xml:space="preserve">Numerical validation</w:t>
      </w:r>
      <w:r>
        <w:t xml:space="preserve"> (the correctness-critical suite, Phase 2 gap G10): (1) reproduce </w:t>
      </w:r>
      <w:r>
        <w:rPr>
          <w:b/>
          <w:bCs/>
        </w:rPr>
        <w:t xml:space="preserve">published breed-association index values</w:t>
      </w:r>
      <w:r>
        <w:t xml:space="preserve"> — given a published index's traits and weights, the engine must return matching index values for known animals; (2) cross-check the analytical solver against </w:t>
      </w:r>
      <w:r>
        <w:rPr>
          <w:b/>
          <w:bCs/>
        </w:rPr>
        <w:t xml:space="preserve">independent R/SAS selection-index code</w:t>
      </w:r>
      <w:r>
        <w:t xml:space="preserve"> on shared inputs; (3) verify the economic-weight mode equals the BLUP-index mode in the uniform-accuracy limit; (4) reproduce </w:t>
      </w:r>
      <w:r>
        <w:rPr>
          <w:b/>
          <w:bCs/>
        </w:rPr>
        <w:t xml:space="preserve">iGenDec example MEVs</w:t>
      </w:r>
      <w:r>
        <w:t xml:space="preserve"> for documented input scenarios within Monte-Carlo error.</w:t>
      </w:r>
    </w:p>
    <w:p>
      <w:pPr>
        <w:pStyle w:val="ListParagraph"/>
        <w:numPr>
          <w:ilvl w:val="0"/>
          <w:numId w:val="2"/>
        </w:numPr>
        <w:spacing w:after="60" w:line="272"/>
      </w:pPr>
      <w:r>
        <w:rPr>
          <w:b/>
          <w:bCs/>
        </w:rPr>
        <w:t xml:space="preserve">Property-based tests:</w:t>
      </w:r>
      <w:r>
        <w:t xml:space="preserve"> index weights invariant to information-source ordering; ranking invariant to index display scale; symmetric PD matrices always factor; adjustment is exactly reversible.</w:t>
      </w:r>
    </w:p>
    <w:p>
      <w:pPr>
        <w:pStyle w:val="ListParagraph"/>
        <w:numPr>
          <w:ilvl w:val="0"/>
          <w:numId w:val="2"/>
        </w:numPr>
        <w:spacing w:after="60" w:line="272"/>
      </w:pPr>
      <w:r>
        <w:rPr>
          <w:b/>
          <w:bCs/>
        </w:rPr>
        <w:t xml:space="preserve">Integration tests:</w:t>
      </w:r>
      <w:r>
        <w:t xml:space="preserve"> full API request flows, async job lifecycle, the simulation-&gt;index </w:t>
      </w:r>
      <w:r>
        <w:rPr>
          <w:rFonts w:ascii="Consolas" w:cs="Consolas" w:eastAsia="Consolas" w:hAnsi="Consolas"/>
          <w:sz w:val="21"/>
          <w:szCs w:val="21"/>
        </w:rPr>
        <w:t xml:space="preserve">from-mev</w:t>
      </w:r>
      <w:r>
        <w:t xml:space="preserve"> hand-off, permission resolution against the ACL matrix.</w:t>
      </w:r>
    </w:p>
    <w:p>
      <w:pPr>
        <w:pStyle w:val="ListParagraph"/>
        <w:numPr>
          <w:ilvl w:val="0"/>
          <w:numId w:val="2"/>
        </w:numPr>
        <w:spacing w:after="60" w:line="272"/>
      </w:pPr>
      <w:r>
        <w:rPr>
          <w:b/>
          <w:bCs/>
        </w:rPr>
        <w:t xml:space="preserve">Regression tests:</w:t>
      </w:r>
      <w:r>
        <w:t xml:space="preserve"> the reproducibility ledger enables golden-master tests — stored runs must reproduce bit-for-bit (analytical engine) or within Monte-Carlo tolerance (simulation) as the code evolves.</w:t>
      </w:r>
    </w:p>
    <w:p>
      <w:pPr>
        <w:pStyle w:val="ListParagraph"/>
        <w:numPr>
          <w:ilvl w:val="0"/>
          <w:numId w:val="2"/>
        </w:numPr>
        <w:spacing w:after="60" w:line="272"/>
      </w:pPr>
      <w:r>
        <w:rPr>
          <w:b/>
          <w:bCs/>
        </w:rPr>
        <w:t xml:space="preserve">CI:</w:t>
      </w:r>
      <w:r>
        <w:t xml:space="preserve"> GitHub Actions runs the full suite on every commit; numerical-validation tests gate releases.</w:t>
      </w:r>
    </w:p>
    <w:p>
      <w:pPr>
        <w:pStyle w:val="Heading2"/>
      </w:pPr>
      <w:r>
        <w:t xml:space="preserve">4.4 Technical Documentation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50"/>
        <w:gridCol w:w="3110"/>
        <w:gridCol w:w="2600"/>
      </w:tblGrid>
      <w:tr>
        <w:trPr>
          <w:tblHeader/>
        </w:trPr>
        <w:tc>
          <w:tcPr>
            <w:tcW w:type="dxa" w:w="365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Document</w:t>
            </w:r>
          </w:p>
        </w:tc>
        <w:tc>
          <w:tcPr>
            <w:tcW w:type="dxa" w:w="311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Audience</w:t>
            </w:r>
          </w:p>
        </w:tc>
        <w:tc>
          <w:tcPr>
            <w:tcW w:type="dxa" w:w="26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When</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README + quick-start</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All</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 start</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Methodology notes (the math of Parts 3B; derives every formula)</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Researchers, reviewers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 (index) / M2 (simulation)</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API reference (auto-generated OpenAPI + narrative guide)</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Researchers, integrators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User guide — Index Builder (role-specific walk-throughs)</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Producers, breeders, associations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Genetic-parameter library reference (values + citations)</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Researchers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Self-hosting / deployment guide (Docker, config, backups)</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Administrators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User guide — Simulation &amp; economic-value derivation</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Producers, associations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M2</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Validation report (results of the numerical-validation suite)</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Researchers, reviewers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 then updated each release</w:t>
            </w:r>
          </w:p>
        </w:tc>
      </w:tr>
      <w:tr>
        <w:tc>
          <w:tcPr>
            <w:tcW w:type="dxa" w:w="365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CONTRIBUTING, architecture overview, code of conduct</w:t>
            </w:r>
          </w:p>
        </w:tc>
        <w:tc>
          <w:tcPr>
            <w:tcW w:type="dxa" w:w="311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Contributors</w:t>
            </w:r>
          </w:p>
        </w:tc>
        <w:tc>
          <w:tcPr>
            <w:tcW w:type="dxa" w:w="26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M1 start</w:t>
            </w:r>
          </w:p>
        </w:tc>
      </w:tr>
    </w:tbl>
    <w:p>
      <w:pPr>
        <w:pStyle w:val="Heading2"/>
      </w:pPr>
      <w:r>
        <w:t xml:space="preserve">4.5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Risk</w:t>
            </w:r>
          </w:p>
        </w:tc>
        <w:tc>
          <w:tcPr>
            <w:tcW w:type="dxa" w:w="596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Mitigation</w:t>
            </w:r>
          </w:p>
        </w:tc>
      </w:tr>
      <w:tr>
        <w:tc>
          <w:tcPr>
            <w:tcW w:type="dxa" w:w="34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Numerical incorrectness in a tool informing real breeding decisions</w:t>
            </w:r>
          </w:p>
        </w:tc>
        <w:tc>
          <w:tcPr>
            <w:tcW w:type="dxa" w:w="59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Numerical-validation suite gates every release; validate against published indexes and independent code; reproducibility ledger enables audit.</w:t>
            </w:r>
          </w:p>
        </w:tc>
      </w:tr>
      <w:tr>
        <w:tc>
          <w:tcPr>
            <w:tcW w:type="dxa" w:w="34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Simulation performance (long herd runs)</w:t>
            </w:r>
          </w:p>
        </w:tc>
        <w:tc>
          <w:tcPr>
            <w:tcW w:type="dxa" w:w="59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Async worker tier from M2; profile and, only if needed, accelerate the hot loop with Numba/Rust; common random numbers reduce required replicates.</w:t>
            </w:r>
          </w:p>
        </w:tc>
      </w:tr>
      <w:tr>
        <w:tc>
          <w:tcPr>
            <w:tcW w:type="dxa" w:w="34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Across-breed factors unavailable for some traits</w:t>
            </w:r>
          </w:p>
        </w:tc>
        <w:tc>
          <w:tcPr>
            <w:tcW w:type="dxa" w:w="59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Validation ERROR on unsupported multi-breed traits; allow user-supplied factors flagged as user-derived (Section 1.4).</w:t>
            </w:r>
          </w:p>
        </w:tc>
      </w:tr>
      <w:tr>
        <w:tc>
          <w:tcPr>
            <w:tcW w:type="dxa" w:w="34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Users misinterpreting EPDs / indexes</w:t>
            </w:r>
          </w:p>
        </w:tc>
        <w:tc>
          <w:tcPr>
            <w:tcW w:type="dxa" w:w="59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Progressive-disclosure UX, inline validation messages, context help drawn from the methodology docs; plain-language ranking explanations.</w:t>
            </w:r>
          </w:p>
        </w:tc>
      </w:tr>
      <w:tr>
        <w:tc>
          <w:tcPr>
            <w:tcW w:type="dxa" w:w="34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Scope creep delaying v1.0</w:t>
            </w:r>
          </w:p>
        </w:tc>
        <w:tc>
          <w:tcPr>
            <w:tcW w:type="dxa" w:w="59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Strict P0/P1/P2/P3 prioritisation; M1 ships and is useful before M2 begins.</w:t>
            </w:r>
          </w:p>
        </w:tc>
      </w:tr>
      <w:tr>
        <w:tc>
          <w:tcPr>
            <w:tcW w:type="dxa" w:w="34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Parameter-library staleness</w:t>
            </w:r>
          </w:p>
        </w:tc>
        <w:tc>
          <w:tcPr>
            <w:tcW w:type="dxa" w:w="59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Versioned, cited library with a visible changelog; site-admin update workflow; annual review tied to USMARC factor releases.</w:t>
            </w:r>
          </w:p>
        </w:tc>
      </w:tr>
    </w:tbl>
    <w:p>
      <w:r>
        <w:br w:type="page"/>
      </w:r>
    </w:p>
    <w:p>
      <w:pPr>
        <w:pStyle w:val="Heading1"/>
      </w:pPr>
      <w:r>
        <w:t xml:space="preserve">Appendix A — Resolution of Phase 1 Open Decisions</w:t>
      </w:r>
    </w:p>
    <w:p>
      <w:pPr>
        <w:spacing w:after="160" w:line="276"/>
      </w:pPr>
      <w:r>
        <w:t xml:space="preserve">The eight open decisions recorded in Phase 1 Section 4 are resolved here. Items marked CONFIRMED were agreed with the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rPr>
          <w:tblHeader/>
        </w:trPr>
        <w:tc>
          <w:tcPr>
            <w:tcW w:type="dxa" w:w="5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w:t>
            </w:r>
          </w:p>
        </w:tc>
        <w:tc>
          <w:tcPr>
            <w:tcW w:type="dxa" w:w="270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Decision</w:t>
            </w:r>
          </w:p>
        </w:tc>
        <w:tc>
          <w:tcPr>
            <w:tcW w:type="dxa" w:w="6160"/>
            <w:tcBorders>
              <w:top w:val="single" w:color="B7C9CF" w:sz="1"/>
              <w:left w:val="single" w:color="B7C9CF" w:sz="1"/>
              <w:bottom w:val="single" w:color="B7C9CF" w:sz="1"/>
              <w:right w:val="single" w:color="B7C9CF" w:sz="1"/>
            </w:tcBorders>
            <w:shd w:fill="1F4E5C" w:val="clear"/>
            <w:tcMar>
              <w:top w:type="dxa" w:w="64"/>
              <w:left w:type="dxa" w:w="104"/>
              <w:bottom w:type="dxa" w:w="64"/>
              <w:right w:type="dxa" w:w="104"/>
            </w:tcMar>
          </w:tcPr>
          <w:p>
            <w:pPr>
              <w:jc w:val="left"/>
            </w:pPr>
            <w:r>
              <w:rPr>
                <w:b/>
                <w:bCs/>
                <w:color w:val="FFFFFF"/>
                <w:sz w:val="18"/>
                <w:szCs w:val="18"/>
              </w:rPr>
              <w:t xml:space="preserve">Resolution</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1</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Default index mode</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CONFIRMED. BLUP solver is the engine core; UI defaults to economic-weight mode; BLUP-index exposed as an accuracy-adjusted advanced mode (Part 3B Section 2.2.2).</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2</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Parameter-library granularity</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Cited consensus beef set + breed-specific overrides where strong published estimates exist; active set always shown (Section 2.6).</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3</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Heterosis / crossbred prediction</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MVP/M1 handles purebred-evaluated EPDs with USMARC adjustment; the simulation engine (M2) models heterosis internally; crossbred prediction for candidate animals is v1.2.</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4</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Threshold traits</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Accept threshold-trait EPDs as published; document the linearity assumption; the simulation models them on the liability-threshold scale (Section 2.7).</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5</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Missing-EPD policy</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Per-run user choice: exclude-with-WARN (default) or mean-impute-with-WARN/partial-flag (Section 1.4).</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6</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Non-positive-definite user matrices</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Always detect (eigenvalue check); offer an optional, explicitly-flagged Higham nearest-PD repair; never repair silently (Sections 1.4, 2.7).</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7</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Index display scaling</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Support raw I, deviation-from-population-mean (default), and rescaled familiar-mean/SD (Section 2.2.3).</w:t>
            </w:r>
          </w:p>
        </w:tc>
      </w:tr>
      <w:tr>
        <w:tc>
          <w:tcPr>
            <w:tcW w:type="dxa" w:w="5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8</w:t>
            </w:r>
          </w:p>
        </w:tc>
        <w:tc>
          <w:tcPr>
            <w:tcW w:type="dxa" w:w="270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Bio-economic derivation timing</w:t>
            </w:r>
          </w:p>
        </w:tc>
        <w:tc>
          <w:tcPr>
            <w:tcW w:type="dxa" w:w="6160"/>
            <w:tcBorders>
              <w:top w:val="single" w:color="B7C9CF" w:sz="1"/>
              <w:left w:val="single" w:color="B7C9CF" w:sz="1"/>
              <w:bottom w:val="single" w:color="B7C9CF" w:sz="1"/>
              <w:right w:val="single" w:color="B7C9CF" w:sz="1"/>
            </w:tcBorders>
            <w:shd w:fill="FFFFFF" w:val="clear"/>
            <w:tcMar>
              <w:top w:type="dxa" w:w="64"/>
              <w:left w:type="dxa" w:w="104"/>
              <w:bottom w:type="dxa" w:w="64"/>
              <w:right w:type="dxa" w:w="104"/>
            </w:tcMar>
          </w:tcPr>
          <w:p>
            <w:pPr>
              <w:jc w:val="left"/>
            </w:pPr>
            <w:r>
              <w:rPr>
                <w:b w:val="false"/>
                <w:bCs w:val="false"/>
                <w:color w:val="000000"/>
                <w:sz w:val="18"/>
                <w:szCs w:val="18"/>
              </w:rPr>
              <w:t xml:space="preserve">CONFIRMED. Full simulation engine is in scope as Milestone 2 of v1.0 — not deferred indefinitely — and is fully specified in Part 3B Section 2.5.</w:t>
            </w:r>
          </w:p>
        </w:tc>
      </w:tr>
    </w:tbl>
    <w:p>
      <w:pPr>
        <w:pBdr>
          <w:left w:val="single" w:color="1F4E5C" w:sz="18" w:space="12"/>
        </w:pBdr>
        <w:spacing w:after="160" w:before="80" w:line="276"/>
        <w:ind w:left="360"/>
      </w:pPr>
      <w:r>
        <w:rPr>
          <w:i/>
          <w:iCs/>
          <w:sz w:val="21"/>
          <w:szCs w:val="21"/>
        </w:rPr>
        <w:t xml:space="preserve">This specification is complete enough for an engineering team to execute Phase 4. Milestone 1 (Index Builder) begins the build; the data model, API, and architecture above already accommodate Milestone 2 (Simulation Engine) so the integration requires no rework. Phase 4 will flag any further ambiguity before implementing, per the project ground rules.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CF" w:sz="4" w:space="4"/>
      </w:pBdr>
      <w:tabs>
        <w:tab w:val="right" w:pos="9360"/>
      </w:tabs>
    </w:pPr>
    <w:r>
      <w:rPr>
        <w:color w:val="888888"/>
        <w:sz w:val="16"/>
        <w:szCs w:val="16"/>
      </w:rPr>
      <w:t xml:space="preserve">Open Selection Index Tool</w:t>
    </w:r>
    <w:r>
      <w:rPr>
        <w:color w:val="888888"/>
        <w:sz w:val="16"/>
        <w:szCs w:val="16"/>
      </w:rPr>
      <w:t xml:space="preserve">	Phase 3 — Architecture &amp; Technical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8" w:space="4"/>
      </w:pBdr>
      <w:spacing w:after="200" w:before="320"/>
      <w:outlineLvl w:val="0"/>
    </w:pPr>
    <w:rPr>
      <w:rFonts w:ascii="Calibri" w:cs="Calibri" w:eastAsia="Calibri" w:hAnsi="Calibri"/>
      <w:b/>
      <w:bCs/>
      <w:color w:val="1F4E5C"/>
      <w:sz w:val="31"/>
      <w:szCs w:val="31"/>
    </w:rPr>
  </w:style>
  <w:style w:type="paragraph" w:styleId="Heading2">
    <w:name w:val="Heading 2"/>
    <w:basedOn w:val="Normal"/>
    <w:next w:val="Normal"/>
    <w:qFormat/>
    <w:pPr>
      <w:spacing w:after="120" w:before="240"/>
      <w:outlineLvl w:val="1"/>
    </w:pPr>
    <w:rPr>
      <w:rFonts w:ascii="Calibri" w:cs="Calibri" w:eastAsia="Calibri" w:hAnsi="Calibri"/>
      <w:b/>
      <w:bCs/>
      <w:color w:val="2A6070"/>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 Architecture &amp; Technical Build Plan</dc:title>
  <dc:creator>Open Selection Index Tool Project</dc:creator>
  <cp:lastModifiedBy>Un-named</cp:lastModifiedBy>
  <cp:revision>1</cp:revision>
  <dcterms:created xsi:type="dcterms:W3CDTF">2026-05-20T20:29:19.557Z</dcterms:created>
  <dcterms:modified xsi:type="dcterms:W3CDTF">2026-05-20T20:29:19.557Z</dcterms:modified>
</cp:coreProperties>
</file>

<file path=docProps/custom.xml><?xml version="1.0" encoding="utf-8"?>
<Properties xmlns="http://schemas.openxmlformats.org/officeDocument/2006/custom-properties" xmlns:vt="http://schemas.openxmlformats.org/officeDocument/2006/docPropsVTypes"/>
</file>