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DD4937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3DD4937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39BDD216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7CAF3C4" w:rsidRDefault="004D01C9" w14:paraId="1BABF3D9" w14:textId="1E701DCE">
                  <w:pPr>
                    <w:pStyle w:val="Heading2"/>
                    <w:spacing w:before="240" w:after="120" w:line="259" w:lineRule="auto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Pr="39BDD216" w:rsidR="7B474A3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auto"/>
                      <w:sz w:val="20"/>
                      <w:szCs w:val="20"/>
                    </w:rPr>
                    <w:t>NA0003011-DSS-00256</w:t>
                  </w:r>
                </w:p>
              </w:tc>
            </w:tr>
            <w:tr w:rsidR="00914FB6" w:rsidTr="39BDD216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7CAF3C4" w:rsidRDefault="00914FB6" w14:paraId="2BFCFFE6" w14:textId="3C578BE5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39BDD216" w:rsidR="07B48DFC">
                    <w:rPr>
                      <w:sz w:val="20"/>
                      <w:szCs w:val="20"/>
                    </w:rPr>
                    <w:t>NEM42106-PIDS-087</w:t>
                  </w:r>
                </w:p>
              </w:tc>
            </w:tr>
            <w:tr w:rsidR="00914FB6" w:rsidTr="39BDD216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39BDD216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39BDD216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39BDD216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DD4937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3DD4937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39BDD216" w14:paraId="6EB1A014" w14:textId="77777777">
              <w:tc>
                <w:tcPr>
                  <w:tcW w:w="8988" w:type="dxa"/>
                  <w:tcMar/>
                </w:tcPr>
                <w:p w:rsidR="00CB70A6" w:rsidP="39BDD216" w:rsidRDefault="00CB70A6" w14:paraId="5BD0A75E" w14:textId="353B0295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39BDD216" w:rsidR="31E070B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start IBIT, when FDU_TEST signal  is detected.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DD4937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3DD4937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DD4937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3DD4937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4A79D451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39BDD216" w:rsidRDefault="00087DFA" w14:paraId="42CE84F7" w14:textId="79FF8707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4A79D451" w:rsidR="23273A8F">
                    <w:rPr>
                      <w:sz w:val="20"/>
                      <w:szCs w:val="20"/>
                    </w:rPr>
                    <w:t>IBIT</w:t>
                  </w:r>
                  <w:r w:rsidRPr="4A79D451" w:rsidR="45FBC934">
                    <w:rPr>
                      <w:sz w:val="20"/>
                      <w:szCs w:val="20"/>
                    </w:rPr>
                    <w:t xml:space="preserve">’in başlatılabilmesi için test sinyali gelmesi gerekmektedir. Gereksinim </w:t>
                  </w:r>
                  <w:r w:rsidRPr="4A79D451" w:rsidR="45FBC934">
                    <w:rPr>
                      <w:sz w:val="20"/>
                      <w:szCs w:val="20"/>
                    </w:rPr>
                    <w:t xml:space="preserve">test sinyalini belirlemek amacıyla eklenmiştir. Bu sinyalin </w:t>
                  </w:r>
                  <w:r w:rsidRPr="4A79D451" w:rsidR="5B5356C1">
                    <w:rPr>
                      <w:sz w:val="20"/>
                      <w:szCs w:val="20"/>
                    </w:rPr>
                    <w:t xml:space="preserve">özelliği </w:t>
                  </w:r>
                  <w:r w:rsidRPr="4A79D451" w:rsidR="45FBC934">
                    <w:rPr>
                      <w:sz w:val="20"/>
                      <w:szCs w:val="20"/>
                    </w:rPr>
                    <w:t>diğer</w:t>
                  </w:r>
                  <w:r w:rsidRPr="4A79D451" w:rsidR="02682AAE">
                    <w:rPr>
                      <w:sz w:val="20"/>
                      <w:szCs w:val="20"/>
                    </w:rPr>
                    <w:t xml:space="preserve"> gereksinimlerde belirtilmiştir</w:t>
                  </w:r>
                  <w:r w:rsidRPr="4A79D451" w:rsidR="5AD57977">
                    <w:rPr>
                      <w:sz w:val="20"/>
                      <w:szCs w:val="20"/>
                      <w:vertAlign w:val="superscript"/>
                    </w:rPr>
                    <w:t>2,3</w:t>
                  </w:r>
                  <w:r w:rsidRPr="4A79D451" w:rsidR="02682AAE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DD4937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3DD4937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3DD4937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106766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0A5F0959">
                  <w:sdt>
                    <w:sdtPr>
                      <w:id w:val="2097499765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81B7E79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5FF8FAAE">
                  <w:sdt>
                    <w:sdtPr>
                      <w:id w:val="595978297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42088D6">
                    <w:rPr/>
                    <w:t>+</w:t>
                  </w:r>
                </w:p>
              </w:tc>
            </w:tr>
            <w:tr w:rsidR="002F7722" w:rsidTr="1106766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8E249C5">
                  <w:sdt>
                    <w:sdtPr>
                      <w:id w:val="990536772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E7C8E5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1106766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1106766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DD4937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3DD4937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39BDD216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274EED0F" w14:textId="518C1FE6">
                  <w:pPr>
                    <w:pStyle w:val="Normal"/>
                  </w:pPr>
                  <w:r w:rsidR="2B435200">
                    <w:rPr/>
                    <w:t>Software</w:t>
                  </w:r>
                </w:p>
              </w:tc>
            </w:tr>
            <w:tr w:rsidR="000E4C7A" w:rsidTr="39BDD216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013E36B7" w14:textId="78A93461">
                  <w:pPr>
                    <w:pStyle w:val="Normal"/>
                  </w:pPr>
                  <w:r w:rsidR="2E9234CA">
                    <w:rPr/>
                    <w:t xml:space="preserve">shall </w:t>
                  </w:r>
                  <w:r w:rsidR="0E0B97BB">
                    <w:rPr/>
                    <w:t xml:space="preserve">start </w:t>
                  </w:r>
                </w:p>
              </w:tc>
            </w:tr>
            <w:tr w:rsidR="000E4C7A" w:rsidTr="39BDD216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6B416A5C">
                  <w:r w:rsidR="6D5E0A53">
                    <w:rPr/>
                    <w:t>IBIT</w:t>
                  </w:r>
                </w:p>
              </w:tc>
            </w:tr>
            <w:tr w:rsidR="000E4C7A" w:rsidTr="39BDD216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39BDD216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72FBBDC9" w14:textId="4966F89C">
                  <w:pPr>
                    <w:pStyle w:val="Normal"/>
                  </w:pPr>
                </w:p>
              </w:tc>
            </w:tr>
            <w:tr w:rsidR="000E4C7A" w:rsidTr="39BDD216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49E57D" w:rsidRDefault="000E4C7A" w14:paraId="03E508C2" w14:textId="0B4154ED">
                  <w:pPr>
                    <w:pStyle w:val="Normal"/>
                  </w:pPr>
                  <w:r w:rsidR="793E5D75">
                    <w:rPr/>
                    <w:t>when FDU_TEST signal  is detected.</w:t>
                  </w: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DD4937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3DD4937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A79D451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39BDD216" w:rsidRDefault="00E71EA2" w14:paraId="5A4AC355" w14:textId="6111599E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2E5CCEB4">
                    <w:rPr/>
                    <w:t>MOC4,</w:t>
                  </w:r>
                </w:p>
                <w:p w:rsidR="006F12B7" w:rsidP="39BDD216" w:rsidRDefault="00E71EA2" w14:paraId="6A764D00" w14:textId="12161C08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23D477BE">
                    <w:rPr/>
                    <w:t>Test için, ARINC</w:t>
                  </w:r>
                  <w:r w:rsidR="27C6C5DD">
                    <w:rPr/>
                    <w:t>429</w:t>
                  </w:r>
                  <w:r w:rsidR="23D477BE">
                    <w:rPr/>
                    <w:t xml:space="preserve"> analizor, FDU, </w:t>
                  </w:r>
                  <w:r w:rsidR="414E1A1C">
                    <w:rPr/>
                    <w:t xml:space="preserve">ve </w:t>
                  </w:r>
                  <w:r w:rsidR="23D477BE">
                    <w:rPr/>
                    <w:t>buton</w:t>
                  </w:r>
                  <w:r w:rsidR="7F471095">
                    <w:rPr/>
                    <w:t xml:space="preserve"> kullanıla</w:t>
                  </w:r>
                  <w:r w:rsidR="38993EF1">
                    <w:rPr/>
                    <w:t>bilir</w:t>
                  </w:r>
                  <w:r w:rsidR="23D477BE">
                    <w:rPr/>
                    <w:t>.</w:t>
                  </w:r>
                  <w:r w:rsidR="51DCE686">
                    <w:rPr/>
                    <w:t xml:space="preserve"> Buton testi başlatmak için kullanılacaktır.</w:t>
                  </w:r>
                  <w:r w:rsidR="23D477BE">
                    <w:rPr/>
                    <w:t xml:space="preserve"> FDU’ya güç verilir ve FDU çalışır hale geldikten sonra butona basılır. ARINC</w:t>
                  </w:r>
                  <w:r w:rsidR="0B9177AC">
                    <w:rPr/>
                    <w:t>429</w:t>
                  </w:r>
                  <w:r w:rsidR="23D477BE">
                    <w:rPr/>
                    <w:t xml:space="preserve"> mesajını</w:t>
                  </w:r>
                  <w:r w:rsidR="5200FE50">
                    <w:rPr/>
                    <w:t>n</w:t>
                  </w:r>
                  <w:r w:rsidR="23D477BE">
                    <w:rPr/>
                    <w:t xml:space="preserve"> </w:t>
                  </w:r>
                  <w:r w:rsidR="5EAB0C9F">
                    <w:rPr/>
                    <w:t>SSM</w:t>
                  </w:r>
                  <w:r w:rsidR="5000B53F">
                    <w:rPr/>
                    <w:t>(Sign Status Matrix)</w:t>
                  </w:r>
                  <w:r w:rsidR="5EAB0C9F">
                    <w:rPr/>
                    <w:t xml:space="preserve"> bitlerini</w:t>
                  </w:r>
                  <w:r w:rsidR="4C764F4B">
                    <w:rPr/>
                    <w:t>n</w:t>
                  </w:r>
                  <w:r w:rsidR="5EAB0C9F">
                    <w:rPr/>
                    <w:t xml:space="preserve"> FT</w:t>
                  </w:r>
                  <w:r w:rsidR="32990DC3">
                    <w:rPr/>
                    <w:t>(Functional Test)</w:t>
                  </w:r>
                  <w:r w:rsidR="5EAB0C9F">
                    <w:rPr/>
                    <w:t xml:space="preserve"> olması beklenir</w:t>
                  </w:r>
                  <w:r w:rsidR="7BBFE0BE">
                    <w:rPr/>
                    <w:t xml:space="preserve">. </w:t>
                  </w:r>
                  <w:r w:rsidR="286B97A1">
                    <w:rPr/>
                    <w:t xml:space="preserve">SSM biti </w:t>
                  </w:r>
                  <w:r w:rsidR="7BBFE0BE">
                    <w:rPr/>
                    <w:t>FT ise test başarılıdır.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DD4937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3DD4937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1CCB72C" w14:paraId="4F0474EE" w14:textId="77777777">
              <w:tc>
                <w:tcPr>
                  <w:tcW w:w="8988" w:type="dxa"/>
                  <w:tcMar/>
                </w:tcPr>
                <w:p w:rsidR="00334478" w:rsidP="01CCB72C" w:rsidRDefault="00334478" w14:paraId="4A380814" w14:textId="55BB0F49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1CCB72C" w:rsidR="7024712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FDU_TEST sinyalinin bağlı olduğu GPIO pini belirlenir. NA0002100 dökümanında bu sinyalin ETPUC3 olduğu ve referans klavuzundan da bu pin numarasının yazılımsal olarak 444 ve donanımsal olarak ise D26 olduğu gözlenebilir. </w:t>
                  </w:r>
                </w:p>
                <w:p w:rsidR="00334478" w:rsidP="01CCB72C" w:rsidRDefault="00334478" w14:paraId="05F2CF39" w14:textId="3346C93E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1CCB72C" w:rsidR="2199AC4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Yazılım GPIO pinini </w:t>
                  </w:r>
                  <w:r w:rsidRPr="01CCB72C" w:rsidR="652DFA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belirli periyotlarda oku</w:t>
                  </w:r>
                  <w:r w:rsidRPr="01CCB72C" w:rsidR="62A0AF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yarak, </w:t>
                  </w:r>
                  <w:r w:rsidRPr="01CCB72C" w:rsidR="652DFAE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aktif duruma geçtiği durumda </w:t>
                  </w:r>
                  <w:r w:rsidRPr="01CCB72C" w:rsidR="14DF5D4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IBIT testi</w:t>
                  </w:r>
                  <w:r w:rsidRPr="01CCB72C" w:rsidR="277C10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ni yapacak olan kod bloğuna dallanabilir</w:t>
                  </w:r>
                  <w:r w:rsidRPr="01CCB72C" w:rsidR="14DF5D4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DD4937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3DD4937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3DD49376" w14:paraId="4E02DD80" w14:textId="77777777">
              <w:tc>
                <w:tcPr>
                  <w:tcW w:w="8988" w:type="dxa"/>
                  <w:tcMar/>
                </w:tcPr>
                <w:p w:rsidR="00E27154" w:rsidP="50AF4390" w:rsidRDefault="00E71EA2" w14:paraId="36C8BCE1" w14:textId="45DC41E5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3DD49376" w:rsidR="1933A0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</w:t>
                  </w:r>
                  <w:r w:rsidRPr="3DD49376" w:rsidR="4058018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conduct</w:t>
                  </w:r>
                  <w:r w:rsidRPr="3DD49376" w:rsidR="1933A0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IBIT, when FDU_TEST signal  is detected in Operational Mode.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DD4937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22972AAA" w:rsidP="4A79D451" w:rsidRDefault="22972AAA" w14:paraId="45C7A053" w14:textId="58D9D1D6">
      <w:pPr>
        <w:pStyle w:val="Balk11"/>
        <w:spacing w:before="120" w:after="160" w:line="240" w:lineRule="auto"/>
        <w:outlineLvl w:val="0"/>
        <w:rPr>
          <w:sz w:val="20"/>
          <w:szCs w:val="20"/>
        </w:rPr>
      </w:pPr>
      <w:r w:rsidRPr="3DD49376" w:rsidR="6D3D7539">
        <w:rPr>
          <w:sz w:val="20"/>
          <w:szCs w:val="20"/>
        </w:rPr>
        <w:t>NEM42106-PIDS-087</w:t>
      </w:r>
    </w:p>
    <w:p w:rsidR="22972AAA" w:rsidP="4A79D451" w:rsidRDefault="22972AAA" w14:paraId="0B9CA350" w14:textId="5B7B90F7">
      <w:pPr>
        <w:pStyle w:val="Balk11"/>
        <w:spacing w:before="120" w:after="160" w:line="240" w:lineRule="auto"/>
        <w:outlineLvl w:val="0"/>
        <w:rPr>
          <w:sz w:val="20"/>
          <w:szCs w:val="20"/>
        </w:rPr>
      </w:pPr>
      <w:r w:rsidRPr="3DD49376" w:rsidR="22972AAA">
        <w:rPr>
          <w:sz w:val="20"/>
          <w:szCs w:val="20"/>
        </w:rPr>
        <w:t xml:space="preserve">NEM42106-PIDS-235  </w:t>
      </w: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CCB72C"/>
    <w:rsid w:val="02682AAE"/>
    <w:rsid w:val="02D1B6DB"/>
    <w:rsid w:val="0380E842"/>
    <w:rsid w:val="046910CE"/>
    <w:rsid w:val="0472FD3C"/>
    <w:rsid w:val="05227321"/>
    <w:rsid w:val="052B9CBF"/>
    <w:rsid w:val="0556C926"/>
    <w:rsid w:val="0565DE03"/>
    <w:rsid w:val="056A3312"/>
    <w:rsid w:val="05D37595"/>
    <w:rsid w:val="05F12AD7"/>
    <w:rsid w:val="0693085F"/>
    <w:rsid w:val="069C3CF5"/>
    <w:rsid w:val="06BE4382"/>
    <w:rsid w:val="06C73888"/>
    <w:rsid w:val="075FA11B"/>
    <w:rsid w:val="07B48DFC"/>
    <w:rsid w:val="085A13E3"/>
    <w:rsid w:val="0865B258"/>
    <w:rsid w:val="089FDF04"/>
    <w:rsid w:val="08E3A395"/>
    <w:rsid w:val="0971B856"/>
    <w:rsid w:val="09BA5263"/>
    <w:rsid w:val="09D808AC"/>
    <w:rsid w:val="0A3E1118"/>
    <w:rsid w:val="0AF2540A"/>
    <w:rsid w:val="0B9177AC"/>
    <w:rsid w:val="0C31D651"/>
    <w:rsid w:val="0C723C4A"/>
    <w:rsid w:val="0D0C504E"/>
    <w:rsid w:val="0D2D8506"/>
    <w:rsid w:val="0E0B97BB"/>
    <w:rsid w:val="0F62505E"/>
    <w:rsid w:val="0F853FF3"/>
    <w:rsid w:val="10135658"/>
    <w:rsid w:val="1020E8C7"/>
    <w:rsid w:val="1077FAB1"/>
    <w:rsid w:val="10C0EE32"/>
    <w:rsid w:val="11067664"/>
    <w:rsid w:val="119561C7"/>
    <w:rsid w:val="11D09FE5"/>
    <w:rsid w:val="125CBE93"/>
    <w:rsid w:val="126E2C3B"/>
    <w:rsid w:val="128A8516"/>
    <w:rsid w:val="133542B9"/>
    <w:rsid w:val="1353DA7C"/>
    <w:rsid w:val="1374F3D5"/>
    <w:rsid w:val="14173559"/>
    <w:rsid w:val="14B22C38"/>
    <w:rsid w:val="14DF5D48"/>
    <w:rsid w:val="16230CC8"/>
    <w:rsid w:val="16DDC7BA"/>
    <w:rsid w:val="16F1B832"/>
    <w:rsid w:val="17889BB6"/>
    <w:rsid w:val="17918F83"/>
    <w:rsid w:val="17CAF3C4"/>
    <w:rsid w:val="18065A30"/>
    <w:rsid w:val="192CB710"/>
    <w:rsid w:val="1933A03B"/>
    <w:rsid w:val="1949A13A"/>
    <w:rsid w:val="19D9FEAD"/>
    <w:rsid w:val="1A9C012D"/>
    <w:rsid w:val="1AABCFAB"/>
    <w:rsid w:val="1B092B6F"/>
    <w:rsid w:val="1B94FF7D"/>
    <w:rsid w:val="1B97DF89"/>
    <w:rsid w:val="1C052955"/>
    <w:rsid w:val="1C4D957B"/>
    <w:rsid w:val="1CA4FBD0"/>
    <w:rsid w:val="1CB07902"/>
    <w:rsid w:val="1CE7E1D9"/>
    <w:rsid w:val="1D1452C6"/>
    <w:rsid w:val="1D30CFDE"/>
    <w:rsid w:val="1D669642"/>
    <w:rsid w:val="1DA2D65D"/>
    <w:rsid w:val="1DB4FB31"/>
    <w:rsid w:val="1E04F328"/>
    <w:rsid w:val="1E9BE6E8"/>
    <w:rsid w:val="1F068211"/>
    <w:rsid w:val="20360D59"/>
    <w:rsid w:val="2055CAEE"/>
    <w:rsid w:val="211B112F"/>
    <w:rsid w:val="216FD2C5"/>
    <w:rsid w:val="2199AC46"/>
    <w:rsid w:val="21C5A96D"/>
    <w:rsid w:val="2232B0DF"/>
    <w:rsid w:val="228C3401"/>
    <w:rsid w:val="22972AAA"/>
    <w:rsid w:val="22B6E190"/>
    <w:rsid w:val="23273A8F"/>
    <w:rsid w:val="23943506"/>
    <w:rsid w:val="23D477BE"/>
    <w:rsid w:val="23EF316D"/>
    <w:rsid w:val="246801B1"/>
    <w:rsid w:val="24B34C5E"/>
    <w:rsid w:val="25FBE921"/>
    <w:rsid w:val="264BDE16"/>
    <w:rsid w:val="26870BE7"/>
    <w:rsid w:val="26D21720"/>
    <w:rsid w:val="26ECDAC8"/>
    <w:rsid w:val="277C1088"/>
    <w:rsid w:val="27C6C5DD"/>
    <w:rsid w:val="27D2A9D6"/>
    <w:rsid w:val="2849E57D"/>
    <w:rsid w:val="286B97A1"/>
    <w:rsid w:val="290E6268"/>
    <w:rsid w:val="2A50C6D6"/>
    <w:rsid w:val="2A628F40"/>
    <w:rsid w:val="2AC1F375"/>
    <w:rsid w:val="2AF9B771"/>
    <w:rsid w:val="2B435200"/>
    <w:rsid w:val="2C066EDE"/>
    <w:rsid w:val="2C4C6629"/>
    <w:rsid w:val="2CC36525"/>
    <w:rsid w:val="2CEF0595"/>
    <w:rsid w:val="2D385E6C"/>
    <w:rsid w:val="2D90972D"/>
    <w:rsid w:val="2DAEA3FF"/>
    <w:rsid w:val="2E350A09"/>
    <w:rsid w:val="2E5CCEB4"/>
    <w:rsid w:val="2E7C8E57"/>
    <w:rsid w:val="2E9234CA"/>
    <w:rsid w:val="2EEEB234"/>
    <w:rsid w:val="2F5490F6"/>
    <w:rsid w:val="2F86CDE8"/>
    <w:rsid w:val="2FBAB809"/>
    <w:rsid w:val="2FFB05E7"/>
    <w:rsid w:val="30588DBB"/>
    <w:rsid w:val="30A2733A"/>
    <w:rsid w:val="30BE7A88"/>
    <w:rsid w:val="31017E6D"/>
    <w:rsid w:val="315ADAF4"/>
    <w:rsid w:val="31604DD5"/>
    <w:rsid w:val="3196D648"/>
    <w:rsid w:val="31E070B8"/>
    <w:rsid w:val="3242EF2E"/>
    <w:rsid w:val="32990DC3"/>
    <w:rsid w:val="32A78864"/>
    <w:rsid w:val="32AA60BE"/>
    <w:rsid w:val="3313F487"/>
    <w:rsid w:val="33345B03"/>
    <w:rsid w:val="3338127D"/>
    <w:rsid w:val="33652939"/>
    <w:rsid w:val="33F7C631"/>
    <w:rsid w:val="33F93D66"/>
    <w:rsid w:val="35966711"/>
    <w:rsid w:val="359DBB12"/>
    <w:rsid w:val="359F18C5"/>
    <w:rsid w:val="363F0760"/>
    <w:rsid w:val="36DF40B2"/>
    <w:rsid w:val="37F18474"/>
    <w:rsid w:val="38993EF1"/>
    <w:rsid w:val="38A739B4"/>
    <w:rsid w:val="38FDB271"/>
    <w:rsid w:val="390AEF67"/>
    <w:rsid w:val="39BDD216"/>
    <w:rsid w:val="39DD0915"/>
    <w:rsid w:val="39F625D2"/>
    <w:rsid w:val="3A743D38"/>
    <w:rsid w:val="3A82A597"/>
    <w:rsid w:val="3B93AB63"/>
    <w:rsid w:val="3BE6AB56"/>
    <w:rsid w:val="3BEB7370"/>
    <w:rsid w:val="3D09DE65"/>
    <w:rsid w:val="3D4DC5DD"/>
    <w:rsid w:val="3DD49376"/>
    <w:rsid w:val="3E749999"/>
    <w:rsid w:val="3E77C511"/>
    <w:rsid w:val="3E7D46D6"/>
    <w:rsid w:val="3EB2808F"/>
    <w:rsid w:val="3F0E630C"/>
    <w:rsid w:val="3FF88D4A"/>
    <w:rsid w:val="40191737"/>
    <w:rsid w:val="40580189"/>
    <w:rsid w:val="40EBC447"/>
    <w:rsid w:val="414E1A1C"/>
    <w:rsid w:val="4158750F"/>
    <w:rsid w:val="41B00723"/>
    <w:rsid w:val="41E820A8"/>
    <w:rsid w:val="42AD3BC8"/>
    <w:rsid w:val="42C5630E"/>
    <w:rsid w:val="4300EA02"/>
    <w:rsid w:val="430F50FC"/>
    <w:rsid w:val="4315B64C"/>
    <w:rsid w:val="431F8FB4"/>
    <w:rsid w:val="432F4A11"/>
    <w:rsid w:val="4350B7F9"/>
    <w:rsid w:val="443375A0"/>
    <w:rsid w:val="4461840F"/>
    <w:rsid w:val="447896D9"/>
    <w:rsid w:val="44954EE2"/>
    <w:rsid w:val="449892B2"/>
    <w:rsid w:val="44BB6690"/>
    <w:rsid w:val="4553223C"/>
    <w:rsid w:val="45738413"/>
    <w:rsid w:val="45A1EB3E"/>
    <w:rsid w:val="45FBC934"/>
    <w:rsid w:val="472617AC"/>
    <w:rsid w:val="477B8FDD"/>
    <w:rsid w:val="47FEC931"/>
    <w:rsid w:val="48F10F3B"/>
    <w:rsid w:val="495E2BC5"/>
    <w:rsid w:val="49BBEFCF"/>
    <w:rsid w:val="49D5F0A2"/>
    <w:rsid w:val="4A46FDAA"/>
    <w:rsid w:val="4A79D451"/>
    <w:rsid w:val="4AA4970F"/>
    <w:rsid w:val="4B61CDA9"/>
    <w:rsid w:val="4B9241FA"/>
    <w:rsid w:val="4BC4414F"/>
    <w:rsid w:val="4C1D370D"/>
    <w:rsid w:val="4C764F4B"/>
    <w:rsid w:val="4C8321BF"/>
    <w:rsid w:val="4C92C8FF"/>
    <w:rsid w:val="4C944836"/>
    <w:rsid w:val="4D087BEE"/>
    <w:rsid w:val="4DAEE3B9"/>
    <w:rsid w:val="4E5B9021"/>
    <w:rsid w:val="4E9BF9B6"/>
    <w:rsid w:val="4EBFA2BF"/>
    <w:rsid w:val="4EF2712A"/>
    <w:rsid w:val="4F21524D"/>
    <w:rsid w:val="4F6D7965"/>
    <w:rsid w:val="4FCEAFF5"/>
    <w:rsid w:val="4FF76082"/>
    <w:rsid w:val="5000B53F"/>
    <w:rsid w:val="5035139B"/>
    <w:rsid w:val="50AF4390"/>
    <w:rsid w:val="5130736B"/>
    <w:rsid w:val="51DCE686"/>
    <w:rsid w:val="5200FE50"/>
    <w:rsid w:val="5252A707"/>
    <w:rsid w:val="530E6ECE"/>
    <w:rsid w:val="53A7A4FF"/>
    <w:rsid w:val="542088D6"/>
    <w:rsid w:val="542E4E5F"/>
    <w:rsid w:val="54CCCA29"/>
    <w:rsid w:val="55850C3A"/>
    <w:rsid w:val="55EDF0F7"/>
    <w:rsid w:val="56495A4A"/>
    <w:rsid w:val="56F9A095"/>
    <w:rsid w:val="5709E545"/>
    <w:rsid w:val="571375CC"/>
    <w:rsid w:val="5753E7D9"/>
    <w:rsid w:val="579E5429"/>
    <w:rsid w:val="57BB7ED7"/>
    <w:rsid w:val="58954F24"/>
    <w:rsid w:val="58B465DF"/>
    <w:rsid w:val="5989E0C3"/>
    <w:rsid w:val="5999B4F3"/>
    <w:rsid w:val="5A5990BE"/>
    <w:rsid w:val="5AD57977"/>
    <w:rsid w:val="5B5356C1"/>
    <w:rsid w:val="5BF54EC6"/>
    <w:rsid w:val="5C08918B"/>
    <w:rsid w:val="5D180C91"/>
    <w:rsid w:val="5D9D8874"/>
    <w:rsid w:val="5DA461EC"/>
    <w:rsid w:val="5DA6F1A2"/>
    <w:rsid w:val="5E5D51E6"/>
    <w:rsid w:val="5E7A09AC"/>
    <w:rsid w:val="5EAB0C9F"/>
    <w:rsid w:val="5EC20E56"/>
    <w:rsid w:val="5F5DEA0C"/>
    <w:rsid w:val="5F66D996"/>
    <w:rsid w:val="60A0FB16"/>
    <w:rsid w:val="60FE8B79"/>
    <w:rsid w:val="60FF9FF8"/>
    <w:rsid w:val="6137CB18"/>
    <w:rsid w:val="621554D1"/>
    <w:rsid w:val="626FEE67"/>
    <w:rsid w:val="62855739"/>
    <w:rsid w:val="62A0AF44"/>
    <w:rsid w:val="631ED252"/>
    <w:rsid w:val="63A7627D"/>
    <w:rsid w:val="63DFCF21"/>
    <w:rsid w:val="64067FEF"/>
    <w:rsid w:val="647ABFF7"/>
    <w:rsid w:val="648A8CAD"/>
    <w:rsid w:val="648B6455"/>
    <w:rsid w:val="64A269AC"/>
    <w:rsid w:val="652DFAED"/>
    <w:rsid w:val="666863CB"/>
    <w:rsid w:val="66C95DBD"/>
    <w:rsid w:val="66CD7949"/>
    <w:rsid w:val="66CEAA6B"/>
    <w:rsid w:val="66CF9D97"/>
    <w:rsid w:val="673B7552"/>
    <w:rsid w:val="677849AD"/>
    <w:rsid w:val="681B7E79"/>
    <w:rsid w:val="6925D2E3"/>
    <w:rsid w:val="69BB15A6"/>
    <w:rsid w:val="69F4C623"/>
    <w:rsid w:val="6A073E59"/>
    <w:rsid w:val="6A117E56"/>
    <w:rsid w:val="6A2C8068"/>
    <w:rsid w:val="6A4DE533"/>
    <w:rsid w:val="6A5F9757"/>
    <w:rsid w:val="6A93C780"/>
    <w:rsid w:val="6A99B15E"/>
    <w:rsid w:val="6AC5C277"/>
    <w:rsid w:val="6BA30EBA"/>
    <w:rsid w:val="6C2CCA0D"/>
    <w:rsid w:val="6C6D9351"/>
    <w:rsid w:val="6CCF5322"/>
    <w:rsid w:val="6CDC67B2"/>
    <w:rsid w:val="6D332C4F"/>
    <w:rsid w:val="6D3D7539"/>
    <w:rsid w:val="6D5E0A53"/>
    <w:rsid w:val="6D894B0B"/>
    <w:rsid w:val="6DA08D6D"/>
    <w:rsid w:val="6E5F3E39"/>
    <w:rsid w:val="6E7375B0"/>
    <w:rsid w:val="6ED89C2E"/>
    <w:rsid w:val="6F406805"/>
    <w:rsid w:val="6F5573E8"/>
    <w:rsid w:val="70247122"/>
    <w:rsid w:val="70537978"/>
    <w:rsid w:val="70AFF210"/>
    <w:rsid w:val="710CE8E7"/>
    <w:rsid w:val="7113FFAB"/>
    <w:rsid w:val="71B0EB5C"/>
    <w:rsid w:val="71EBF0B9"/>
    <w:rsid w:val="71EF49D9"/>
    <w:rsid w:val="72102BF0"/>
    <w:rsid w:val="7230564F"/>
    <w:rsid w:val="74932D4B"/>
    <w:rsid w:val="74D5469B"/>
    <w:rsid w:val="757F8021"/>
    <w:rsid w:val="75E05A0A"/>
    <w:rsid w:val="75E52B7D"/>
    <w:rsid w:val="763ABB33"/>
    <w:rsid w:val="76655F38"/>
    <w:rsid w:val="76BA20CE"/>
    <w:rsid w:val="7763F4E8"/>
    <w:rsid w:val="78A09C07"/>
    <w:rsid w:val="7913BF1A"/>
    <w:rsid w:val="792E27FB"/>
    <w:rsid w:val="79390F40"/>
    <w:rsid w:val="793E5D75"/>
    <w:rsid w:val="7A04A060"/>
    <w:rsid w:val="7A2F9D11"/>
    <w:rsid w:val="7B474A38"/>
    <w:rsid w:val="7B4D6468"/>
    <w:rsid w:val="7B51F455"/>
    <w:rsid w:val="7BBFE0BE"/>
    <w:rsid w:val="7C4A6693"/>
    <w:rsid w:val="7CB73574"/>
    <w:rsid w:val="7CC53802"/>
    <w:rsid w:val="7D1B8FE9"/>
    <w:rsid w:val="7D1CF7DF"/>
    <w:rsid w:val="7D2A12E0"/>
    <w:rsid w:val="7D6A40A3"/>
    <w:rsid w:val="7DD71505"/>
    <w:rsid w:val="7DEE5980"/>
    <w:rsid w:val="7EB7604A"/>
    <w:rsid w:val="7EBC26A2"/>
    <w:rsid w:val="7ED59417"/>
    <w:rsid w:val="7F39DFAE"/>
    <w:rsid w:val="7F4408FF"/>
    <w:rsid w:val="7F471095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N20210219-1594514891-3192</_dlc_DocId>
    <_dlc_DocIdUrl xmlns="f6d82c61-1620-4961-a845-3717486f5cdd">
      <Url>https://navioteknoloji.sharepoint.com/teams/N20210219/_layouts/15/DocIdRedir.aspx?ID=N20210219-1594514891-3192</Url>
      <Description>N20210219-1594514891-3192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9F16C4F-6D3F-4551-8FE9-5A2181BA68FA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Ekrem Orhan DEMİRAY</lastModifiedBy>
  <revision>16</revision>
  <dcterms:created xsi:type="dcterms:W3CDTF">2021-11-26T14:18:00.0000000Z</dcterms:created>
  <dcterms:modified xsi:type="dcterms:W3CDTF">2023-01-17T09:18:08.5094627Z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c7375f19-690e-4ad8-9cc2-01753c65c079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