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2210C58C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 w:val="1"/>
                <w:bCs w:val="1"/>
              </w:rPr>
            </w:pPr>
            <w:r w:rsidRPr="2849E57D" w:rsidR="004D01C9">
              <w:rPr>
                <w:b w:val="1"/>
                <w:bCs w:val="1"/>
              </w:rPr>
              <w:t xml:space="preserve">VALIDATION </w:t>
            </w:r>
            <w:r w:rsidRPr="2849E57D" w:rsidR="00C55B44">
              <w:rPr>
                <w:b w:val="1"/>
                <w:bCs w:val="1"/>
              </w:rPr>
              <w:t>STATUS</w:t>
            </w:r>
          </w:p>
        </w:tc>
      </w:tr>
      <w:tr w:rsidRPr="004D3450" w:rsidR="004D01C9" w:rsidTr="2210C58C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73270D08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4D01C9">
                    <w:rPr/>
                    <w:t>Requirement</w:t>
                  </w:r>
                  <w:r w:rsidR="004D01C9">
                    <w:rPr/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73270D08" w:rsidRDefault="004D01C9" w14:paraId="1BABF3D9" w14:textId="28A5CFA4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noProof w:val="0"/>
                      <w:color w:val="auto"/>
                      <w:sz w:val="20"/>
                      <w:szCs w:val="20"/>
                      <w:lang w:val="tr-TR"/>
                    </w:rPr>
                  </w:pPr>
                  <w:r w:rsidR="7FDA0A6B">
                    <w:rPr/>
                    <w:t>NA0003011-DSS-00260</w:t>
                  </w:r>
                </w:p>
              </w:tc>
            </w:tr>
            <w:tr w:rsidR="00914FB6" w:rsidTr="73270D08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73270D08" w:rsidRDefault="00914FB6" w14:paraId="2BFCFFE6" w14:textId="77779658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lang w:val="tr-TR"/>
                    </w:rPr>
                  </w:pPr>
                  <w:r w:rsidRPr="73270D08" w:rsidR="5CCD91F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lang w:val="tr-TR"/>
                    </w:rPr>
                    <w:t>NEM42106-PIDS-089</w:t>
                  </w:r>
                </w:p>
              </w:tc>
            </w:tr>
            <w:tr w:rsidR="00914FB6" w:rsidTr="73270D08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 w:rsidRPr="2849E57D" w:rsidR="00694790">
                        <w:rPr>
                          <w:color w:val="808080" w:themeColor="background1" w:themeTint="FF" w:themeShade="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73270D08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Analayzed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4103BF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2849E57D" w:rsidR="2C4C6629">
                    <w:rPr>
                      <w:sz w:val="20"/>
                      <w:szCs w:val="20"/>
                    </w:rPr>
                    <w:t>Ekrem Orhan Demiray</w:t>
                  </w:r>
                </w:p>
              </w:tc>
            </w:tr>
            <w:tr w:rsidR="00914FB6" w:rsidTr="73270D08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Reviewed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73270D08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Approved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2210C58C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25B16">
              <w:rPr>
                <w:b w:val="1"/>
                <w:bCs w:val="1"/>
              </w:rPr>
              <w:t>ORIGINAL STATEMENT</w:t>
            </w:r>
          </w:p>
        </w:tc>
      </w:tr>
      <w:tr w:rsidRPr="004D3450" w:rsidR="00E25B16" w:rsidTr="2210C58C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2E9A4925" w14:paraId="6EB1A014" w14:textId="77777777">
              <w:tc>
                <w:tcPr>
                  <w:tcW w:w="8988" w:type="dxa"/>
                  <w:tcMar/>
                </w:tcPr>
                <w:p w:rsidR="00CB70A6" w:rsidP="73270D08" w:rsidRDefault="00CB70A6" w14:paraId="5BD0A75E" w14:textId="37755470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2E9A4925" w:rsidR="1D129F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Software shall assert the fire warning of Sensing Element 1 ,2, 5 and overheat warning of </w:t>
                  </w:r>
                  <w:r w:rsidRPr="2E9A4925" w:rsidR="1D129F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Sensing Element 1 ,2, </w:t>
                  </w:r>
                  <w:r w:rsidRPr="2E9A4925" w:rsidR="1D129F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3</w:t>
                  </w:r>
                  <w:r w:rsidRPr="2E9A4925" w:rsidR="1D129F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, </w:t>
                  </w:r>
                  <w:r w:rsidRPr="2E9A4925" w:rsidR="1D129F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4</w:t>
                  </w:r>
                  <w:r w:rsidRPr="2E9A4925" w:rsidR="1D129F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, 5, </w:t>
                  </w:r>
                  <w:r w:rsidRPr="2E9A4925" w:rsidR="1D129F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6</w:t>
                  </w:r>
                  <w:r w:rsidRPr="2E9A4925" w:rsidR="1D129F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 at the end of IBIT , </w:t>
                  </w:r>
                  <w:r w:rsidRPr="2E9A4925" w:rsidR="1D129F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where software is capable to detect the hazards</w:t>
                  </w:r>
                  <w:r w:rsidRPr="2E9A4925" w:rsidR="1D129F1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2210C58C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C00E11">
              <w:rPr>
                <w:b w:val="1"/>
                <w:bCs w:val="1"/>
              </w:rPr>
              <w:t>REQUIREMENT CLASSIFICATION</w:t>
            </w:r>
          </w:p>
        </w:tc>
      </w:tr>
      <w:tr w:rsidRPr="004D3450" w:rsidR="004D01C9" w:rsidTr="2210C58C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106766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 w:rsidR="626FEE67">
                    <w:rPr/>
                    <w:t xml:space="preserve">Is </w:t>
                  </w:r>
                  <w:r w:rsidR="626FEE67">
                    <w:rPr/>
                    <w:t>Requirement</w:t>
                  </w:r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 w:rsidR="00E25B16">
                    <w:rPr/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 w:rsidR="00E25B16">
                    <w:rPr/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 w:rsidR="00E25B16">
                    <w:rPr/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 w:rsidR="00E25B16">
                    <w:rPr/>
                    <w:t>ISSUE</w:t>
                  </w:r>
                </w:p>
              </w:tc>
            </w:tr>
            <w:tr w:rsidR="00E25B16" w:rsidTr="11067664" w14:paraId="61122600" w14:textId="77777777">
              <w:trPr>
                <w:trHeight w:val="555"/>
              </w:trPr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56BB0604">
                  <w:pPr>
                    <w:spacing w:before="120"/>
                    <w:jc w:val="center"/>
                  </w:pPr>
                  <w:sdt>
                    <w:sdtPr>
                      <w:id w:val="353420342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1067664" w:rsidR="7C4A669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232B0DF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 w:rsidR="133542B9">
                        <w:rPr/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 w:rsidRPr="2849E57D" w:rsidR="11D09FE5">
                        <w:rPr>
                          <w:rFonts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2210C58C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087DFA">
              <w:rPr>
                <w:b w:val="1"/>
                <w:bCs w:val="1"/>
              </w:rPr>
              <w:t>RATIONALE</w:t>
            </w:r>
          </w:p>
        </w:tc>
      </w:tr>
      <w:tr w:rsidRPr="004D3450" w:rsidR="00087DFA" w:rsidTr="2210C58C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5E1597E7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2E9A4925" w:rsidRDefault="00087DFA" w14:paraId="0A1F2E15" w14:textId="6C9F0278">
                  <w:pPr>
                    <w:pStyle w:val="Normal"/>
                    <w:tabs>
                      <w:tab w:val="left" w:leader="none" w:pos="425"/>
                    </w:tabs>
                    <w:bidi w:val="0"/>
                    <w:spacing w:before="120" w:beforeAutospacing="off" w:after="120" w:afterAutospacing="off" w:line="360" w:lineRule="auto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 w:rsidRPr="5E1597E7" w:rsidR="526BBCD1">
                    <w:rPr>
                      <w:sz w:val="20"/>
                      <w:szCs w:val="20"/>
                    </w:rPr>
                    <w:t>AS9100, MIL-HDBK-221, AS8036A, STANAG 4370 ve JSSG2009A1 standartlarına göre, FDU kendi sağlık durumunu test ettikten sonra ilgili discrete output hatlarını aktif ederek görsel belirteçlerin çalıştığını göstermelidir. Görsel belirteçler aktif olmadığı zaman, görsel belirte</w:t>
                  </w:r>
                  <w:r w:rsidRPr="5E1597E7" w:rsidR="5B177E0F">
                    <w:rPr>
                      <w:sz w:val="20"/>
                      <w:szCs w:val="20"/>
                    </w:rPr>
                    <w:t>ç</w:t>
                  </w:r>
                  <w:r w:rsidRPr="5E1597E7" w:rsidR="526BBCD1">
                    <w:rPr>
                      <w:sz w:val="20"/>
                      <w:szCs w:val="20"/>
                    </w:rPr>
                    <w:t>in bozuk olduğu ya</w:t>
                  </w:r>
                  <w:r w:rsidRPr="5E1597E7" w:rsidR="31B81F5B">
                    <w:rPr>
                      <w:sz w:val="20"/>
                      <w:szCs w:val="20"/>
                    </w:rPr>
                    <w:t xml:space="preserve"> </w:t>
                  </w:r>
                  <w:r w:rsidRPr="5E1597E7" w:rsidR="526BBCD1">
                    <w:rPr>
                      <w:sz w:val="20"/>
                      <w:szCs w:val="20"/>
                    </w:rPr>
                    <w:t xml:space="preserve">da FDU yangın/yüksek sıcaklık algılama fonksiyonlarında ya da uyarı bildirim arayüzünde hata olduğu anlamına gelebilir. </w:t>
                  </w:r>
                </w:p>
                <w:p w:rsidR="00087DFA" w:rsidP="73270D08" w:rsidRDefault="00087DFA" w14:paraId="42CE84F7" w14:textId="74258B59">
                  <w:pPr>
                    <w:pStyle w:val="Normal"/>
                    <w:tabs>
                      <w:tab w:val="left" w:leader="none" w:pos="425"/>
                    </w:tabs>
                    <w:bidi w:val="0"/>
                    <w:spacing w:before="120" w:beforeAutospacing="off" w:after="120" w:afterAutospacing="off" w:line="360" w:lineRule="auto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 w:rsidRPr="5A80FAB5" w:rsidR="6E902D7D">
                    <w:rPr>
                      <w:sz w:val="20"/>
                      <w:szCs w:val="20"/>
                    </w:rPr>
                    <w:t xml:space="preserve">Bu gereksinim </w:t>
                  </w:r>
                  <w:r w:rsidRPr="5A80FAB5" w:rsidR="0067B1AA">
                    <w:rPr>
                      <w:sz w:val="20"/>
                      <w:szCs w:val="20"/>
                    </w:rPr>
                    <w:t>ile</w:t>
                  </w:r>
                  <w:r w:rsidRPr="5A80FAB5" w:rsidR="6E902D7D">
                    <w:rPr>
                      <w:sz w:val="20"/>
                      <w:szCs w:val="20"/>
                    </w:rPr>
                    <w:t xml:space="preserve">; </w:t>
                  </w:r>
                  <w:r w:rsidRPr="5A80FAB5" w:rsidR="753883A7">
                    <w:rPr>
                      <w:sz w:val="20"/>
                      <w:szCs w:val="20"/>
                    </w:rPr>
                    <w:t>IBIT</w:t>
                  </w:r>
                  <w:r w:rsidRPr="5A80FAB5" w:rsidR="2F11C1A6">
                    <w:rPr>
                      <w:sz w:val="20"/>
                      <w:szCs w:val="20"/>
                    </w:rPr>
                    <w:t xml:space="preserve"> testinde</w:t>
                  </w:r>
                  <w:r w:rsidRPr="5A80FAB5" w:rsidR="2F11C1A6">
                    <w:rPr>
                      <w:sz w:val="20"/>
                      <w:szCs w:val="20"/>
                    </w:rPr>
                    <w:t xml:space="preserve">  </w:t>
                  </w:r>
                  <w:r w:rsidRPr="5A80FAB5" w:rsidR="2F11C1A6">
                    <w:rPr>
                      <w:sz w:val="20"/>
                      <w:szCs w:val="20"/>
                    </w:rPr>
                    <w:t xml:space="preserve">FDU </w:t>
                  </w:r>
                  <w:r w:rsidRPr="5A80FAB5" w:rsidR="7AE316A4">
                    <w:rPr>
                      <w:sz w:val="20"/>
                      <w:szCs w:val="20"/>
                    </w:rPr>
                    <w:t xml:space="preserve">yangın/yüksek sıcaklık algılama </w:t>
                  </w:r>
                  <w:r w:rsidRPr="5A80FAB5" w:rsidR="043CC6AA">
                    <w:rPr>
                      <w:sz w:val="20"/>
                      <w:szCs w:val="20"/>
                    </w:rPr>
                    <w:t xml:space="preserve">fonksiyonlarının </w:t>
                  </w:r>
                  <w:r w:rsidRPr="5A80FAB5" w:rsidR="2F11C1A6">
                    <w:rPr>
                      <w:sz w:val="20"/>
                      <w:szCs w:val="20"/>
                    </w:rPr>
                    <w:t>sağlık</w:t>
                  </w:r>
                  <w:r w:rsidRPr="5A80FAB5" w:rsidR="3AC3EBED">
                    <w:rPr>
                      <w:sz w:val="20"/>
                      <w:szCs w:val="20"/>
                    </w:rPr>
                    <w:t>lı çalışabilirlik</w:t>
                  </w:r>
                  <w:r w:rsidRPr="5A80FAB5" w:rsidR="2F11C1A6">
                    <w:rPr>
                      <w:sz w:val="20"/>
                      <w:szCs w:val="20"/>
                    </w:rPr>
                    <w:t xml:space="preserve"> durumu</w:t>
                  </w:r>
                  <w:r w:rsidRPr="5A80FAB5" w:rsidR="630188A8">
                    <w:rPr>
                      <w:sz w:val="20"/>
                      <w:szCs w:val="20"/>
                    </w:rPr>
                    <w:t>nun</w:t>
                  </w:r>
                  <w:r w:rsidRPr="5A80FAB5" w:rsidR="44985CB2">
                    <w:rPr>
                      <w:sz w:val="20"/>
                      <w:szCs w:val="20"/>
                    </w:rPr>
                    <w:t xml:space="preserve"> </w:t>
                  </w:r>
                  <w:r w:rsidRPr="5A80FAB5" w:rsidR="55DAD4D8">
                    <w:rPr>
                      <w:sz w:val="20"/>
                      <w:szCs w:val="20"/>
                    </w:rPr>
                    <w:t>anlaşılması</w:t>
                  </w:r>
                  <w:r w:rsidRPr="5A80FAB5" w:rsidR="13A7F988">
                    <w:rPr>
                      <w:sz w:val="20"/>
                      <w:szCs w:val="20"/>
                    </w:rPr>
                    <w:t xml:space="preserve"> amaçlanmaktadır</w:t>
                  </w:r>
                  <w:r w:rsidRPr="5A80FAB5" w:rsidR="2F11C1A6">
                    <w:rPr>
                      <w:sz w:val="20"/>
                      <w:szCs w:val="20"/>
                    </w:rPr>
                    <w:t>.</w:t>
                  </w:r>
                  <w:r w:rsidRPr="5A80FAB5" w:rsidR="2F11C1A6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2210C58C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087DFA">
              <w:rPr>
                <w:b w:val="1"/>
                <w:bCs w:val="1"/>
              </w:rPr>
              <w:t>REQUIREMENT ANALYSIS</w:t>
            </w:r>
          </w:p>
        </w:tc>
      </w:tr>
      <w:tr w:rsidRPr="004D3450" w:rsidR="004D01C9" w:rsidTr="2210C58C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2849E57D" w:rsidR="00206B0D">
              <w:rPr>
                <w:b w:val="1"/>
                <w:bCs w:val="1"/>
              </w:rPr>
              <w:t>QUALITY ATTRIBUTES</w:t>
            </w:r>
          </w:p>
        </w:tc>
      </w:tr>
      <w:tr w:rsidRPr="004D3450" w:rsidR="00087DFA" w:rsidTr="2210C58C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4394E915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77777777">
                  <w:r w:rsidR="6ED89C2E">
                    <w:rPr/>
                    <w:t>CORRECTNESS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01669455" w14:textId="69E16A58">
                  <w:sdt>
                    <w:sdtPr>
                      <w:id w:val="1552988506"/>
                      <w:alias w:val="CORRECTNESS"/>
                      <w:tag w:val="CORRECT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4394E915" w:rsidR="5385921C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44AA5A7E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77777777">
                  <w:r w:rsidR="6ED89C2E">
                    <w:rPr/>
                    <w:t>CLARITY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0E7B492B" w14:textId="5FF8FAAE">
                  <w:sdt>
                    <w:sdtPr>
                      <w:id w:val="595978297"/>
                      <w:alias w:val="CLARITY"/>
                      <w:tag w:val="CLARITY"/>
                      <w:placeholder>
                        <w:docPart w:val="DefaultPlaceholder_1081868574"/>
                      </w:placeholder>
                    </w:sdtPr>
                    <w:sdtContent>
                      <w:r w:rsidRPr="11067664" w:rsidR="7C4A669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542088D6">
                    <w:rPr/>
                    <w:t>+</w:t>
                  </w:r>
                </w:p>
              </w:tc>
            </w:tr>
            <w:tr w:rsidR="002F7722" w:rsidTr="4394E915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7777777">
                  <w:r w:rsidR="6ED89C2E">
                    <w:rPr/>
                    <w:t>COMPLETENESS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32DA03D3" w14:textId="78E249C5">
                  <w:sdt>
                    <w:sdtPr>
                      <w:id w:val="990536772"/>
                      <w:alias w:val="COMPLETENESS"/>
                      <w:tag w:val="COMPLETE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E7C8E57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77777777">
                  <w:r w:rsidR="6CDC67B2">
                    <w:rPr/>
                    <w:t>SINGULARITY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7792D561" w14:textId="4771C38D">
                  <w:sdt>
                    <w:sdtPr>
                      <w:id w:val="1961108043"/>
                      <w:alias w:val="SINGULARITY"/>
                      <w:tag w:val="SINGULARIT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63F0760">
                    <w:rPr/>
                    <w:t>+</w:t>
                  </w:r>
                </w:p>
              </w:tc>
            </w:tr>
            <w:tr w:rsidR="002F7722" w:rsidTr="4394E915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77777777">
                  <w:r w:rsidR="6ED89C2E">
                    <w:rPr/>
                    <w:t>VERIFIABLE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564179B3" w14:textId="05B354AF">
                  <w:sdt>
                    <w:sdtPr>
                      <w:id w:val="154612101"/>
                      <w:alias w:val="VERIFIABLE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D894B0B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777777">
                  <w:r w:rsidR="6CDC67B2">
                    <w:rPr/>
                    <w:t>UNAMBIGUOS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52CE4FF7" w14:textId="3A1190E5">
                  <w:sdt>
                    <w:sdtPr>
                      <w:id w:val="1812571622"/>
                      <w:alias w:val="UNAMBIGUOUS"/>
                      <w:tag w:val="UNAMBIGUOUS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46801B1">
                    <w:rPr/>
                    <w:t>+</w:t>
                  </w:r>
                </w:p>
              </w:tc>
            </w:tr>
            <w:tr w:rsidR="002F7722" w:rsidTr="4394E915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77777777">
                  <w:r w:rsidR="6ED89C2E">
                    <w:rPr/>
                    <w:t>FEASIBILITY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4090D15E" w14:textId="31E25386">
                  <w:sdt>
                    <w:sdtPr>
                      <w:id w:val="1688125015"/>
                      <w:alias w:val="FEASIBILITY"/>
                      <w:tag w:val="FEASIBILIT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046910CE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7777777">
                  <w:r w:rsidR="6CDC67B2">
                    <w:rPr/>
                    <w:t>CONSISTANCY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470492C2" w14:textId="5B38279B">
                  <w:sdt>
                    <w:sdtPr>
                      <w:id w:val="1938834125"/>
                      <w:alias w:val="CONSISTANCY"/>
                      <w:tag w:val="CONSISTANC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A99B15E">
                    <w:rPr/>
                    <w:t>+</w:t>
                  </w:r>
                </w:p>
              </w:tc>
            </w:tr>
          </w:tbl>
          <w:p w:rsidRPr="0085476D" w:rsidR="00087DFA" w:rsidP="00212B47" w:rsidRDefault="00087DFA" w14:paraId="44C77B8F" w14:textId="77777777"/>
        </w:tc>
      </w:tr>
      <w:tr w:rsidRPr="004D3450" w:rsidR="00087DFA" w:rsidTr="2210C58C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2849E57D" w:rsidR="00002B8D">
              <w:rPr>
                <w:b w:val="1"/>
                <w:bCs w:val="1"/>
              </w:rPr>
              <w:t>S</w:t>
            </w:r>
            <w:r w:rsidRPr="2849E57D" w:rsidR="00013CA0">
              <w:rPr>
                <w:b w:val="1"/>
                <w:bCs w:val="1"/>
              </w:rPr>
              <w:t>E</w:t>
            </w:r>
            <w:r w:rsidRPr="2849E57D" w:rsidR="00002B8D">
              <w:rPr>
                <w:b w:val="1"/>
                <w:bCs w:val="1"/>
              </w:rPr>
              <w:t>MANTIC CONTROL</w:t>
            </w:r>
            <w:r w:rsidRPr="2849E57D" w:rsidR="00CA3AFD">
              <w:rPr>
                <w:b w:val="1"/>
                <w:bCs w:val="1"/>
              </w:rPr>
              <w:t xml:space="preserve"> (</w:t>
            </w:r>
            <w:r w:rsidRPr="2849E57D" w:rsidR="004600E4">
              <w:rPr>
                <w:b w:val="1"/>
                <w:bCs w:val="1"/>
              </w:rPr>
              <w:t>PRE</w:t>
            </w:r>
            <w:r w:rsidRPr="2849E57D" w:rsidR="004E64BD">
              <w:rPr>
                <w:b w:val="1"/>
                <w:bCs w:val="1"/>
              </w:rPr>
              <w:t>FERABLY</w:t>
            </w:r>
            <w:r w:rsidRPr="2849E57D" w:rsidR="00CA3AFD">
              <w:rPr>
                <w:b w:val="1"/>
                <w:bCs w:val="1"/>
              </w:rPr>
              <w:t>)</w:t>
            </w:r>
          </w:p>
        </w:tc>
      </w:tr>
      <w:tr w:rsidRPr="004D3450" w:rsidR="00087DFA" w:rsidTr="2210C58C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73270D08" w14:paraId="19E91452" w14:textId="77777777">
              <w:trPr>
                <w:trHeight w:val="300"/>
              </w:trPr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 w:rsidR="6925D2E3">
                    <w:rPr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73270D08" w:rsidRDefault="000E4C7A" w14:paraId="274EED0F" w14:textId="13EE65BD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73270D08" w:rsidR="5F1A911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</w:t>
                  </w:r>
                </w:p>
              </w:tc>
            </w:tr>
            <w:tr w:rsidR="000E4C7A" w:rsidTr="73270D08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 w:rsidR="6925D2E3">
                    <w:rPr/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73270D08" w:rsidRDefault="000E4C7A" w14:paraId="013E36B7" w14:textId="35B485CE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73270D08" w:rsidR="269ED3F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 assert</w:t>
                  </w:r>
                </w:p>
              </w:tc>
            </w:tr>
            <w:tr w:rsidR="000E4C7A" w:rsidTr="73270D08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 w:rsidR="6925D2E3">
                    <w:rPr/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73270D08" w:rsidRDefault="000E4C7A" w14:paraId="73B15C66" w14:textId="311AE5E0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73270D08" w:rsidR="0C954B4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fire warning of Sensing Element 1 ,2, 5 and overheat warning of Sensing Element 1 ,2, 3, 4, 5, 6</w:t>
                  </w:r>
                </w:p>
              </w:tc>
            </w:tr>
            <w:tr w:rsidR="000E4C7A" w:rsidTr="73270D08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 w:rsidR="6925D2E3">
                    <w:rPr/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555674AC" w14:textId="7D32C873">
                  <w:pPr>
                    <w:pStyle w:val="Normal"/>
                  </w:pPr>
                </w:p>
              </w:tc>
            </w:tr>
            <w:tr w:rsidR="000E4C7A" w:rsidTr="73270D08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 w:rsidR="6925D2E3">
                    <w:rPr/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73270D08" w:rsidRDefault="000E4C7A" w14:paraId="72FBBDC9" w14:textId="0D03076E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73270D08" w:rsidR="3A13ACF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at the end of IBIT , where software is capable to detect the hazards.</w:t>
                  </w:r>
                </w:p>
              </w:tc>
            </w:tr>
            <w:tr w:rsidR="000E4C7A" w:rsidTr="73270D08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 w:rsidR="6925D2E3">
                    <w:rPr/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849E57D" w:rsidRDefault="000E4C7A" w14:paraId="03E508C2" w14:textId="0BA7311F">
                  <w:pPr>
                    <w:pStyle w:val="Normal"/>
                  </w:pPr>
                </w:p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2210C58C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736B2">
              <w:rPr>
                <w:b w:val="1"/>
                <w:bCs w:val="1"/>
              </w:rPr>
              <w:t>VERIFICATION REQUIREMENT</w:t>
            </w:r>
          </w:p>
        </w:tc>
      </w:tr>
      <w:tr w:rsidRPr="004D3450" w:rsidR="006F12B7" w:rsidTr="2210C58C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5A80FAB5" w14:paraId="5774E51F" w14:textId="77777777">
              <w:trPr>
                <w:trHeight w:val="300"/>
              </w:trPr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 w:rsidRPr="2849E57D" w:rsidR="00E71EA2"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73270D08" w:rsidRDefault="00E71EA2" w14:paraId="3B31A6FB" w14:textId="30790634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both"/>
                    <w:rPr/>
                  </w:pPr>
                  <w:r w:rsidR="76BC6102">
                    <w:rPr/>
                    <w:t>MOC4,</w:t>
                  </w:r>
                </w:p>
                <w:p w:rsidR="006F12B7" w:rsidP="73270D08" w:rsidRDefault="00E71EA2" w14:paraId="36F87FF4" w14:textId="42FF2066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both"/>
                    <w:rPr/>
                  </w:pPr>
                  <w:r w:rsidR="0FF9F17D">
                    <w:rPr/>
                    <w:t>FDU üzerinde tüm Sensing Elementler bağlıyken ve Operasyonel modda iken IBIT başlatılır. Discrete yangın çıkışlarının aktif olduğu ve ARINC429 mesajlarının doğru olduğu doğrulanır.</w:t>
                  </w:r>
                </w:p>
                <w:p w:rsidR="006F12B7" w:rsidP="5A80FAB5" w:rsidRDefault="00E71EA2" w14:paraId="416CC20C" w14:textId="7C62D8F2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both"/>
                    <w:rPr/>
                  </w:pPr>
                  <w:r w:rsidR="0FF9F17D">
                    <w:rPr/>
                    <w:t>Aşağıdaki test herbir Sensing Element için tekrarlanır.</w:t>
                  </w:r>
                </w:p>
                <w:p w:rsidR="006F12B7" w:rsidP="5A80FAB5" w:rsidRDefault="00E71EA2" w14:paraId="6A764D00" w14:textId="49A72215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both"/>
                  </w:pPr>
                  <w:r w:rsidR="0FF9F17D">
                    <w:rPr/>
                    <w:t xml:space="preserve">FDU, Sensing Element bağlantısı çıkarılır. IBIT tuşuna basılır. </w:t>
                  </w:r>
                  <w:r w:rsidR="0FF9F17D">
                    <w:rPr/>
                    <w:t>Sensing Element ile ilgili hatanın ARINC429 ile gönderildiği teyit edilir. Sensing Element yangın uyarısı verecek özellikte tanımlandıysa, ilgili yangın discrete hattının aktif edilmediği doğrulanır.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2210C58C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334478">
              <w:rPr>
                <w:b w:val="1"/>
                <w:bCs w:val="1"/>
              </w:rPr>
              <w:t>ANALYSIS</w:t>
            </w:r>
          </w:p>
        </w:tc>
      </w:tr>
      <w:tr w:rsidRPr="004D3450" w:rsidR="00334478" w:rsidTr="2210C58C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4394E915" w14:paraId="4F0474EE" w14:textId="77777777">
              <w:trPr>
                <w:trHeight w:val="2580"/>
              </w:trPr>
              <w:tc>
                <w:tcPr>
                  <w:tcW w:w="8988" w:type="dxa"/>
                  <w:tcMar/>
                </w:tcPr>
                <w:p w:rsidR="00334478" w:rsidP="17CAF3C4" w:rsidRDefault="00334478" w14:paraId="05F2CF39" w14:textId="1ABF3D63">
                  <w:pPr>
                    <w:pStyle w:val="Normal"/>
                  </w:pPr>
                  <w:r w:rsidR="2DABDC38">
                    <w:rPr/>
                    <w:t>IBIT</w:t>
                  </w:r>
                  <w:r w:rsidR="5315CABA">
                    <w:rPr/>
                    <w:t xml:space="preserve"> fonksiyonunda</w:t>
                  </w:r>
                  <w:r w:rsidR="2DABDC38">
                    <w:rPr/>
                    <w:t xml:space="preserve"> kullanıla</w:t>
                  </w:r>
                  <w:r w:rsidR="51B3696C">
                    <w:rPr/>
                    <w:t>cak olan</w:t>
                  </w:r>
                  <w:r w:rsidR="2DABDC38">
                    <w:rPr/>
                    <w:t xml:space="preserve"> </w:t>
                  </w:r>
                  <w:r w:rsidR="272C78FE">
                    <w:rPr/>
                    <w:t xml:space="preserve">Sensing Element 1 ,2, 5  </w:t>
                  </w:r>
                  <w:r w:rsidR="2DABDC38">
                    <w:rPr/>
                    <w:t xml:space="preserve">hata </w:t>
                  </w:r>
                  <w:r w:rsidR="1506EC96">
                    <w:rPr/>
                    <w:t>bayrakları</w:t>
                  </w:r>
                  <w:r w:rsidR="2DABDC38">
                    <w:rPr/>
                    <w:t xml:space="preserve">, </w:t>
                  </w:r>
                  <w:r w:rsidR="43BE1FE9">
                    <w:rPr/>
                    <w:t xml:space="preserve">yangın sinyali vermek </w:t>
                  </w:r>
                  <w:r w:rsidR="2DABDC38">
                    <w:rPr/>
                    <w:t xml:space="preserve">için kullanılacak </w:t>
                  </w:r>
                  <w:r w:rsidR="38164D50">
                    <w:rPr/>
                    <w:t xml:space="preserve">kod bloğuna </w:t>
                  </w:r>
                  <w:r w:rsidR="2DABDC38">
                    <w:rPr/>
                    <w:t>koşul ol</w:t>
                  </w:r>
                  <w:r w:rsidR="7D0CF80F">
                    <w:rPr/>
                    <w:t>abilir</w:t>
                  </w:r>
                  <w:r w:rsidR="2DABDC38">
                    <w:rPr/>
                    <w:t xml:space="preserve">. </w:t>
                  </w:r>
                  <w:r w:rsidR="164F915B">
                    <w:rPr/>
                    <w:t>Hatalı olan Sensing Element yangın sinyalleri gönderilmeyebilir. H</w:t>
                  </w:r>
                  <w:r w:rsidR="2DABDC38">
                    <w:rPr/>
                    <w:t>ata bayra</w:t>
                  </w:r>
                  <w:r w:rsidR="35C74416">
                    <w:rPr/>
                    <w:t xml:space="preserve">kları </w:t>
                  </w:r>
                  <w:r w:rsidR="60BA8EA9">
                    <w:rPr/>
                    <w:t xml:space="preserve">pasif </w:t>
                  </w:r>
                  <w:r w:rsidR="2DABDC38">
                    <w:rPr/>
                    <w:t>ol</w:t>
                  </w:r>
                  <w:r w:rsidR="1558F2FF">
                    <w:rPr/>
                    <w:t>duğu</w:t>
                  </w:r>
                  <w:r w:rsidR="2DABDC38">
                    <w:rPr/>
                    <w:t xml:space="preserve"> takdirde, </w:t>
                  </w:r>
                  <w:r w:rsidR="58832B51">
                    <w:rPr/>
                    <w:t>Sensing Element 1 ,2,</w:t>
                  </w:r>
                  <w:r w:rsidR="05322431">
                    <w:rPr/>
                    <w:t xml:space="preserve"> ve </w:t>
                  </w:r>
                  <w:r w:rsidR="58832B51">
                    <w:rPr/>
                    <w:t xml:space="preserve">5 ‘ e bağlı olan </w:t>
                  </w:r>
                  <w:r w:rsidR="06BFA0CE">
                    <w:rPr/>
                    <w:t xml:space="preserve">ilgili </w:t>
                  </w:r>
                  <w:r w:rsidR="6F1C4D39">
                    <w:rPr/>
                    <w:t>yangın sinyali verile</w:t>
                  </w:r>
                  <w:r w:rsidR="2FE23050">
                    <w:rPr/>
                    <w:t xml:space="preserve">bilecek </w:t>
                  </w:r>
                  <w:r w:rsidR="6F1C4D39">
                    <w:rPr/>
                    <w:t xml:space="preserve">ve </w:t>
                  </w:r>
                  <w:r w:rsidR="5A126809">
                    <w:rPr/>
                    <w:t>uyarı sağlanmış olacaktır.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2210C58C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27154">
              <w:rPr>
                <w:b w:val="1"/>
                <w:bCs w:val="1"/>
              </w:rPr>
              <w:t>PROPOSED STATEMENT</w:t>
            </w:r>
          </w:p>
        </w:tc>
      </w:tr>
      <w:tr w:rsidRPr="004D3450" w:rsidR="00E27154" w:rsidTr="2210C58C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2210C58C" w14:paraId="4E02DD80" w14:textId="77777777">
              <w:tc>
                <w:tcPr>
                  <w:tcW w:w="8988" w:type="dxa"/>
                  <w:tcMar/>
                </w:tcPr>
                <w:p w:rsidR="00E27154" w:rsidP="73270D08" w:rsidRDefault="00E71EA2" w14:paraId="36C8BCE1" w14:textId="28AF72AB">
                  <w:pPr>
                    <w:pStyle w:val="Normal"/>
                  </w:pPr>
                  <w:r w:rsidR="1E0BC016">
                    <w:rPr/>
                    <w:t>Software shall assert the fire warning of Sensing Element 1 ,2, 5 </w:t>
                  </w:r>
                  <w:r w:rsidR="273305D8">
                    <w:rPr/>
                    <w:t xml:space="preserve"> </w:t>
                  </w:r>
                  <w:r w:rsidR="1E0BC016">
                    <w:rPr/>
                    <w:t xml:space="preserve">at the end of IBIT , </w:t>
                  </w:r>
                  <w:r w:rsidRPr="2210C58C" w:rsidR="1E0BC016">
                    <w:rPr>
                      <w:highlight w:val="yellow"/>
                    </w:rPr>
                    <w:t xml:space="preserve">where </w:t>
                  </w:r>
                  <w:r w:rsidRPr="2210C58C" w:rsidR="77A4BF52">
                    <w:rPr>
                      <w:highlight w:val="yellow"/>
                    </w:rPr>
                    <w:t>Sensing Element or its corresponding conditioning circuits NOT failed.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2210C58C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266DEC">
              <w:rPr>
                <w:b w:val="1"/>
                <w:bCs w:val="1"/>
              </w:rPr>
              <w:t>REFERENCES</w:t>
            </w:r>
          </w:p>
        </w:tc>
      </w:tr>
    </w:tbl>
    <w:p w:rsidR="3D22B3CA" w:rsidP="2E9A4925" w:rsidRDefault="3D22B3CA" w14:paraId="59C4FF62" w14:textId="4BE446AB">
      <w:pPr>
        <w:pStyle w:val="Balk11"/>
        <w:spacing w:before="120" w:after="160" w:line="240" w:lineRule="auto"/>
        <w:outlineLv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</w:pPr>
      <w:r w:rsidRPr="2E9A4925" w:rsidR="3D22B3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  <w:t>AS9100- Issued1999-11Revised2016-09</w:t>
      </w:r>
    </w:p>
    <w:p w:rsidR="51C7C35A" w:rsidP="2E9A4925" w:rsidRDefault="51C7C35A" w14:paraId="60BB90AC" w14:textId="551DDCD4">
      <w:pPr>
        <w:pStyle w:val="Balk11"/>
        <w:spacing w:before="120" w:after="160" w:line="240" w:lineRule="auto"/>
        <w:outlineLv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</w:pPr>
      <w:r w:rsidRPr="2E9A4925" w:rsidR="51C7C3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  <w:t>JSSG2009A1</w:t>
      </w:r>
    </w:p>
    <w:p w:rsidR="23004316" w:rsidP="2E9A4925" w:rsidRDefault="23004316" w14:paraId="0870B86C" w14:textId="2A256393">
      <w:pPr>
        <w:pStyle w:val="Balk11"/>
        <w:spacing w:before="120" w:after="160" w:line="240" w:lineRule="auto"/>
        <w:outlineLv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</w:pPr>
      <w:r w:rsidRPr="2E9A4925" w:rsidR="230043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  <w:t>MIL-HDBK-221</w:t>
      </w:r>
    </w:p>
    <w:p w:rsidR="5ABCABFA" w:rsidP="2E9A4925" w:rsidRDefault="5ABCABFA" w14:paraId="242F7AF1" w14:textId="7469A0B6">
      <w:pPr>
        <w:pStyle w:val="Balk11"/>
        <w:spacing w:before="120" w:after="160" w:line="240" w:lineRule="auto"/>
        <w:outlineLv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</w:pPr>
      <w:r w:rsidRPr="2E9A4925" w:rsidR="5ABCAB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  <w:t>STANAG 4370</w:t>
      </w:r>
    </w:p>
    <w:p w:rsidR="73270D08" w:rsidP="73270D08" w:rsidRDefault="73270D08" w14:paraId="4AB00D09" w14:textId="6EF1545E">
      <w:pPr>
        <w:pStyle w:val="Balk11"/>
        <w:numPr>
          <w:numId w:val="0"/>
        </w:numPr>
        <w:spacing w:before="120" w:after="160" w:line="240" w:lineRule="auto"/>
        <w:ind w:left="0"/>
        <w:outlineLvl w:val="0"/>
        <w:rPr>
          <w:noProof/>
          <w:lang w:val="tr-TR"/>
        </w:rPr>
      </w:pPr>
    </w:p>
    <w:p w:rsidRPr="004D3450" w:rsidR="00F425A7" w:rsidP="2E9A4925" w:rsidRDefault="00F425A7" w14:paraId="58C9A9D3" w14:textId="5A0BFE2B">
      <w:pPr>
        <w:pStyle w:val="Normal"/>
        <w:spacing w:before="120" w:after="160" w:line="240" w:lineRule="auto"/>
        <w:ind w:left="0"/>
        <w:outlineLvl w:val="0"/>
        <w:rPr>
          <w:sz w:val="20"/>
          <w:szCs w:val="20"/>
        </w:rPr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6A0A596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259D6E9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287FFD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2849E57D">
      <w:rPr>
        <w:u w:val="single"/>
      </w:rPr>
      <w:t>HİZMETE ÖZEL</w:t>
    </w:r>
    <w:r w:rsidR="2849E57D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D5C109B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2849E57D" w:rsidRDefault="00CB1BFA" w14:paraId="6448FE87" w14:textId="4187B07B">
    <w:pPr>
      <w:pStyle w:val="stBilgi"/>
      <w:spacing w:after="0" w:line="240" w:lineRule="auto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8869417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FE27C87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C4DE733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2849E57D" w14:paraId="20D16CC4" w14:textId="77777777">
      <w:tc>
        <w:tcPr>
          <w:tcW w:w="2245" w:type="dxa"/>
          <w:tcMar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  <w:tcMar/>
        </w:tcPr>
        <w:p w:rsidRPr="002B6D3E" w:rsidR="00EA5E18" w:rsidP="2849E57D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  <w:tcMar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Project No</w:t>
          </w:r>
          <w:r>
            <w:tab/>
          </w:r>
          <w:r w:rsidR="2849E57D">
            <w:rPr/>
            <w:t>: N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Document No</w:t>
          </w:r>
          <w:r>
            <w:tab/>
          </w:r>
          <w:r w:rsidR="2849E57D">
            <w:rPr/>
            <w:t xml:space="preserve">: </w:t>
          </w:r>
          <w:r w:rsidR="2849E57D">
            <w:rPr/>
            <w:t>NAVIO</w:t>
          </w:r>
          <w:r w:rsidR="2849E57D">
            <w:rPr/>
            <w:t>-</w:t>
          </w:r>
          <w:r w:rsidR="2849E57D">
            <w:rPr/>
            <w:t>R-</w:t>
          </w:r>
          <w:r w:rsidR="2849E57D">
            <w:rPr/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Revision</w:t>
          </w:r>
          <w:r>
            <w:tab/>
          </w:r>
          <w:r w:rsidR="2849E57D">
            <w:rPr/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Release Date</w:t>
          </w:r>
          <w:r>
            <w:tab/>
          </w:r>
          <w:r w:rsidR="2849E57D">
            <w:rPr/>
            <w:t xml:space="preserve">: 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09</w:t>
          </w:r>
          <w:r w:rsidR="2849E57D">
            <w:rPr/>
            <w:t>-</w:t>
          </w:r>
          <w:r w:rsidR="2849E57D">
            <w:rPr/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FD7E5D1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1d7ef6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f3489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e924f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e10a1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74986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>
      <w:start w:val="1"/>
      <w:numFmt w:val="decimal"/>
      <w:lvlText w:val="(%1)"/>
      <w:lvlJc w:val="left"/>
      <w:pPr>
        <w:ind w:left="1080" w:hanging="72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10"/>
  </w:num>
  <w:num w:numId="29">
    <w:abstractNumId w:val="9"/>
  </w: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D9B5E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5A7CE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ED7DF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7B1AA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E38C7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EFB7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182A40"/>
    <w:rsid w:val="017E4DC4"/>
    <w:rsid w:val="01D7BC4C"/>
    <w:rsid w:val="02D1B6DB"/>
    <w:rsid w:val="02E33BF0"/>
    <w:rsid w:val="0380E842"/>
    <w:rsid w:val="043CC6AA"/>
    <w:rsid w:val="046806C4"/>
    <w:rsid w:val="0468F864"/>
    <w:rsid w:val="046910CE"/>
    <w:rsid w:val="0472FD3C"/>
    <w:rsid w:val="05227321"/>
    <w:rsid w:val="052B9CBF"/>
    <w:rsid w:val="05322431"/>
    <w:rsid w:val="0556C926"/>
    <w:rsid w:val="0565DE03"/>
    <w:rsid w:val="056A3312"/>
    <w:rsid w:val="05C74DEC"/>
    <w:rsid w:val="05D37595"/>
    <w:rsid w:val="05F12AD7"/>
    <w:rsid w:val="0693085F"/>
    <w:rsid w:val="06BE4382"/>
    <w:rsid w:val="06BFA0CE"/>
    <w:rsid w:val="06C73888"/>
    <w:rsid w:val="075FA11B"/>
    <w:rsid w:val="0855B45E"/>
    <w:rsid w:val="085A13E3"/>
    <w:rsid w:val="0865B258"/>
    <w:rsid w:val="0884F599"/>
    <w:rsid w:val="089FDF04"/>
    <w:rsid w:val="08E3A395"/>
    <w:rsid w:val="090E2D0C"/>
    <w:rsid w:val="09133F49"/>
    <w:rsid w:val="091FB9A7"/>
    <w:rsid w:val="0971B856"/>
    <w:rsid w:val="09BA5263"/>
    <w:rsid w:val="09D808AC"/>
    <w:rsid w:val="0A3E1118"/>
    <w:rsid w:val="0B8B8A33"/>
    <w:rsid w:val="0BCDF1B2"/>
    <w:rsid w:val="0C2227AA"/>
    <w:rsid w:val="0C31D651"/>
    <w:rsid w:val="0C60E3D1"/>
    <w:rsid w:val="0C723C4A"/>
    <w:rsid w:val="0C954B47"/>
    <w:rsid w:val="0D2D8506"/>
    <w:rsid w:val="0F62505E"/>
    <w:rsid w:val="0F853FF3"/>
    <w:rsid w:val="0FC3EE7E"/>
    <w:rsid w:val="0FF81707"/>
    <w:rsid w:val="0FF9F17D"/>
    <w:rsid w:val="10135658"/>
    <w:rsid w:val="1020E8C7"/>
    <w:rsid w:val="102530F0"/>
    <w:rsid w:val="1077FAB1"/>
    <w:rsid w:val="10C0EE32"/>
    <w:rsid w:val="10D3E46A"/>
    <w:rsid w:val="11067664"/>
    <w:rsid w:val="1147414C"/>
    <w:rsid w:val="1161EC3B"/>
    <w:rsid w:val="119561C7"/>
    <w:rsid w:val="11D09FE5"/>
    <w:rsid w:val="125CBE93"/>
    <w:rsid w:val="126E2C3B"/>
    <w:rsid w:val="128A8516"/>
    <w:rsid w:val="12F93E02"/>
    <w:rsid w:val="133542B9"/>
    <w:rsid w:val="1374F3D5"/>
    <w:rsid w:val="1389192C"/>
    <w:rsid w:val="13A7F988"/>
    <w:rsid w:val="1506EC96"/>
    <w:rsid w:val="1558F2FF"/>
    <w:rsid w:val="15C07CDB"/>
    <w:rsid w:val="15F6586F"/>
    <w:rsid w:val="16115CA7"/>
    <w:rsid w:val="16230CC8"/>
    <w:rsid w:val="164D9672"/>
    <w:rsid w:val="164F915B"/>
    <w:rsid w:val="165DD34D"/>
    <w:rsid w:val="166A5C9B"/>
    <w:rsid w:val="16DDC7BA"/>
    <w:rsid w:val="16DFD8C1"/>
    <w:rsid w:val="17889BB6"/>
    <w:rsid w:val="17918F83"/>
    <w:rsid w:val="179228D0"/>
    <w:rsid w:val="17CAF3C4"/>
    <w:rsid w:val="18065A30"/>
    <w:rsid w:val="18140DC0"/>
    <w:rsid w:val="191CEBA3"/>
    <w:rsid w:val="19D4D8D3"/>
    <w:rsid w:val="19D9FEAD"/>
    <w:rsid w:val="1A1ACBB8"/>
    <w:rsid w:val="1A961D0F"/>
    <w:rsid w:val="1A985A5B"/>
    <w:rsid w:val="1A9C012D"/>
    <w:rsid w:val="1AA152E1"/>
    <w:rsid w:val="1AABCFAB"/>
    <w:rsid w:val="1B092B6F"/>
    <w:rsid w:val="1B94FF7D"/>
    <w:rsid w:val="1C052955"/>
    <w:rsid w:val="1C4D957B"/>
    <w:rsid w:val="1C9900E5"/>
    <w:rsid w:val="1CA4FBD0"/>
    <w:rsid w:val="1CB07902"/>
    <w:rsid w:val="1CBDB195"/>
    <w:rsid w:val="1CE7E1D9"/>
    <w:rsid w:val="1D129F1A"/>
    <w:rsid w:val="1D30CFDE"/>
    <w:rsid w:val="1D4818C9"/>
    <w:rsid w:val="1D669642"/>
    <w:rsid w:val="1DA2D65D"/>
    <w:rsid w:val="1DB4FB31"/>
    <w:rsid w:val="1E04F328"/>
    <w:rsid w:val="1E0BC016"/>
    <w:rsid w:val="1E416D04"/>
    <w:rsid w:val="1E9BE6E8"/>
    <w:rsid w:val="1ED5147E"/>
    <w:rsid w:val="1EE29E41"/>
    <w:rsid w:val="1F134DFC"/>
    <w:rsid w:val="1F48B085"/>
    <w:rsid w:val="1FC44E82"/>
    <w:rsid w:val="1FEE4D52"/>
    <w:rsid w:val="20215765"/>
    <w:rsid w:val="20360D59"/>
    <w:rsid w:val="211B112F"/>
    <w:rsid w:val="216FD2C5"/>
    <w:rsid w:val="21C5A96D"/>
    <w:rsid w:val="2210C58C"/>
    <w:rsid w:val="222B1334"/>
    <w:rsid w:val="2232B0DF"/>
    <w:rsid w:val="228C3401"/>
    <w:rsid w:val="22B6E190"/>
    <w:rsid w:val="22CE8491"/>
    <w:rsid w:val="23004316"/>
    <w:rsid w:val="23273A8F"/>
    <w:rsid w:val="23943506"/>
    <w:rsid w:val="23EF316D"/>
    <w:rsid w:val="246801B1"/>
    <w:rsid w:val="249990A5"/>
    <w:rsid w:val="24B34C5E"/>
    <w:rsid w:val="24F0825F"/>
    <w:rsid w:val="25329C8B"/>
    <w:rsid w:val="25532AAE"/>
    <w:rsid w:val="2565B0BF"/>
    <w:rsid w:val="25A272C1"/>
    <w:rsid w:val="26014047"/>
    <w:rsid w:val="2645DBCA"/>
    <w:rsid w:val="264BDE16"/>
    <w:rsid w:val="2677D9A4"/>
    <w:rsid w:val="26870BE7"/>
    <w:rsid w:val="269ED3F3"/>
    <w:rsid w:val="26ECDAC8"/>
    <w:rsid w:val="272C78FE"/>
    <w:rsid w:val="273305D8"/>
    <w:rsid w:val="27D2A9D6"/>
    <w:rsid w:val="27D99D1A"/>
    <w:rsid w:val="2849E57D"/>
    <w:rsid w:val="28CEA166"/>
    <w:rsid w:val="28E4193B"/>
    <w:rsid w:val="290E6268"/>
    <w:rsid w:val="296FB9B7"/>
    <w:rsid w:val="299B888C"/>
    <w:rsid w:val="2A17C725"/>
    <w:rsid w:val="2A2A2354"/>
    <w:rsid w:val="2A50C6D6"/>
    <w:rsid w:val="2A628F40"/>
    <w:rsid w:val="2A91DC37"/>
    <w:rsid w:val="2AC1F375"/>
    <w:rsid w:val="2AEA11DB"/>
    <w:rsid w:val="2AF9B771"/>
    <w:rsid w:val="2AFD98AB"/>
    <w:rsid w:val="2B435200"/>
    <w:rsid w:val="2C4C6629"/>
    <w:rsid w:val="2C9D0A86"/>
    <w:rsid w:val="2CC36525"/>
    <w:rsid w:val="2CEF0595"/>
    <w:rsid w:val="2D385E6C"/>
    <w:rsid w:val="2D387E98"/>
    <w:rsid w:val="2D59D5C3"/>
    <w:rsid w:val="2D90972D"/>
    <w:rsid w:val="2DA1A8D5"/>
    <w:rsid w:val="2DA710E1"/>
    <w:rsid w:val="2DABDC38"/>
    <w:rsid w:val="2DAEA3FF"/>
    <w:rsid w:val="2DB921D2"/>
    <w:rsid w:val="2DBA7684"/>
    <w:rsid w:val="2E350A09"/>
    <w:rsid w:val="2E423CFE"/>
    <w:rsid w:val="2E7C8E57"/>
    <w:rsid w:val="2E8575C1"/>
    <w:rsid w:val="2E9A4925"/>
    <w:rsid w:val="2EDD9D45"/>
    <w:rsid w:val="2EEEB234"/>
    <w:rsid w:val="2F0A53E6"/>
    <w:rsid w:val="2F11C1A6"/>
    <w:rsid w:val="2F180546"/>
    <w:rsid w:val="2F5490F6"/>
    <w:rsid w:val="2F86CDE8"/>
    <w:rsid w:val="2FBAB809"/>
    <w:rsid w:val="2FE23050"/>
    <w:rsid w:val="2FFB05E7"/>
    <w:rsid w:val="3003EFCF"/>
    <w:rsid w:val="30588DBB"/>
    <w:rsid w:val="3062C448"/>
    <w:rsid w:val="30A2733A"/>
    <w:rsid w:val="30B3D5A7"/>
    <w:rsid w:val="31017E6D"/>
    <w:rsid w:val="31059E29"/>
    <w:rsid w:val="31604DD5"/>
    <w:rsid w:val="3161A33F"/>
    <w:rsid w:val="3196D648"/>
    <w:rsid w:val="31B81F5B"/>
    <w:rsid w:val="31DAC694"/>
    <w:rsid w:val="32285BFA"/>
    <w:rsid w:val="322A2F42"/>
    <w:rsid w:val="3242EF2E"/>
    <w:rsid w:val="32A78864"/>
    <w:rsid w:val="3313F487"/>
    <w:rsid w:val="33345B03"/>
    <w:rsid w:val="3338127D"/>
    <w:rsid w:val="33652939"/>
    <w:rsid w:val="3372D60F"/>
    <w:rsid w:val="33E483B0"/>
    <w:rsid w:val="33F579B7"/>
    <w:rsid w:val="33F93D66"/>
    <w:rsid w:val="349A9A48"/>
    <w:rsid w:val="34B26C5E"/>
    <w:rsid w:val="35794732"/>
    <w:rsid w:val="35966711"/>
    <w:rsid w:val="359DBB12"/>
    <w:rsid w:val="359F18C5"/>
    <w:rsid w:val="35C74416"/>
    <w:rsid w:val="363F0760"/>
    <w:rsid w:val="364E3CBF"/>
    <w:rsid w:val="36734DE0"/>
    <w:rsid w:val="36B696D4"/>
    <w:rsid w:val="36DF40B2"/>
    <w:rsid w:val="3799E480"/>
    <w:rsid w:val="37F18474"/>
    <w:rsid w:val="38164D50"/>
    <w:rsid w:val="38177BD1"/>
    <w:rsid w:val="387C2E38"/>
    <w:rsid w:val="38A739B4"/>
    <w:rsid w:val="38E7B729"/>
    <w:rsid w:val="38FDB271"/>
    <w:rsid w:val="390AEF67"/>
    <w:rsid w:val="39BDD216"/>
    <w:rsid w:val="39DD0915"/>
    <w:rsid w:val="39ED99F3"/>
    <w:rsid w:val="39F625D2"/>
    <w:rsid w:val="3A13ACF4"/>
    <w:rsid w:val="3A743D38"/>
    <w:rsid w:val="3A82A597"/>
    <w:rsid w:val="3AAA6E8B"/>
    <w:rsid w:val="3AAE1CAB"/>
    <w:rsid w:val="3AC3EBED"/>
    <w:rsid w:val="3B8E5EB4"/>
    <w:rsid w:val="3B93AB63"/>
    <w:rsid w:val="3BE6AB56"/>
    <w:rsid w:val="3BFAB905"/>
    <w:rsid w:val="3C0B20E2"/>
    <w:rsid w:val="3C7EEBDB"/>
    <w:rsid w:val="3CC2B3DA"/>
    <w:rsid w:val="3D09DE65"/>
    <w:rsid w:val="3D22B3CA"/>
    <w:rsid w:val="3D46539F"/>
    <w:rsid w:val="3E77C511"/>
    <w:rsid w:val="3E7D46D6"/>
    <w:rsid w:val="3EAADFA6"/>
    <w:rsid w:val="3EB2808F"/>
    <w:rsid w:val="3F0E630C"/>
    <w:rsid w:val="3F8D46B1"/>
    <w:rsid w:val="3FCA7A2C"/>
    <w:rsid w:val="40108C40"/>
    <w:rsid w:val="40191737"/>
    <w:rsid w:val="403830BA"/>
    <w:rsid w:val="405E320D"/>
    <w:rsid w:val="40977113"/>
    <w:rsid w:val="40B77628"/>
    <w:rsid w:val="40CEE4CC"/>
    <w:rsid w:val="40EBC447"/>
    <w:rsid w:val="41014AE7"/>
    <w:rsid w:val="41213AAF"/>
    <w:rsid w:val="4158750F"/>
    <w:rsid w:val="417CFDAF"/>
    <w:rsid w:val="418AEB7F"/>
    <w:rsid w:val="41A52A57"/>
    <w:rsid w:val="41B00723"/>
    <w:rsid w:val="41BDBC64"/>
    <w:rsid w:val="41E820A8"/>
    <w:rsid w:val="420E0586"/>
    <w:rsid w:val="42AD3BC8"/>
    <w:rsid w:val="42C0FED0"/>
    <w:rsid w:val="4300EA02"/>
    <w:rsid w:val="430F50FC"/>
    <w:rsid w:val="4315B64C"/>
    <w:rsid w:val="431F8FB4"/>
    <w:rsid w:val="432F4A11"/>
    <w:rsid w:val="4350B7F9"/>
    <w:rsid w:val="4394E915"/>
    <w:rsid w:val="43BE1FE9"/>
    <w:rsid w:val="44075A5D"/>
    <w:rsid w:val="443375A0"/>
    <w:rsid w:val="447896D9"/>
    <w:rsid w:val="44954EE2"/>
    <w:rsid w:val="44985CB2"/>
    <w:rsid w:val="449892B2"/>
    <w:rsid w:val="44AA5A7E"/>
    <w:rsid w:val="44B75551"/>
    <w:rsid w:val="44BB6690"/>
    <w:rsid w:val="4557047E"/>
    <w:rsid w:val="45738413"/>
    <w:rsid w:val="459B977F"/>
    <w:rsid w:val="45A1EB3E"/>
    <w:rsid w:val="472617AC"/>
    <w:rsid w:val="477B8FDD"/>
    <w:rsid w:val="47E6BB20"/>
    <w:rsid w:val="47EEF613"/>
    <w:rsid w:val="47EF6EB9"/>
    <w:rsid w:val="47FEC931"/>
    <w:rsid w:val="48959F96"/>
    <w:rsid w:val="48F10F3B"/>
    <w:rsid w:val="495E2BC5"/>
    <w:rsid w:val="49BBEFCF"/>
    <w:rsid w:val="4A03E9C9"/>
    <w:rsid w:val="4A46FDAA"/>
    <w:rsid w:val="4B12E459"/>
    <w:rsid w:val="4B61CDA9"/>
    <w:rsid w:val="4BA665F9"/>
    <w:rsid w:val="4BC4414F"/>
    <w:rsid w:val="4C1001AC"/>
    <w:rsid w:val="4C1D370D"/>
    <w:rsid w:val="4C8321BF"/>
    <w:rsid w:val="4C92C8FF"/>
    <w:rsid w:val="4C944836"/>
    <w:rsid w:val="4D087BEE"/>
    <w:rsid w:val="4E5B9021"/>
    <w:rsid w:val="4E5E3797"/>
    <w:rsid w:val="4E9BF9B6"/>
    <w:rsid w:val="4EBFA2BF"/>
    <w:rsid w:val="4ED0B299"/>
    <w:rsid w:val="4EF2712A"/>
    <w:rsid w:val="4F21524D"/>
    <w:rsid w:val="4F336C12"/>
    <w:rsid w:val="4F6D7965"/>
    <w:rsid w:val="4FCEAFF5"/>
    <w:rsid w:val="4FF76082"/>
    <w:rsid w:val="5130736B"/>
    <w:rsid w:val="51B3696C"/>
    <w:rsid w:val="51C7C35A"/>
    <w:rsid w:val="5252A707"/>
    <w:rsid w:val="526BBCD1"/>
    <w:rsid w:val="5315CABA"/>
    <w:rsid w:val="53165F1F"/>
    <w:rsid w:val="5385921C"/>
    <w:rsid w:val="53A7A4FF"/>
    <w:rsid w:val="53DEEBBF"/>
    <w:rsid w:val="542088D6"/>
    <w:rsid w:val="542E4E5F"/>
    <w:rsid w:val="54CCCA29"/>
    <w:rsid w:val="551CB637"/>
    <w:rsid w:val="55BAD161"/>
    <w:rsid w:val="55DAD4D8"/>
    <w:rsid w:val="56495A4A"/>
    <w:rsid w:val="567E2762"/>
    <w:rsid w:val="56D13FF9"/>
    <w:rsid w:val="5709E545"/>
    <w:rsid w:val="571375CC"/>
    <w:rsid w:val="5753E7D9"/>
    <w:rsid w:val="579E5429"/>
    <w:rsid w:val="57BB7ED7"/>
    <w:rsid w:val="57E1E33C"/>
    <w:rsid w:val="57FAC62C"/>
    <w:rsid w:val="58832B51"/>
    <w:rsid w:val="58954F24"/>
    <w:rsid w:val="58B465DF"/>
    <w:rsid w:val="5958D7C8"/>
    <w:rsid w:val="5989E0C3"/>
    <w:rsid w:val="5999B4F3"/>
    <w:rsid w:val="59DA5E8C"/>
    <w:rsid w:val="5A126809"/>
    <w:rsid w:val="5A80FAB5"/>
    <w:rsid w:val="5A8648C3"/>
    <w:rsid w:val="5AA82847"/>
    <w:rsid w:val="5ABCABFA"/>
    <w:rsid w:val="5ACFD160"/>
    <w:rsid w:val="5B177E0F"/>
    <w:rsid w:val="5B308721"/>
    <w:rsid w:val="5B5F2C50"/>
    <w:rsid w:val="5BF54EC6"/>
    <w:rsid w:val="5C08918B"/>
    <w:rsid w:val="5C149E55"/>
    <w:rsid w:val="5CCD91FF"/>
    <w:rsid w:val="5D180C91"/>
    <w:rsid w:val="5D5FCD7B"/>
    <w:rsid w:val="5D9D8874"/>
    <w:rsid w:val="5DA461EC"/>
    <w:rsid w:val="5DA53429"/>
    <w:rsid w:val="5DA6F1A2"/>
    <w:rsid w:val="5E1597E7"/>
    <w:rsid w:val="5E5D51E6"/>
    <w:rsid w:val="5EC20E56"/>
    <w:rsid w:val="5F1A9117"/>
    <w:rsid w:val="5F66D996"/>
    <w:rsid w:val="5F8C8EDB"/>
    <w:rsid w:val="5FE8AEE6"/>
    <w:rsid w:val="60095F94"/>
    <w:rsid w:val="60A0FB16"/>
    <w:rsid w:val="60BA8EA9"/>
    <w:rsid w:val="60FE8B79"/>
    <w:rsid w:val="60FF9FF8"/>
    <w:rsid w:val="6137CB18"/>
    <w:rsid w:val="614AF044"/>
    <w:rsid w:val="621554D1"/>
    <w:rsid w:val="6246C68F"/>
    <w:rsid w:val="626FEE67"/>
    <w:rsid w:val="62855739"/>
    <w:rsid w:val="62C4D037"/>
    <w:rsid w:val="630188A8"/>
    <w:rsid w:val="631ED252"/>
    <w:rsid w:val="63A7627D"/>
    <w:rsid w:val="63DFCF21"/>
    <w:rsid w:val="64067FEF"/>
    <w:rsid w:val="64124E24"/>
    <w:rsid w:val="647ABFF7"/>
    <w:rsid w:val="648256AE"/>
    <w:rsid w:val="648A8CAD"/>
    <w:rsid w:val="648B6455"/>
    <w:rsid w:val="649B8A6F"/>
    <w:rsid w:val="65393980"/>
    <w:rsid w:val="666863CB"/>
    <w:rsid w:val="667D071B"/>
    <w:rsid w:val="66CD7949"/>
    <w:rsid w:val="66CF9D97"/>
    <w:rsid w:val="673B7552"/>
    <w:rsid w:val="67579D46"/>
    <w:rsid w:val="677849AD"/>
    <w:rsid w:val="67FF3A93"/>
    <w:rsid w:val="68067243"/>
    <w:rsid w:val="681B7E79"/>
    <w:rsid w:val="68922A46"/>
    <w:rsid w:val="68F36DA7"/>
    <w:rsid w:val="68FDE6EB"/>
    <w:rsid w:val="6925D2E3"/>
    <w:rsid w:val="6936C168"/>
    <w:rsid w:val="695863E6"/>
    <w:rsid w:val="69ACBA70"/>
    <w:rsid w:val="69BB15A6"/>
    <w:rsid w:val="69E688DB"/>
    <w:rsid w:val="69F4C623"/>
    <w:rsid w:val="6A073E59"/>
    <w:rsid w:val="6A2DFAA7"/>
    <w:rsid w:val="6A4DE533"/>
    <w:rsid w:val="6A5F9757"/>
    <w:rsid w:val="6A62BE85"/>
    <w:rsid w:val="6A8F3E08"/>
    <w:rsid w:val="6A93C780"/>
    <w:rsid w:val="6A99B15E"/>
    <w:rsid w:val="6AC5C277"/>
    <w:rsid w:val="6B577C88"/>
    <w:rsid w:val="6B66830A"/>
    <w:rsid w:val="6BA30EBA"/>
    <w:rsid w:val="6C1A7617"/>
    <w:rsid w:val="6C2CCA0D"/>
    <w:rsid w:val="6CCF5322"/>
    <w:rsid w:val="6CDC67B2"/>
    <w:rsid w:val="6D488508"/>
    <w:rsid w:val="6D894B0B"/>
    <w:rsid w:val="6D99DB59"/>
    <w:rsid w:val="6DBEF5AF"/>
    <w:rsid w:val="6E5F3E39"/>
    <w:rsid w:val="6E686E67"/>
    <w:rsid w:val="6E7375B0"/>
    <w:rsid w:val="6E87BCCE"/>
    <w:rsid w:val="6E902D7D"/>
    <w:rsid w:val="6EA0C8E7"/>
    <w:rsid w:val="6ED89C2E"/>
    <w:rsid w:val="6F1C4D39"/>
    <w:rsid w:val="6F3AE505"/>
    <w:rsid w:val="6F406805"/>
    <w:rsid w:val="70537978"/>
    <w:rsid w:val="70AFF210"/>
    <w:rsid w:val="710CE8E7"/>
    <w:rsid w:val="7113FFAB"/>
    <w:rsid w:val="715A81B4"/>
    <w:rsid w:val="71B0EB5C"/>
    <w:rsid w:val="71BFB9C2"/>
    <w:rsid w:val="71EF49D9"/>
    <w:rsid w:val="71FB90CB"/>
    <w:rsid w:val="72102BF0"/>
    <w:rsid w:val="721FBD34"/>
    <w:rsid w:val="729266D2"/>
    <w:rsid w:val="73270D08"/>
    <w:rsid w:val="73A672FB"/>
    <w:rsid w:val="743286FD"/>
    <w:rsid w:val="74932D4B"/>
    <w:rsid w:val="74D5469B"/>
    <w:rsid w:val="74F75A84"/>
    <w:rsid w:val="753883A7"/>
    <w:rsid w:val="757E2D48"/>
    <w:rsid w:val="757F8021"/>
    <w:rsid w:val="758CE79C"/>
    <w:rsid w:val="75BB32E8"/>
    <w:rsid w:val="75CE575E"/>
    <w:rsid w:val="75E05A0A"/>
    <w:rsid w:val="75E52B7D"/>
    <w:rsid w:val="763ABB33"/>
    <w:rsid w:val="76655F38"/>
    <w:rsid w:val="76BA20CE"/>
    <w:rsid w:val="76BC6102"/>
    <w:rsid w:val="76F27F0B"/>
    <w:rsid w:val="7749AEDC"/>
    <w:rsid w:val="776A27BF"/>
    <w:rsid w:val="77707973"/>
    <w:rsid w:val="77A4BF52"/>
    <w:rsid w:val="77B3B814"/>
    <w:rsid w:val="789F0007"/>
    <w:rsid w:val="7913BF1A"/>
    <w:rsid w:val="79390F40"/>
    <w:rsid w:val="793E5D75"/>
    <w:rsid w:val="7A032391"/>
    <w:rsid w:val="7A04A060"/>
    <w:rsid w:val="7A5FB9F2"/>
    <w:rsid w:val="7AAD4F58"/>
    <w:rsid w:val="7AE316A4"/>
    <w:rsid w:val="7AF85C23"/>
    <w:rsid w:val="7B4D6468"/>
    <w:rsid w:val="7B51F455"/>
    <w:rsid w:val="7C4A6693"/>
    <w:rsid w:val="7C697708"/>
    <w:rsid w:val="7C6FB8CD"/>
    <w:rsid w:val="7CC53802"/>
    <w:rsid w:val="7CFDB1A4"/>
    <w:rsid w:val="7D0CF80F"/>
    <w:rsid w:val="7D1B8FE9"/>
    <w:rsid w:val="7D1CF7DF"/>
    <w:rsid w:val="7D2A12E0"/>
    <w:rsid w:val="7D479934"/>
    <w:rsid w:val="7D6A40A3"/>
    <w:rsid w:val="7D921099"/>
    <w:rsid w:val="7DD71505"/>
    <w:rsid w:val="7DEE5980"/>
    <w:rsid w:val="7E9B7A83"/>
    <w:rsid w:val="7EB7604A"/>
    <w:rsid w:val="7EBC26A2"/>
    <w:rsid w:val="7ED59417"/>
    <w:rsid w:val="7F332B15"/>
    <w:rsid w:val="7F39DFAE"/>
    <w:rsid w:val="7F4408FF"/>
    <w:rsid w:val="7F6FDE78"/>
    <w:rsid w:val="7F80839B"/>
    <w:rsid w:val="7FDA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849E57D"/>
    <w:rPr>
      <w:rFonts w:ascii="Verdana Pro" w:hAnsi="Verdana Pro"/>
      <w:noProof/>
      <w:sz w:val="24"/>
      <w:szCs w:val="24"/>
      <w:lang w:val="tr-TR"/>
    </w:rPr>
    <w:pPr>
      <w:tabs>
        <w:tab w:val="left" w:leader="none" w:pos="425"/>
      </w:tabs>
      <w:spacing w:after="120"/>
      <w:jc w:val="both"/>
    </w:pPr>
  </w:style>
  <w:style w:type="paragraph" w:styleId="Balk1">
    <w:uiPriority w:val="9"/>
    <w:name w:val="heading 1"/>
    <w:basedOn w:val="Normal"/>
    <w:next w:val="Normal"/>
    <w:link w:val="Balk1Char"/>
    <w:qFormat/>
    <w:rsid w:val="2849E57D"/>
    <w:rPr>
      <w:sz w:val="28"/>
      <w:szCs w:val="28"/>
    </w:rPr>
    <w:pPr>
      <w:jc w:val="center"/>
      <w:outlineLvl w:val="0"/>
    </w:p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uiPriority w:val="99"/>
    <w:name w:val="header"/>
    <w:basedOn w:val="Normal"/>
    <w:unhideWhenUsed/>
    <w:link w:val="s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stBilgiChar" w:customStyle="true">
    <w:uiPriority w:val="99"/>
    <w:name w:val="Üst Bilgi Char"/>
    <w:basedOn w:val="VarsaylanParagrafYazTipi"/>
    <w:link w:val="stBilgi"/>
    <w:rsid w:val="2849E57D"/>
    <w:rPr>
      <w:noProof/>
      <w:lang w:val="tr-TR"/>
    </w:rPr>
  </w:style>
  <w:style w:type="paragraph" w:styleId="AltBilgi">
    <w:uiPriority w:val="99"/>
    <w:name w:val="footer"/>
    <w:basedOn w:val="Normal"/>
    <w:unhideWhenUsed/>
    <w:link w:val="Al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AltBilgiChar" w:customStyle="true">
    <w:uiPriority w:val="99"/>
    <w:name w:val="Alt Bilgi Char"/>
    <w:basedOn w:val="VarsaylanParagrafYazTipi"/>
    <w:link w:val="AltBilgi"/>
    <w:rsid w:val="2849E57D"/>
    <w:rPr>
      <w:noProof/>
      <w:lang w:val="tr-TR"/>
    </w:rPr>
  </w:style>
  <w:style w:type="paragraph" w:styleId="BalonMetni">
    <w:uiPriority w:val="99"/>
    <w:name w:val="Balloon Text"/>
    <w:basedOn w:val="Normal"/>
    <w:semiHidden/>
    <w:unhideWhenUsed/>
    <w:link w:val="BalonMetniChar"/>
    <w:rsid w:val="2849E57D"/>
    <w:rPr>
      <w:rFonts w:ascii="Segoe UI" w:hAnsi="Segoe UI" w:cs="Segoe UI"/>
      <w:sz w:val="18"/>
      <w:szCs w:val="18"/>
    </w:rPr>
  </w:style>
  <w:style w:type="character" w:styleId="BalonMetniChar" w:customStyle="true">
    <w:uiPriority w:val="99"/>
    <w:name w:val="Balon Metni Char"/>
    <w:basedOn w:val="VarsaylanParagrafYazTipi"/>
    <w:semiHidden/>
    <w:link w:val="BalonMetni"/>
    <w:rsid w:val="2849E57D"/>
    <w:rPr>
      <w:rFonts w:ascii="Segoe UI" w:hAnsi="Segoe UI" w:eastAsia="Calibri" w:cs="Segoe UI" w:eastAsiaTheme="minorAscii"/>
      <w:noProof/>
      <w:sz w:val="18"/>
      <w:szCs w:val="18"/>
      <w:lang w:val="tr-TR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uiPriority w:val="10"/>
    <w:name w:val="Title"/>
    <w:basedOn w:val="Normal"/>
    <w:next w:val="Normal"/>
    <w:link w:val="KonuBalChar"/>
    <w:qFormat/>
    <w:rsid w:val="2849E57D"/>
    <w:rPr>
      <w:lang w:val="en-US"/>
    </w:rPr>
    <w:pPr>
      <w:tabs>
        <w:tab w:val="left" w:leader="none" w:pos="2160"/>
        <w:tab w:val="left" w:leader="none" w:pos="425"/>
      </w:tabs>
    </w:pPr>
  </w:style>
  <w:style w:type="character" w:styleId="KonuBalChar" w:customStyle="true">
    <w:uiPriority w:val="10"/>
    <w:name w:val="Konu Başlığı Char"/>
    <w:basedOn w:val="VarsaylanParagrafYazTipi"/>
    <w:link w:val="KonuBal"/>
    <w:rsid w:val="2849E57D"/>
    <w:rPr>
      <w:rFonts w:ascii="Verdana Pro" w:hAnsi="Verdana Pro" w:eastAsia="Calibri" w:cs="Arial" w:eastAsiaTheme="minorAscii" w:cstheme="minorBidi"/>
      <w:noProof/>
      <w:sz w:val="24"/>
      <w:szCs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uiPriority w:val="29"/>
    <w:name w:val="Quote"/>
    <w:basedOn w:val="Normal"/>
    <w:next w:val="Normal"/>
    <w:link w:val="AlntChar"/>
    <w:qFormat/>
    <w:rsid w:val="2849E57D"/>
    <w:rPr>
      <w:i w:val="1"/>
      <w:iCs w:val="1"/>
      <w:color w:val="404040" w:themeColor="text1" w:themeTint="BF" w:themeShade="FF"/>
    </w:rPr>
    <w:pPr>
      <w:spacing w:before="200" w:after="160"/>
      <w:ind w:left="864" w:right="864"/>
      <w:jc w:val="center"/>
    </w:pPr>
  </w:style>
  <w:style w:type="character" w:styleId="AlntChar" w:customStyle="true">
    <w:uiPriority w:val="29"/>
    <w:name w:val="Alıntı Char"/>
    <w:basedOn w:val="VarsaylanParagrafYazTipi"/>
    <w:link w:val="Alnt"/>
    <w:rsid w:val="2849E57D"/>
    <w:rPr>
      <w:rFonts w:ascii="Arial" w:hAnsi="Arial" w:eastAsia="Calibri" w:cs="Arial" w:eastAsiaTheme="minorAscii" w:cstheme="minorBidi"/>
      <w:i w:val="1"/>
      <w:iCs w:val="1"/>
      <w:noProof/>
      <w:color w:val="404040" w:themeColor="text1" w:themeTint="BF" w:themeShade="FF"/>
      <w:sz w:val="24"/>
      <w:szCs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true">
    <w:uiPriority w:val="1"/>
    <w:name w:val="Footer_PropriateryInformation Char"/>
    <w:basedOn w:val="AlntChar"/>
    <w:link w:val="FooterPropriateryInformation"/>
    <w:rsid w:val="2849E57D"/>
    <w:rPr>
      <w:smallCaps w:val="1"/>
      <w:sz w:val="16"/>
      <w:szCs w:val="16"/>
    </w:rPr>
  </w:style>
  <w:style w:type="paragraph" w:styleId="Balk11" w:customStyle="true">
    <w:uiPriority w:val="1"/>
    <w:name w:val="Başlık 11"/>
    <w:basedOn w:val="Normal"/>
    <w:rsid w:val="2849E57D"/>
    <w:pPr>
      <w:numPr>
        <w:ilvl w:val="0"/>
        <w:numId w:val="10"/>
      </w:numPr>
      <w:ind w:left="432" w:hanging="432"/>
    </w:pPr>
  </w:style>
  <w:style w:type="paragraph" w:styleId="Balk21" w:customStyle="true">
    <w:uiPriority w:val="1"/>
    <w:name w:val="Başlık 21"/>
    <w:basedOn w:val="Normal"/>
    <w:rsid w:val="2849E57D"/>
    <w:pPr>
      <w:numPr>
        <w:ilvl w:val="1"/>
        <w:numId w:val="10"/>
      </w:numPr>
      <w:ind w:left="576" w:hanging="576"/>
    </w:pPr>
  </w:style>
  <w:style w:type="paragraph" w:styleId="Balk31" w:customStyle="true">
    <w:uiPriority w:val="1"/>
    <w:name w:val="Başlık 31"/>
    <w:basedOn w:val="Normal"/>
    <w:rsid w:val="2849E57D"/>
    <w:pPr>
      <w:numPr>
        <w:ilvl w:val="2"/>
        <w:numId w:val="10"/>
      </w:numPr>
      <w:ind w:left="720" w:hanging="720"/>
    </w:pPr>
  </w:style>
  <w:style w:type="paragraph" w:styleId="Balk41" w:customStyle="true">
    <w:uiPriority w:val="1"/>
    <w:name w:val="Başlık 41"/>
    <w:basedOn w:val="Normal"/>
    <w:rsid w:val="2849E57D"/>
    <w:pPr>
      <w:numPr>
        <w:ilvl w:val="3"/>
        <w:numId w:val="10"/>
      </w:numPr>
      <w:ind w:left="864" w:hanging="864"/>
    </w:pPr>
  </w:style>
  <w:style w:type="paragraph" w:styleId="Balk51" w:customStyle="true">
    <w:uiPriority w:val="1"/>
    <w:name w:val="Başlık 51"/>
    <w:basedOn w:val="Normal"/>
    <w:rsid w:val="2849E57D"/>
    <w:pPr>
      <w:numPr>
        <w:ilvl w:val="4"/>
        <w:numId w:val="10"/>
      </w:numPr>
      <w:ind w:left="1008" w:hanging="1008"/>
    </w:pPr>
  </w:style>
  <w:style w:type="paragraph" w:styleId="Balk61" w:customStyle="true">
    <w:uiPriority w:val="1"/>
    <w:name w:val="Başlık 61"/>
    <w:basedOn w:val="Normal"/>
    <w:rsid w:val="2849E57D"/>
    <w:pPr>
      <w:numPr>
        <w:ilvl w:val="5"/>
        <w:numId w:val="10"/>
      </w:numPr>
      <w:ind w:left="1152" w:hanging="1152"/>
    </w:pPr>
  </w:style>
  <w:style w:type="paragraph" w:styleId="Balk71" w:customStyle="true">
    <w:uiPriority w:val="1"/>
    <w:name w:val="Başlık 71"/>
    <w:basedOn w:val="Normal"/>
    <w:rsid w:val="2849E57D"/>
    <w:pPr>
      <w:numPr>
        <w:ilvl w:val="6"/>
        <w:numId w:val="10"/>
      </w:numPr>
      <w:ind w:left="1296" w:hanging="1296"/>
    </w:pPr>
  </w:style>
  <w:style w:type="paragraph" w:styleId="Balk81" w:customStyle="true">
    <w:uiPriority w:val="1"/>
    <w:name w:val="Başlık 81"/>
    <w:basedOn w:val="Normal"/>
    <w:rsid w:val="2849E57D"/>
    <w:pPr>
      <w:numPr>
        <w:ilvl w:val="7"/>
        <w:numId w:val="10"/>
      </w:numPr>
      <w:ind w:left="1440" w:hanging="1440"/>
    </w:pPr>
  </w:style>
  <w:style w:type="paragraph" w:styleId="Balk91" w:customStyle="true">
    <w:uiPriority w:val="1"/>
    <w:name w:val="Başlık 91"/>
    <w:basedOn w:val="Normal"/>
    <w:rsid w:val="2849E57D"/>
    <w:pPr>
      <w:numPr>
        <w:ilvl w:val="8"/>
        <w:numId w:val="10"/>
      </w:numPr>
      <w:ind w:left="1584" w:hanging="1584"/>
    </w:pPr>
  </w:style>
  <w:style w:type="character" w:styleId="Balk1Char" w:customStyle="true">
    <w:uiPriority w:val="9"/>
    <w:name w:val="Başlık 1 Char"/>
    <w:basedOn w:val="VarsaylanParagrafYazTipi"/>
    <w:link w:val="Balk1"/>
    <w:rsid w:val="2849E57D"/>
    <w:rPr>
      <w:rFonts w:ascii="Verdana Pro" w:hAnsi="Verdana Pro" w:eastAsia="Calibri" w:cs="Arial" w:eastAsiaTheme="minorAscii" w:cstheme="minorBidi"/>
      <w:noProof/>
      <w:sz w:val="28"/>
      <w:szCs w:val="28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true">
    <w:uiPriority w:val="1"/>
    <w:name w:val="DOCUMENT_TAG"/>
    <w:basedOn w:val="stBilgi"/>
    <w:link w:val="DOCUMENTTAGChar"/>
    <w:qFormat/>
    <w:rsid w:val="2849E57D"/>
    <w:rPr>
      <w:smallCaps w:val="1"/>
      <w:sz w:val="14"/>
      <w:szCs w:val="14"/>
      <w:lang w:val="en-US"/>
    </w:rPr>
    <w:pPr>
      <w:tabs>
        <w:tab w:val="clear" w:leader="none" w:pos="425"/>
        <w:tab w:val="left" w:leader="none" w:pos="888"/>
        <w:tab w:val="center" w:leader="none" w:pos="4703"/>
        <w:tab w:val="right" w:leader="none" w:pos="9406"/>
        <w:tab w:val="left" w:leader="none" w:pos="425"/>
      </w:tabs>
    </w:pPr>
  </w:style>
  <w:style w:type="paragraph" w:styleId="DOCUMENTHEADER" w:customStyle="true">
    <w:uiPriority w:val="1"/>
    <w:name w:val="DOCUMENT_HEADER"/>
    <w:basedOn w:val="stBilgi"/>
    <w:link w:val="DOCUMENTHEADERChar"/>
    <w:qFormat/>
    <w:rsid w:val="2849E57D"/>
    <w:rPr>
      <w:rFonts w:ascii="Arial" w:hAnsi="Arial"/>
      <w:sz w:val="32"/>
      <w:szCs w:val="32"/>
      <w:lang w:val="en-US"/>
    </w:rPr>
    <w:pPr>
      <w:tabs>
        <w:tab w:val="clear" w:leader="none" w:pos="425"/>
        <w:tab w:val="center" w:leader="none" w:pos="4703"/>
        <w:tab w:val="right" w:leader="none" w:pos="9406"/>
        <w:tab w:val="left" w:leader="none" w:pos="425"/>
      </w:tabs>
      <w:spacing w:after="0"/>
      <w:jc w:val="center"/>
    </w:pPr>
  </w:style>
  <w:style w:type="character" w:styleId="DOCUMENTTAGChar" w:customStyle="true">
    <w:uiPriority w:val="1"/>
    <w:name w:val="DOCUMENT_TAG Char"/>
    <w:basedOn w:val="stBilgiChar"/>
    <w:link w:val="DOCUMENTTAG"/>
    <w:rsid w:val="2849E57D"/>
    <w:rPr>
      <w:rFonts w:ascii="Verdana Pro" w:hAnsi="Verdana Pro" w:eastAsia="Calibri" w:cs="Arial" w:eastAsiaTheme="minorAscii"/>
      <w:smallCaps w:val="1"/>
      <w:sz w:val="14"/>
      <w:szCs w:val="14"/>
    </w:rPr>
  </w:style>
  <w:style w:type="paragraph" w:styleId="DOCUMENTHEADEREN" w:customStyle="true">
    <w:uiPriority w:val="1"/>
    <w:name w:val="DOCUMENT_HEADER_EN"/>
    <w:basedOn w:val="DOCUMENTHEADER"/>
    <w:link w:val="DOCUMENTHEADERENChar"/>
    <w:qFormat/>
    <w:rsid w:val="2849E57D"/>
    <w:rPr>
      <w:b w:val="1"/>
      <w:bCs w:val="1"/>
      <w:i w:val="1"/>
      <w:iCs w:val="1"/>
      <w:smallCaps w:val="1"/>
      <w:sz w:val="18"/>
      <w:szCs w:val="18"/>
    </w:rPr>
  </w:style>
  <w:style w:type="character" w:styleId="DOCUMENTHEADERChar" w:customStyle="true">
    <w:uiPriority w:val="1"/>
    <w:name w:val="DOCUMENT_HEADER Char"/>
    <w:basedOn w:val="stBilgiChar"/>
    <w:link w:val="DOCUMENTHEADER"/>
    <w:rsid w:val="2849E57D"/>
    <w:rPr>
      <w:rFonts w:ascii="Arial" w:hAnsi="Arial" w:eastAsia="Calibri" w:cs="Arial" w:eastAsiaTheme="minorAscii"/>
      <w:sz w:val="32"/>
      <w:szCs w:val="32"/>
    </w:rPr>
  </w:style>
  <w:style w:type="character" w:styleId="DOCUMENTHEADERENChar" w:customStyle="true">
    <w:uiPriority w:val="1"/>
    <w:name w:val="DOCUMENT_HEADER_EN Char"/>
    <w:basedOn w:val="VarsaylanParagrafYazTipi"/>
    <w:link w:val="DOCUMENTHEADEREN"/>
    <w:rsid w:val="2849E57D"/>
    <w:rPr>
      <w:rFonts w:ascii="Arial" w:hAnsi="Arial" w:eastAsia="Calibri" w:cs="Arial" w:eastAsiaTheme="minorAscii"/>
      <w:b w:val="1"/>
      <w:bCs w:val="1"/>
      <w:i w:val="1"/>
      <w:iCs w:val="1"/>
      <w:smallCaps w:val="1"/>
      <w:noProof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uiPriority w:val="34"/>
    <w:name w:val="List Paragraph"/>
    <w:basedOn w:val="Normal"/>
    <w:qFormat/>
    <w:rsid w:val="2849E57D"/>
    <w:pPr>
      <w:spacing/>
      <w:ind w:left="720"/>
      <w:contextualSpacing/>
    </w:pPr>
  </w:style>
  <w:style w:type="paragraph" w:styleId="DOCUMENTFOOTERFORMNO" w:customStyle="true">
    <w:uiPriority w:val="1"/>
    <w:name w:val="DOCUMENT_FOOTER_FORM_NO"/>
    <w:basedOn w:val="Normal"/>
    <w:link w:val="DOCUMENTFOOTERFORMNOChar"/>
    <w:qFormat/>
    <w:rsid w:val="2849E57D"/>
    <w:rPr>
      <w:sz w:val="16"/>
      <w:szCs w:val="16"/>
      <w:lang w:val="en-US"/>
    </w:rPr>
    <w:pPr>
      <w:tabs>
        <w:tab w:val="clear" w:leader="none" w:pos="425"/>
        <w:tab w:val="left" w:leader="none" w:pos="425"/>
      </w:tabs>
      <w:spacing w:after="0"/>
      <w:jc w:val="left"/>
    </w:pPr>
  </w:style>
  <w:style w:type="character" w:styleId="DOCUMENTFOOTERFORMNOChar" w:customStyle="true">
    <w:uiPriority w:val="1"/>
    <w:name w:val="DOCUMENT_FOOTER_FORM_NO Char"/>
    <w:basedOn w:val="VarsaylanParagrafYazTipi"/>
    <w:link w:val="DOCUMENTFOOTERFORMNO"/>
    <w:rsid w:val="2849E57D"/>
    <w:rPr>
      <w:noProof/>
      <w:sz w:val="16"/>
      <w:szCs w:val="16"/>
    </w:rPr>
  </w:style>
  <w:style w:type="character" w:styleId="Heading2Char" w:customStyle="true">
    <w:uiPriority w:val="9"/>
    <w:name w:val="Heading 2 Char"/>
    <w:basedOn w:val="VarsaylanParagrafYazTipi"/>
    <w:link w:val="Heading2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tr-T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2849E57D"/>
    <w:rPr>
      <w:rFonts w:eastAsia="" w:eastAsiaTheme="minorEastAsia"/>
      <w:color w:val="5A5A5A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849E57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VarsaylanParagrafYazTipi"/>
    <w:link w:val="Heading3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sz w:val="24"/>
      <w:szCs w:val="24"/>
      <w:lang w:val="tr-TR"/>
    </w:rPr>
  </w:style>
  <w:style w:type="character" w:styleId="Heading4Char" w:customStyle="true">
    <w:uiPriority w:val="9"/>
    <w:name w:val="Heading 4 Char"/>
    <w:basedOn w:val="VarsaylanParagrafYazTipi"/>
    <w:link w:val="Heading4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tr-TR"/>
    </w:rPr>
  </w:style>
  <w:style w:type="character" w:styleId="Heading5Char" w:customStyle="true">
    <w:uiPriority w:val="9"/>
    <w:name w:val="Heading 5 Char"/>
    <w:basedOn w:val="VarsaylanParagrafYazTipi"/>
    <w:link w:val="Heading5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lang w:val="tr-TR"/>
    </w:rPr>
  </w:style>
  <w:style w:type="character" w:styleId="Heading6Char" w:customStyle="true">
    <w:uiPriority w:val="9"/>
    <w:name w:val="Heading 6 Char"/>
    <w:basedOn w:val="VarsaylanParagrafYazTipi"/>
    <w:link w:val="Heading6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lang w:val="tr-TR"/>
    </w:rPr>
  </w:style>
  <w:style w:type="character" w:styleId="Heading7Char" w:customStyle="true">
    <w:uiPriority w:val="9"/>
    <w:name w:val="Heading 7 Char"/>
    <w:basedOn w:val="VarsaylanParagrafYazTipi"/>
    <w:link w:val="Heading7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1F3763"/>
      <w:lang w:val="tr-TR"/>
    </w:rPr>
  </w:style>
  <w:style w:type="character" w:styleId="Heading8Char" w:customStyle="true">
    <w:uiPriority w:val="9"/>
    <w:name w:val="Heading 8 Char"/>
    <w:basedOn w:val="VarsaylanParagrafYazTipi"/>
    <w:link w:val="Heading8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72727"/>
      <w:sz w:val="21"/>
      <w:szCs w:val="21"/>
      <w:lang w:val="tr-TR"/>
    </w:rPr>
  </w:style>
  <w:style w:type="character" w:styleId="Heading9Char" w:customStyle="true">
    <w:uiPriority w:val="9"/>
    <w:name w:val="Heading 9 Char"/>
    <w:basedOn w:val="VarsaylanParagrafYazTipi"/>
    <w:link w:val="Heading9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tr-TR"/>
    </w:rPr>
  </w:style>
  <w:style w:type="character" w:styleId="SubtitleChar" w:customStyle="true">
    <w:uiPriority w:val="11"/>
    <w:name w:val="Subtitle Char"/>
    <w:basedOn w:val="VarsaylanParagrafYazTipi"/>
    <w:link w:val="Subtitle"/>
    <w:rsid w:val="2849E57D"/>
    <w:rPr>
      <w:rFonts w:ascii="Calibri" w:hAnsi="Calibri" w:eastAsia="" w:cs="Arial" w:asciiTheme="minorAscii" w:hAnsiTheme="minorAscii" w:eastAsiaTheme="minorEastAsia" w:cstheme="minorBidi"/>
      <w:noProof/>
      <w:color w:val="5A5A5A"/>
      <w:lang w:val="tr-TR"/>
    </w:rPr>
  </w:style>
  <w:style w:type="character" w:styleId="IntenseQuoteChar" w:customStyle="true">
    <w:uiPriority w:val="30"/>
    <w:name w:val="Intense Quote Char"/>
    <w:basedOn w:val="VarsaylanParagrafYazTipi"/>
    <w:link w:val="IntenseQuote"/>
    <w:rsid w:val="2849E57D"/>
    <w:rPr>
      <w:i w:val="1"/>
      <w:iCs w:val="1"/>
      <w:noProof/>
      <w:color w:val="4472C4" w:themeColor="accent1" w:themeTint="FF" w:themeShade="FF"/>
      <w:lang w:val="tr-TR"/>
    </w:rPr>
  </w:style>
  <w:style w:type="paragraph" w:styleId="TOC1">
    <w:uiPriority w:val="39"/>
    <w:name w:val="toc 1"/>
    <w:basedOn w:val="Normal"/>
    <w:next w:val="Normal"/>
    <w:unhideWhenUsed/>
    <w:rsid w:val="2849E57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849E57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849E57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849E57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849E57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849E57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849E57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849E57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849E57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849E57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VarsaylanParagrafYazTipi"/>
    <w:semiHidden/>
    <w:link w:val="EndnoteText"/>
    <w:rsid w:val="2849E57D"/>
    <w:rPr>
      <w:noProof/>
      <w:sz w:val="20"/>
      <w:szCs w:val="20"/>
      <w:lang w:val="tr-T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849E57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VarsaylanParagrafYazTipi"/>
    <w:semiHidden/>
    <w:link w:val="FootnoteText"/>
    <w:rsid w:val="2849E57D"/>
    <w:rPr>
      <w:noProof/>
      <w:sz w:val="20"/>
      <w:szCs w:val="2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N20210219-1594514891-3182</_dlc_DocId>
    <_dlc_DocIdUrl xmlns="f6d82c61-1620-4961-a845-3717486f5cdd">
      <Url>https://navioteknoloji.sharepoint.com/teams/N20210219/_layouts/15/DocIdRedir.aspx?ID=N20210219-1594514891-3182</Url>
      <Description>N20210219-1594514891-3182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B31A919-D6B7-49AF-A1B8-954835636E2E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Ertan SEKMEN</lastModifiedBy>
  <revision>17</revision>
  <dcterms:created xsi:type="dcterms:W3CDTF">2021-11-26T14:18:00.0000000Z</dcterms:created>
  <dcterms:modified xsi:type="dcterms:W3CDTF">2023-01-16T13:56:48.0162051Z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066e8063-0cf4-41ba-b141-0cee847d84ee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