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95A3D3" w:rsidRDefault="1E95A3D3" w14:paraId="2AF84CF8" w14:textId="24547528"/>
    <w:tbl>
      <w:tblPr>
        <w:tblStyle w:val="TabloKlavuzu"/>
        <w:tblW w:w="9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25"/>
      </w:tblGrid>
      <w:tr w:rsidRPr="004D3450" w:rsidR="004D01C9" w:rsidTr="3B98FD0D" w14:paraId="7C167DF3" w14:textId="77777777">
        <w:trPr>
          <w:cantSplit/>
        </w:trPr>
        <w:tc>
          <w:tcPr>
            <w:tcW w:w="9225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3B98FD0D" w14:paraId="5D443E5A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3B98FD0D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03D12B2" w:rsidRDefault="006575F8" w14:paraId="1BABF3D9" w14:textId="0658845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6575F8">
                    <w:rPr>
                      <w:sz w:val="20"/>
                      <w:szCs w:val="20"/>
                    </w:rPr>
                    <w:t>NA0003011-DSS-01136</w:t>
                  </w:r>
                </w:p>
              </w:tc>
            </w:tr>
            <w:tr w:rsidR="00914FB6" w:rsidTr="3B98FD0D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6575F8" w14:paraId="2BFCFFE6" w14:textId="1506D789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3B98FD0D" w:rsidR="2A0F94FF">
                    <w:rPr>
                      <w:sz w:val="20"/>
                      <w:szCs w:val="20"/>
                    </w:rPr>
                    <w:t>NEM42106-PIDS-228</w:t>
                  </w:r>
                  <w:r w:rsidRPr="3B98FD0D" w:rsidR="2A0F94FF">
                    <w:rPr>
                      <w:sz w:val="20"/>
                      <w:szCs w:val="20"/>
                    </w:rPr>
                    <w:t xml:space="preserve">, </w:t>
                  </w:r>
                  <w:r w:rsidRPr="3B98FD0D" w:rsidR="2A0F94FF">
                    <w:rPr>
                      <w:sz w:val="20"/>
                      <w:szCs w:val="20"/>
                    </w:rPr>
                    <w:t>NEM42106-PIDS-219</w:t>
                  </w:r>
                  <w:r w:rsidRPr="3B98FD0D" w:rsidR="2A0F94FF">
                    <w:rPr>
                      <w:sz w:val="20"/>
                      <w:szCs w:val="20"/>
                    </w:rPr>
                    <w:t xml:space="preserve">, </w:t>
                  </w:r>
                  <w:r w:rsidRPr="3B98FD0D" w:rsidR="2A0F94FF">
                    <w:rPr>
                      <w:sz w:val="20"/>
                      <w:szCs w:val="20"/>
                    </w:rPr>
                    <w:t>NEM42106-PIDS-227</w:t>
                  </w:r>
                  <w:r w:rsidRPr="3B98FD0D" w:rsidR="2A0F94FF">
                    <w:rPr>
                      <w:sz w:val="20"/>
                      <w:szCs w:val="20"/>
                    </w:rPr>
                    <w:t xml:space="preserve">, </w:t>
                  </w:r>
                  <w:r w:rsidRPr="3B98FD0D" w:rsidR="2A0F94FF">
                    <w:rPr>
                      <w:sz w:val="20"/>
                      <w:szCs w:val="20"/>
                    </w:rPr>
                    <w:t>NEM42106-PIDS-15</w:t>
                  </w:r>
                  <w:r w:rsidRPr="3B98FD0D" w:rsidR="2A0F94FF">
                    <w:rPr>
                      <w:sz w:val="20"/>
                      <w:szCs w:val="20"/>
                    </w:rPr>
                    <w:t xml:space="preserve">8, </w:t>
                  </w:r>
                  <w:r w:rsidRPr="3B98FD0D" w:rsidR="2A0F94FF">
                    <w:rPr>
                      <w:sz w:val="20"/>
                      <w:szCs w:val="20"/>
                    </w:rPr>
                    <w:t>NEM42106-PIDS-226</w:t>
                  </w:r>
                  <w:r w:rsidRPr="3B98FD0D" w:rsidR="2A0F94FF">
                    <w:rPr>
                      <w:sz w:val="20"/>
                      <w:szCs w:val="20"/>
                    </w:rPr>
                    <w:t xml:space="preserve">, </w:t>
                  </w:r>
                  <w:r w:rsidRPr="3B98FD0D" w:rsidR="2A0F94FF">
                    <w:rPr>
                      <w:sz w:val="20"/>
                      <w:szCs w:val="20"/>
                    </w:rPr>
                    <w:t>NEM42106-PIDS-041</w:t>
                  </w:r>
                  <w:r w:rsidRPr="3B98FD0D" w:rsidR="799674D9">
                    <w:rPr>
                      <w:sz w:val="20"/>
                      <w:szCs w:val="20"/>
                    </w:rPr>
                    <w:t xml:space="preserve"> </w:t>
                  </w:r>
                  <w:r w:rsidRPr="3B98FD0D" w:rsidR="799674D9">
                    <w:rPr>
                      <w:sz w:val="20"/>
                      <w:szCs w:val="20"/>
                      <w:highlight w:val="yellow"/>
                    </w:rPr>
                    <w:t>//en uygun olan tercih edilecek</w:t>
                  </w:r>
                  <w:r w:rsidRPr="3B98FD0D" w:rsidR="17E43617">
                    <w:rPr>
                      <w:sz w:val="20"/>
                      <w:szCs w:val="20"/>
                      <w:highlight w:val="yellow"/>
                    </w:rPr>
                    <w:t>,</w:t>
                  </w:r>
                  <w:r w:rsidRPr="3B98FD0D" w:rsidR="799674D9">
                    <w:rPr>
                      <w:sz w:val="20"/>
                      <w:szCs w:val="20"/>
                      <w:highlight w:val="yellow"/>
                    </w:rPr>
                    <w:t xml:space="preserve"> 1 tane gereksinim kaynağı olmalı</w:t>
                  </w:r>
                </w:p>
              </w:tc>
            </w:tr>
            <w:tr w:rsidR="00914FB6" w:rsidTr="3B98FD0D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3B98FD0D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163410" w14:paraId="1F54352D" w14:textId="5BA12654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Samet Burhan</w:t>
                  </w:r>
                </w:p>
              </w:tc>
            </w:tr>
            <w:tr w:rsidR="00914FB6" w:rsidTr="3B98FD0D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3B98FD0D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B98FD0D" w14:paraId="3C77D26E" w14:textId="77777777">
        <w:trPr>
          <w:cantSplit/>
        </w:trPr>
        <w:tc>
          <w:tcPr>
            <w:tcW w:w="9225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3B98FD0D" w14:paraId="3D2B273C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B15E62C" w14:paraId="6EB1A014" w14:textId="77777777">
              <w:tc>
                <w:tcPr>
                  <w:tcW w:w="8988" w:type="dxa"/>
                  <w:tcMar/>
                </w:tcPr>
                <w:p w:rsidR="00071AE2" w:rsidP="00F87F4D" w:rsidRDefault="006575F8" w14:paraId="5BD0A75E" w14:textId="55BC947E">
                  <w:r w:rsidR="5BEC8BF8">
                    <w:rPr/>
                    <w:t xml:space="preserve">Software </w:t>
                  </w:r>
                  <w:proofErr w:type="spellStart"/>
                  <w:r w:rsidR="5BEC8BF8">
                    <w:rPr/>
                    <w:t>shall</w:t>
                  </w:r>
                  <w:proofErr w:type="spellEnd"/>
                  <w:r w:rsidR="5BEC8BF8">
                    <w:rPr/>
                    <w:t xml:space="preserve"> </w:t>
                  </w:r>
                  <w:proofErr w:type="spellStart"/>
                  <w:r w:rsidR="5BEC8BF8">
                    <w:rPr/>
                    <w:t>perform</w:t>
                  </w:r>
                  <w:proofErr w:type="spellEnd"/>
                  <w:r w:rsidR="5BEC8BF8">
                    <w:rPr/>
                    <w:t xml:space="preserve"> </w:t>
                  </w:r>
                  <w:proofErr w:type="spellStart"/>
                  <w:r w:rsidR="5BEC8BF8">
                    <w:rPr/>
                    <w:t>cold</w:t>
                  </w:r>
                  <w:proofErr w:type="spellEnd"/>
                  <w:r w:rsidR="5BEC8BF8">
                    <w:rPr/>
                    <w:t xml:space="preserve"> </w:t>
                  </w:r>
                  <w:proofErr w:type="spellStart"/>
                  <w:r w:rsidR="5BEC8BF8">
                    <w:rPr/>
                    <w:t>junction</w:t>
                  </w:r>
                  <w:proofErr w:type="spellEnd"/>
                  <w:r w:rsidR="5BEC8BF8">
                    <w:rPr/>
                    <w:t xml:space="preserve"> </w:t>
                  </w:r>
                  <w:proofErr w:type="spellStart"/>
                  <w:r w:rsidR="5BEC8BF8">
                    <w:rPr/>
                    <w:t>compensation</w:t>
                  </w:r>
                  <w:proofErr w:type="spellEnd"/>
                  <w:r w:rsidR="5BEC8BF8">
                    <w:rPr/>
                    <w:t xml:space="preserve"> on </w:t>
                  </w:r>
                  <w:proofErr w:type="spellStart"/>
                  <w:r w:rsidR="5BEC8BF8">
                    <w:rPr/>
                    <w:t>thermal</w:t>
                  </w:r>
                  <w:proofErr w:type="spellEnd"/>
                  <w:r w:rsidR="5BEC8BF8">
                    <w:rPr/>
                    <w:t xml:space="preserve"> </w:t>
                  </w:r>
                  <w:proofErr w:type="spellStart"/>
                  <w:r w:rsidR="5BEC8BF8">
                    <w:rPr/>
                    <w:t>input</w:t>
                  </w:r>
                  <w:proofErr w:type="spellEnd"/>
                  <w:r w:rsidR="5BEC8BF8">
                    <w:rPr/>
                    <w:t xml:space="preserve"> </w:t>
                  </w:r>
                  <w:r w:rsidR="5BEC8BF8">
                    <w:rPr/>
                    <w:t>signal</w:t>
                  </w:r>
                  <w:r w:rsidR="5BEC8BF8">
                    <w:rPr/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B98FD0D" w14:paraId="2A15AB20" w14:textId="77777777">
        <w:trPr>
          <w:cantSplit/>
        </w:trPr>
        <w:tc>
          <w:tcPr>
            <w:tcW w:w="9225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3B98FD0D" w14:paraId="4E617485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163410" w14:paraId="18736372" w14:textId="47574666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B98FD0D" w14:paraId="5B861B34" w14:textId="77777777">
        <w:trPr>
          <w:cantSplit/>
        </w:trPr>
        <w:tc>
          <w:tcPr>
            <w:tcW w:w="9225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3B98FD0D" w14:paraId="0C50A4E4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9015" w:type="dxa"/>
              <w:tblLook w:val="04A0" w:firstRow="1" w:lastRow="0" w:firstColumn="1" w:lastColumn="0" w:noHBand="0" w:noVBand="1"/>
            </w:tblPr>
            <w:tblGrid>
              <w:gridCol w:w="9015"/>
            </w:tblGrid>
            <w:tr w:rsidR="00087DFA" w:rsidTr="3B98FD0D" w14:paraId="07CFC0DD" w14:textId="77777777">
              <w:tc>
                <w:tcPr>
                  <w:tcW w:w="9015" w:type="dxa"/>
                  <w:tcMar/>
                </w:tcPr>
                <w:p w:rsidR="7B15E62C" w:rsidP="3B98FD0D" w:rsidRDefault="7B15E62C" w14:paraId="2CD9889D" w14:textId="1A2DA059">
                  <w:pPr>
                    <w:pStyle w:val="paragraph"/>
                    <w:spacing w:before="0" w:beforeAutospacing="off" w:after="0" w:afterAutospacing="off"/>
                    <w:jc w:val="both"/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</w:pP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Termocouple</w:t>
                  </w:r>
                  <w:proofErr w:type="spellEnd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sinyaller</w:t>
                  </w:r>
                  <w:proofErr w:type="spellEnd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sıcaklık</w:t>
                  </w:r>
                  <w:proofErr w:type="spellEnd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farkı</w:t>
                  </w:r>
                  <w:proofErr w:type="spellEnd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bilgisini</w:t>
                  </w:r>
                  <w:proofErr w:type="spellEnd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üretir</w:t>
                  </w:r>
                  <w:proofErr w:type="spellEnd"/>
                  <w:r w:rsidRPr="3B98FD0D" w:rsidR="2D6209A5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,</w:t>
                  </w:r>
                  <w:r w:rsidRPr="3B98FD0D" w:rsidR="1E5BA904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r w:rsidRPr="3B98FD0D" w:rsidR="7ADE7BA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T1 </w:t>
                  </w:r>
                  <w:proofErr w:type="spellStart"/>
                  <w:r w:rsidRPr="3B98FD0D" w:rsidR="7ADE7BA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noktasındaki</w:t>
                  </w:r>
                  <w:proofErr w:type="spellEnd"/>
                  <w:r w:rsidRPr="3B98FD0D" w:rsidR="7ADE7BA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7ADE7BA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değeri</w:t>
                  </w:r>
                  <w:proofErr w:type="spellEnd"/>
                  <w:r w:rsidRPr="3B98FD0D" w:rsidR="7ADE7BA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bu</w:t>
                  </w:r>
                  <w:r w:rsidRPr="3B98FD0D" w:rsidR="4E0F970C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labilmek</w:t>
                  </w:r>
                  <w:proofErr w:type="spellEnd"/>
                  <w:r w:rsidRPr="3B98FD0D" w:rsidR="5ACFB32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adına</w:t>
                  </w:r>
                  <w:proofErr w:type="spellEnd"/>
                  <w:r w:rsidRPr="3B98FD0D" w:rsidR="0BB2114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388E6A83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ise</w:t>
                  </w:r>
                  <w:proofErr w:type="spellEnd"/>
                  <w:r w:rsidRPr="3B98FD0D" w:rsidR="388E6A83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Termocouple</w:t>
                  </w:r>
                  <w:proofErr w:type="spellEnd"/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ile</w:t>
                  </w:r>
                  <w:proofErr w:type="spellEnd"/>
                  <w:r w:rsidRPr="3B98FD0D" w:rsidR="0ED9AC3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CJC </w:t>
                  </w:r>
                  <w:proofErr w:type="spellStart"/>
                  <w:r w:rsidRPr="3B98FD0D" w:rsidR="42FBC76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gerçekleştirmek</w:t>
                  </w:r>
                  <w:proofErr w:type="spellEnd"/>
                  <w:r w:rsidRPr="3B98FD0D" w:rsidR="42FBC76F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gerek</w:t>
                  </w:r>
                  <w:r w:rsidRPr="3B98FD0D" w:rsidR="598CA96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mekted</w:t>
                  </w:r>
                  <w:r w:rsidRPr="3B98FD0D" w:rsidR="1F7DBA2D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ir</w:t>
                  </w:r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.</w:t>
                  </w:r>
                  <w:r w:rsidRPr="3B98FD0D" w:rsidR="10E0C366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 </w:t>
                  </w:r>
                  <w:proofErr w:type="spellStart"/>
                  <w:r w:rsidRPr="3B98FD0D" w:rsidR="27C78BD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Bilinen</w:t>
                  </w:r>
                  <w:proofErr w:type="spellEnd"/>
                  <w:r w:rsidRPr="3B98FD0D" w:rsidR="27C78BD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7C78BD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bir</w:t>
                  </w:r>
                  <w:proofErr w:type="spellEnd"/>
                  <w:r w:rsidRPr="3B98FD0D" w:rsidR="27C78BD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7C78BD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r</w:t>
                  </w:r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eferans</w:t>
                  </w:r>
                  <w:proofErr w:type="spellEnd"/>
                  <w:r w:rsidRPr="3B98FD0D" w:rsidR="22883BF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7F8A3FB6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noktasındaki</w:t>
                  </w:r>
                  <w:proofErr w:type="spellEnd"/>
                  <w:r w:rsidRPr="3B98FD0D" w:rsidR="7F8A3FB6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6F3CCD6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voltaj</w:t>
                  </w:r>
                  <w:proofErr w:type="spellEnd"/>
                  <w:r w:rsidRPr="3B98FD0D" w:rsidR="6F3CCD6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6127219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değeri</w:t>
                  </w:r>
                  <w:proofErr w:type="spellEnd"/>
                  <w:r w:rsidRPr="3B98FD0D" w:rsidR="61272198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6F3CCD6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ile</w:t>
                  </w:r>
                  <w:proofErr w:type="spellEnd"/>
                  <w:r w:rsidRPr="3B98FD0D" w:rsidR="6F3CCD6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C5CCB17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ölçüm</w:t>
                  </w:r>
                  <w:proofErr w:type="spellEnd"/>
                  <w:r w:rsidRPr="3B98FD0D" w:rsidR="0C5CCB17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0C5CCB17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yapılan</w:t>
                  </w:r>
                  <w:proofErr w:type="spellEnd"/>
                  <w:r w:rsidRPr="3B98FD0D" w:rsidR="0C5CCB17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nokta</w:t>
                  </w:r>
                  <w:r w:rsidRPr="3B98FD0D" w:rsidR="3A590A41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nın</w:t>
                  </w:r>
                  <w:proofErr w:type="spellEnd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voltaj</w:t>
                  </w:r>
                  <w:proofErr w:type="spellEnd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A44B87B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farkı</w:t>
                  </w:r>
                  <w:proofErr w:type="spellEnd"/>
                  <w:r w:rsidRPr="3B98FD0D" w:rsidR="2A44B87B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değerleri</w:t>
                  </w:r>
                  <w:proofErr w:type="spellEnd"/>
                  <w:r w:rsidRPr="3B98FD0D" w:rsidR="745F347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745F347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toplanır</w:t>
                  </w:r>
                  <w:proofErr w:type="spellEnd"/>
                  <w:r w:rsidRPr="3B98FD0D" w:rsidR="745F347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745F347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ve</w:t>
                  </w:r>
                  <w:proofErr w:type="spellEnd"/>
                  <w:r w:rsidRPr="3B98FD0D" w:rsidR="745F3479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bu</w:t>
                  </w:r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topla</w:t>
                  </w:r>
                  <w:r w:rsidRPr="3B98FD0D" w:rsidR="670C625E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m</w:t>
                  </w:r>
                  <w:r w:rsidRPr="3B98FD0D" w:rsidR="5EE147EC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lar</w:t>
                  </w:r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biz</w:t>
                  </w:r>
                  <w:r w:rsidRPr="3B98FD0D" w:rsidR="186347F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e</w:t>
                  </w:r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öl</w:t>
                  </w:r>
                  <w:r w:rsidRPr="3B98FD0D" w:rsidR="5AE3349A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ç</w:t>
                  </w:r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üm</w:t>
                  </w:r>
                  <w:proofErr w:type="spellEnd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yaptığımız</w:t>
                  </w:r>
                  <w:proofErr w:type="spellEnd"/>
                  <w:r w:rsidRPr="3B98FD0D" w:rsidR="270C7874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70C7874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noktanın</w:t>
                  </w:r>
                  <w:proofErr w:type="spellEnd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sıcaklık</w:t>
                  </w:r>
                  <w:proofErr w:type="spellEnd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değerini</w:t>
                  </w:r>
                  <w:proofErr w:type="spellEnd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 xml:space="preserve"> </w:t>
                  </w:r>
                  <w:proofErr w:type="spellStart"/>
                  <w:r w:rsidRPr="3B98FD0D" w:rsidR="2BE30E12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vermektedir</w:t>
                  </w:r>
                  <w:proofErr w:type="spellEnd"/>
                  <w:r w:rsidRPr="3B98FD0D" w:rsidR="769F46F0"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  <w:t>.</w:t>
                  </w:r>
                </w:p>
                <w:p w:rsidR="7B15E62C" w:rsidP="3B98FD0D" w:rsidRDefault="7B15E62C" w14:paraId="3908B45C" w14:textId="7D6196CD">
                  <w:pPr>
                    <w:pStyle w:val="paragraph"/>
                    <w:spacing w:before="0" w:beforeAutospacing="off" w:after="0" w:afterAutospacing="off"/>
                    <w:jc w:val="both"/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</w:pPr>
                </w:p>
                <w:p w:rsidR="7B15E62C" w:rsidP="7B15E62C" w:rsidRDefault="7B15E62C" w14:paraId="505E3DFF" w14:textId="54B908EB">
                  <w:pPr>
                    <w:pStyle w:val="paragraph"/>
                    <w:spacing w:before="0" w:beforeAutospacing="off" w:after="0" w:afterAutospacing="off"/>
                    <w:jc w:val="both"/>
                    <w:rPr>
                      <w:rStyle w:val="normaltextrun"/>
                      <w:rFonts w:ascii="Verdana Pro" w:hAnsi="Verdana Pro" w:cs="Segoe UI"/>
                      <w:color w:val="000000" w:themeColor="text1" w:themeTint="FF" w:themeShade="FF"/>
                    </w:rPr>
                  </w:pPr>
                  <w:r w:rsidR="379B3678">
                    <w:drawing>
                      <wp:inline wp14:editId="047292DE" wp14:anchorId="215BE184">
                        <wp:extent cx="5598583" cy="1726230"/>
                        <wp:effectExtent l="0" t="0" r="0" b="0"/>
                        <wp:docPr id="1650751966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5198ca7e643b4a37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8583" cy="1726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Pr="00000E57" w:rsidR="009F1EB3" w:rsidP="009F1EB3" w:rsidRDefault="009F1EB3" w14:paraId="42CE84F7" w14:textId="584441F8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Fonts w:ascii="Verdana Pro" w:hAnsi="Verdana Pro" w:cs="Segoe UI"/>
                      <w:sz w:val="18"/>
                      <w:szCs w:val="18"/>
                    </w:rPr>
                  </w:pP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B98FD0D" w14:paraId="0374899C" w14:textId="77777777">
        <w:trPr>
          <w:cantSplit/>
        </w:trPr>
        <w:tc>
          <w:tcPr>
            <w:tcW w:w="9225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3B98FD0D" w14:paraId="4B2BBD0F" w14:textId="77777777">
        <w:trPr>
          <w:cantSplit/>
        </w:trPr>
        <w:tc>
          <w:tcPr>
            <w:tcW w:w="9225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3B98FD0D" w14:paraId="33DC0793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1E95A3D3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01669455" w14:textId="7EC3DD9C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C28116C">
                  <w:r w:rsidR="361CEB06">
                    <w:rPr/>
                    <w:t>CLARITY</w:t>
                  </w:r>
                  <w:r w:rsidR="0D3C68CE">
                    <w:rPr/>
                    <w:t xml:space="preserve"> (-)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0E7B492B" w14:textId="1679AC2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1E95A3D3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32DA03D3" w14:textId="1E8688B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7792D561" w14:textId="5475E99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1E95A3D3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564179B3" w14:textId="36EF6E2B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52CE4FF7" w14:textId="3A16CF6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1E95A3D3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E1C2F" w14:paraId="4090D15E" w14:textId="484B4DA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E1C2F" w14:paraId="470492C2" w14:textId="0171C30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B98FD0D" w14:paraId="4A02680F" w14:textId="77777777">
        <w:trPr>
          <w:cantSplit/>
        </w:trPr>
        <w:tc>
          <w:tcPr>
            <w:tcW w:w="9225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3B98FD0D" w14:paraId="0D385145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1E95A3D3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E11133" w14:paraId="274EED0F" w14:textId="13B0CA10">
                  <w:r w:rsidRPr="00163410">
                    <w:t>Software</w:t>
                  </w:r>
                </w:p>
              </w:tc>
            </w:tr>
            <w:tr w:rsidR="000E4C7A" w:rsidTr="1E95A3D3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C84141" w14:paraId="013E36B7" w14:textId="0C4C1C3A">
                  <w:proofErr w:type="spellStart"/>
                  <w:r>
                    <w:t>S</w:t>
                  </w:r>
                  <w:r w:rsidRPr="00C84141">
                    <w:t>hall</w:t>
                  </w:r>
                  <w:proofErr w:type="spellEnd"/>
                  <w:r w:rsidRPr="00C84141">
                    <w:t xml:space="preserve"> </w:t>
                  </w:r>
                  <w:proofErr w:type="spellStart"/>
                  <w:r w:rsidRPr="00C84141">
                    <w:t>perform</w:t>
                  </w:r>
                  <w:proofErr w:type="spellEnd"/>
                  <w:r w:rsidRPr="00C84141">
                    <w:t xml:space="preserve"> </w:t>
                  </w:r>
                  <w:proofErr w:type="spellStart"/>
                  <w:r w:rsidRPr="00C84141">
                    <w:t>cold</w:t>
                  </w:r>
                  <w:proofErr w:type="spellEnd"/>
                  <w:r w:rsidRPr="00C84141">
                    <w:t xml:space="preserve"> </w:t>
                  </w:r>
                  <w:proofErr w:type="spellStart"/>
                  <w:r w:rsidRPr="00C84141">
                    <w:t>junction</w:t>
                  </w:r>
                  <w:proofErr w:type="spellEnd"/>
                  <w:r w:rsidRPr="00C84141">
                    <w:t xml:space="preserve"> </w:t>
                  </w:r>
                  <w:proofErr w:type="spellStart"/>
                  <w:r w:rsidRPr="00C84141">
                    <w:t>compensation</w:t>
                  </w:r>
                  <w:proofErr w:type="spellEnd"/>
                </w:p>
              </w:tc>
            </w:tr>
            <w:tr w:rsidR="000E4C7A" w:rsidTr="1E95A3D3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C84141" w14:paraId="73B15C66" w14:textId="209F2766">
                  <w:r w:rsidR="41E18515">
                    <w:rPr/>
                    <w:t xml:space="preserve">On </w:t>
                  </w:r>
                  <w:proofErr w:type="spellStart"/>
                  <w:r w:rsidR="53356175">
                    <w:rPr/>
                    <w:t>t</w:t>
                  </w:r>
                  <w:r w:rsidR="2DE5C1F4">
                    <w:rPr/>
                    <w:t>hermal</w:t>
                  </w:r>
                  <w:proofErr w:type="spellEnd"/>
                  <w:r w:rsidR="2DE5C1F4">
                    <w:rPr/>
                    <w:t xml:space="preserve"> </w:t>
                  </w:r>
                  <w:proofErr w:type="spellStart"/>
                  <w:r w:rsidR="2DE5C1F4">
                    <w:rPr/>
                    <w:t>input</w:t>
                  </w:r>
                  <w:proofErr w:type="spellEnd"/>
                  <w:r w:rsidR="2DE5C1F4">
                    <w:rPr/>
                    <w:t xml:space="preserve"> </w:t>
                  </w:r>
                  <w:proofErr w:type="spellStart"/>
                  <w:r w:rsidR="2DE5C1F4">
                    <w:rPr/>
                    <w:t>signal</w:t>
                  </w:r>
                  <w:proofErr w:type="spellEnd"/>
                </w:p>
              </w:tc>
            </w:tr>
            <w:tr w:rsidR="000E4C7A" w:rsidTr="1E95A3D3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EA5E97" w14:paraId="555674AC" w14:textId="718756D7"/>
              </w:tc>
            </w:tr>
            <w:tr w:rsidR="000E4C7A" w:rsidTr="1E95A3D3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1E95A3D3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B98FD0D" w14:paraId="43FACA68" w14:textId="77777777">
        <w:trPr>
          <w:cantSplit/>
        </w:trPr>
        <w:tc>
          <w:tcPr>
            <w:tcW w:w="9225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3B98FD0D" w14:paraId="5CBCC001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3B98FD0D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0F43EF" w14:paraId="0733D4C5" w14:textId="7FE823B8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B50563" w:rsidP="009A117A" w:rsidRDefault="00EE1C2F" w14:paraId="5F696E0C" w14:textId="7DA9166E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Style w:val="normaltextrun"/>
                      <w:rFonts w:ascii="Verdana Pro" w:hAnsi="Verdana Pro" w:cs="Segoe UI"/>
                    </w:rPr>
                  </w:pPr>
                  <w:r w:rsidRPr="00C8475E">
                    <w:rPr>
                      <w:rStyle w:val="normaltextrun"/>
                      <w:rFonts w:ascii="Verdana Pro" w:hAnsi="Verdana Pro" w:cs="Segoe UI"/>
                    </w:rPr>
                    <w:t>Bu gereksinimi doğrulayabilmek için</w:t>
                  </w:r>
                  <w:r w:rsidR="00B50563">
                    <w:rPr>
                      <w:rStyle w:val="normaltextrun"/>
                      <w:rFonts w:ascii="Verdana Pro" w:hAnsi="Verdana Pro" w:cs="Segoe UI"/>
                    </w:rPr>
                    <w:t xml:space="preserve"> laboratuvar ortamında</w:t>
                  </w:r>
                </w:p>
                <w:p w:rsidRPr="00B56F36" w:rsidR="006F12B7" w:rsidP="3B98FD0D" w:rsidRDefault="006F12B7" w14:paraId="47078022" w14:textId="1FB6FBDE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  <w:rPr>
                      <w:rFonts w:ascii="Verdana Pro" w:hAnsi="Verdana Pro"/>
                    </w:rPr>
                  </w:pPr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Mikro volt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jeneratör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kullanılarak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Referans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sıcaklığ</w:t>
                  </w:r>
                  <w:r w:rsidRPr="3B98FD0D" w:rsidR="739FD6AC">
                    <w:rPr>
                      <w:rStyle w:val="normaltextrun"/>
                      <w:rFonts w:ascii="Verdana Pro" w:hAnsi="Verdana Pro" w:cs="Segoe UI"/>
                    </w:rPr>
                    <w:t>ın</w:t>
                  </w:r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a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göre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voltaj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uygulanır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3B98FD0D" w:rsidR="38DE15D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Daha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sonra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FDU’nun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konnektör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tarafı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termometre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ile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ölçülür</w:t>
                  </w:r>
                  <w:proofErr w:type="spellEnd"/>
                  <w:r w:rsidRPr="3B98FD0D" w:rsidR="2559A450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  <w:r w:rsidRPr="3B98FD0D" w:rsidR="1FDA9F7F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FDU m</w:t>
                  </w:r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onitoring</w:t>
                  </w:r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uygulamasından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okunan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değerin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mikro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volt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jeneratöründen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verilen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749AC173">
                    <w:rPr>
                      <w:rStyle w:val="normaltextrun"/>
                      <w:rFonts w:ascii="Verdana Pro" w:hAnsi="Verdana Pro" w:cs="Segoe UI"/>
                    </w:rPr>
                    <w:t>voltaj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+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konnektör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sıcaklığına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eşit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proofErr w:type="spellStart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>olduğu</w:t>
                  </w:r>
                  <w:proofErr w:type="spellEnd"/>
                  <w:r w:rsidRPr="3B98FD0D" w:rsidR="1A60287D">
                    <w:rPr>
                      <w:rStyle w:val="normaltextrun"/>
                      <w:rFonts w:ascii="Verdana Pro" w:hAnsi="Verdana Pro" w:cs="Segoe UI"/>
                    </w:rPr>
                    <w:t xml:space="preserve"> </w:t>
                  </w:r>
                  <w:r w:rsidRPr="3B98FD0D" w:rsidR="4A419820">
                    <w:rPr>
                      <w:rStyle w:val="normaltextrun"/>
                      <w:rFonts w:ascii="Verdana Pro" w:hAnsi="Verdana Pro" w:cs="Segoe UI"/>
                    </w:rPr>
                    <w:t>gözlemlenmelidir</w:t>
                  </w:r>
                  <w:r w:rsidRPr="3B98FD0D" w:rsidR="3ADC9F05">
                    <w:rPr>
                      <w:rStyle w:val="normaltextrun"/>
                      <w:rFonts w:ascii="Verdana Pro" w:hAnsi="Verdana Pro" w:cs="Segoe UI"/>
                    </w:rPr>
                    <w:t>.</w:t>
                  </w:r>
                </w:p>
                <w:p w:rsidRPr="00B56F36" w:rsidR="006F12B7" w:rsidP="3B98FD0D" w:rsidRDefault="006F12B7" w14:paraId="6A764D00" w14:textId="0E30144F">
                  <w:pPr>
                    <w:pStyle w:val="paragraph"/>
                    <w:spacing w:before="0" w:beforeAutospacing="off" w:after="0" w:afterAutospacing="off"/>
                    <w:jc w:val="both"/>
                    <w:textAlignment w:val="baseline"/>
                    <w:rPr>
                      <w:rStyle w:val="normaltextrun"/>
                      <w:rFonts w:ascii="Verdana Pro" w:hAnsi="Verdana Pro" w:cs="Segoe UI"/>
                    </w:rPr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3B98FD0D" w14:paraId="47363743" w14:textId="77777777">
        <w:trPr>
          <w:cantSplit/>
        </w:trPr>
        <w:tc>
          <w:tcPr>
            <w:tcW w:w="9225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3B98FD0D" w14:paraId="0EB2CC50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9015" w:type="dxa"/>
              <w:tblLook w:val="04A0" w:firstRow="1" w:lastRow="0" w:firstColumn="1" w:lastColumn="0" w:noHBand="0" w:noVBand="1"/>
            </w:tblPr>
            <w:tblGrid>
              <w:gridCol w:w="9015"/>
            </w:tblGrid>
            <w:tr w:rsidR="00334478" w:rsidTr="3B98FD0D" w14:paraId="4F0474EE" w14:textId="77777777">
              <w:tc>
                <w:tcPr>
                  <w:tcW w:w="9015" w:type="dxa"/>
                  <w:tcMar/>
                </w:tcPr>
                <w:p w:rsidR="00226C60" w:rsidP="7B15E62C" w:rsidRDefault="00D10378" w14:paraId="011027E6" w14:textId="225724C3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44FDC82F">
                    <w:drawing>
                      <wp:inline wp14:editId="53A96129" wp14:anchorId="7886161B">
                        <wp:extent cx="4572000" cy="2152650"/>
                        <wp:effectExtent l="0" t="0" r="0" b="0"/>
                        <wp:docPr id="120992255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04d109f4a54c46c9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215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26C60" w:rsidP="7B15E62C" w:rsidRDefault="00D10378" w14:paraId="4F6F6098" w14:textId="71A8656B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14CC773A">
                    <w:rPr/>
                    <w:t>Ölçüm yapılan sıcaklık noktasındaki T1 değerini elde e</w:t>
                  </w:r>
                  <w:r w:rsidR="0D62A8F3">
                    <w:rPr/>
                    <w:t>d</w:t>
                  </w:r>
                  <w:r w:rsidR="14CC773A">
                    <w:rPr/>
                    <w:t>ebilmek adına</w:t>
                  </w:r>
                  <w:r w:rsidR="681CF61E">
                    <w:rPr/>
                    <w:t xml:space="preserve"> </w:t>
                  </w:r>
                  <w:r w:rsidR="14CC773A">
                    <w:rPr/>
                    <w:t>CJC uygulamamız gerekmekte ve bunun için bi</w:t>
                  </w:r>
                  <w:r w:rsidR="451EC75E">
                    <w:rPr/>
                    <w:t>r</w:t>
                  </w:r>
                  <w:r w:rsidR="14CC773A">
                    <w:rPr/>
                    <w:t>takım aşamalar gerçekleştirilmelidir.</w:t>
                  </w:r>
                  <w:r w:rsidR="17C2F4D8">
                    <w:rPr/>
                    <w:t xml:space="preserve"> </w:t>
                  </w:r>
                  <w:r w:rsidR="67D449E6">
                    <w:rPr/>
                    <w:t>Sıcaklık sensörümüz vasıtasıyla referans sıcaklık noktasından T0 sıcaklık değeri okun</w:t>
                  </w:r>
                  <w:r w:rsidR="6545CE8A">
                    <w:rPr/>
                    <w:t>ur ve</w:t>
                  </w:r>
                  <w:r w:rsidR="67D449E6">
                    <w:rPr/>
                    <w:t xml:space="preserve"> </w:t>
                  </w:r>
                  <w:r w:rsidR="61D0A8AC">
                    <w:rPr/>
                    <w:t xml:space="preserve">bu değere karşılık gelen gerilim değeri </w:t>
                  </w:r>
                  <w:r w:rsidR="14A12C19">
                    <w:rPr/>
                    <w:t>hesaplan</w:t>
                  </w:r>
                  <w:r w:rsidR="346CC1CF">
                    <w:rPr/>
                    <w:t>ır.</w:t>
                  </w:r>
                  <w:r w:rsidR="12D8F2FD">
                    <w:rPr/>
                    <w:t xml:space="preserve"> </w:t>
                  </w:r>
                  <w:r w:rsidR="62882547">
                    <w:rPr/>
                    <w:t xml:space="preserve">ADC </w:t>
                  </w:r>
                  <w:r w:rsidR="61D0A8AC">
                    <w:rPr/>
                    <w:t>den okunan</w:t>
                  </w:r>
                  <w:r w:rsidR="06E397FA">
                    <w:rPr/>
                    <w:t xml:space="preserve"> sıcaklık farkı değerine </w:t>
                  </w:r>
                  <w:r w:rsidR="4320F657">
                    <w:rPr/>
                    <w:t xml:space="preserve">T0 sıcaklığına karşı gelen gerilim değeri </w:t>
                  </w:r>
                  <w:r w:rsidR="06E397FA">
                    <w:rPr/>
                    <w:t>eklenerek</w:t>
                  </w:r>
                  <w:r w:rsidR="61D0A8AC">
                    <w:rPr/>
                    <w:t xml:space="preserve"> </w:t>
                  </w:r>
                  <w:r w:rsidR="61D0A8AC">
                    <w:rPr/>
                    <w:t xml:space="preserve">total </w:t>
                  </w:r>
                  <w:r w:rsidR="7CEE8022">
                    <w:rPr/>
                    <w:t xml:space="preserve">gerilim değeri elde edilir. </w:t>
                  </w:r>
                  <w:proofErr w:type="spellStart"/>
                  <w:r w:rsidR="7CEE8022">
                    <w:rPr/>
                    <w:t>Vm</w:t>
                  </w:r>
                  <w:proofErr w:type="spellEnd"/>
                  <w:r w:rsidR="7CEE8022">
                    <w:rPr/>
                    <w:t xml:space="preserve"> = </w:t>
                  </w:r>
                  <w:proofErr w:type="spellStart"/>
                  <w:r w:rsidR="7CEE8022">
                    <w:rPr/>
                    <w:t>Vtc</w:t>
                  </w:r>
                  <w:proofErr w:type="spellEnd"/>
                  <w:r w:rsidR="7CEE8022">
                    <w:rPr/>
                    <w:t xml:space="preserve"> + </w:t>
                  </w:r>
                  <w:proofErr w:type="spellStart"/>
                  <w:r w:rsidR="7CEE8022">
                    <w:rPr/>
                    <w:t>Vcj</w:t>
                  </w:r>
                  <w:proofErr w:type="spellEnd"/>
                  <w:r w:rsidR="7CEE8022">
                    <w:rPr/>
                    <w:t xml:space="preserve"> formülü vasıtasıyla </w:t>
                  </w:r>
                  <w:proofErr w:type="spellStart"/>
                  <w:r w:rsidR="7CEE8022">
                    <w:rPr/>
                    <w:t>Vtc</w:t>
                  </w:r>
                  <w:proofErr w:type="spellEnd"/>
                  <w:r w:rsidR="7CEE8022">
                    <w:rPr/>
                    <w:t xml:space="preserve"> noktasındaki sıcaklık farkını</w:t>
                  </w:r>
                  <w:r w:rsidR="09A8B0D1">
                    <w:rPr/>
                    <w:t>;</w:t>
                  </w:r>
                  <w:r w:rsidR="7CEE8022">
                    <w:rPr/>
                    <w:t xml:space="preserve"> </w:t>
                  </w:r>
                  <w:r w:rsidR="1C30A9DC">
                    <w:rPr/>
                    <w:t xml:space="preserve">ADC </w:t>
                  </w:r>
                  <w:r w:rsidR="47EFC73D">
                    <w:rPr/>
                    <w:t>den okuduğumuz değer</w:t>
                  </w:r>
                  <w:r w:rsidR="3B4CF1FC">
                    <w:rPr/>
                    <w:t>den</w:t>
                  </w:r>
                  <w:r w:rsidR="47EFC73D">
                    <w:rPr/>
                    <w:t xml:space="preserve"> referans ger</w:t>
                  </w:r>
                  <w:r w:rsidR="5D6A820F">
                    <w:rPr/>
                    <w:t>i</w:t>
                  </w:r>
                  <w:r w:rsidR="47EFC73D">
                    <w:rPr/>
                    <w:t>lim değerimiz</w:t>
                  </w:r>
                  <w:r w:rsidR="79E2CC35">
                    <w:rPr/>
                    <w:t>i çıkararak</w:t>
                  </w:r>
                  <w:r w:rsidR="6B2136DD">
                    <w:rPr/>
                    <w:t xml:space="preserve"> elde ede</w:t>
                  </w:r>
                  <w:r w:rsidR="23CF449C">
                    <w:rPr/>
                    <w:t>r</w:t>
                  </w:r>
                  <w:r w:rsidR="6B2136DD">
                    <w:rPr/>
                    <w:t>iz.</w:t>
                  </w:r>
                  <w:r w:rsidR="45652400">
                    <w:rPr/>
                    <w:t xml:space="preserve"> </w:t>
                  </w:r>
                  <w:r w:rsidR="6BA94F1B">
                    <w:rPr/>
                    <w:t xml:space="preserve">Sonuç olarak </w:t>
                  </w:r>
                  <w:proofErr w:type="spellStart"/>
                  <w:r w:rsidR="6BA94F1B">
                    <w:rPr/>
                    <w:t>Vtc</w:t>
                  </w:r>
                  <w:proofErr w:type="spellEnd"/>
                  <w:r w:rsidR="6BA94F1B">
                    <w:rPr/>
                    <w:t xml:space="preserve"> değeri</w:t>
                  </w:r>
                  <w:r w:rsidR="6BA94F1B">
                    <w:rPr/>
                    <w:t xml:space="preserve"> </w:t>
                  </w:r>
                  <w:r w:rsidR="534F8B48">
                    <w:rPr/>
                    <w:t xml:space="preserve">“ITS-90 </w:t>
                  </w:r>
                  <w:proofErr w:type="spellStart"/>
                  <w:r w:rsidR="534F8B48">
                    <w:rPr/>
                    <w:t>Table</w:t>
                  </w:r>
                  <w:proofErr w:type="spellEnd"/>
                  <w:r w:rsidR="534F8B48">
                    <w:rPr/>
                    <w:t xml:space="preserve"> </w:t>
                  </w:r>
                  <w:proofErr w:type="spellStart"/>
                  <w:r w:rsidR="534F8B48">
                    <w:rPr/>
                    <w:t>for</w:t>
                  </w:r>
                  <w:proofErr w:type="spellEnd"/>
                  <w:r w:rsidR="534F8B48">
                    <w:rPr/>
                    <w:t xml:space="preserve"> </w:t>
                  </w:r>
                  <w:proofErr w:type="spellStart"/>
                  <w:r w:rsidR="534F8B48">
                    <w:rPr/>
                    <w:t>type</w:t>
                  </w:r>
                  <w:proofErr w:type="spellEnd"/>
                  <w:r w:rsidR="534F8B48">
                    <w:rPr/>
                    <w:t xml:space="preserve"> K </w:t>
                  </w:r>
                  <w:proofErr w:type="spellStart"/>
                  <w:r w:rsidR="534F8B48">
                    <w:rPr/>
                    <w:t>thermocouple</w:t>
                  </w:r>
                  <w:proofErr w:type="spellEnd"/>
                  <w:r w:rsidR="534F8B48">
                    <w:rPr/>
                    <w:t xml:space="preserve">” </w:t>
                  </w:r>
                  <w:r w:rsidR="6BA94F1B">
                    <w:rPr/>
                    <w:t>tablosunda</w:t>
                  </w:r>
                  <w:r w:rsidR="6BA94F1B">
                    <w:rPr/>
                    <w:t xml:space="preserve"> karşılık gelen sıcaklık değer aralığında</w:t>
                  </w:r>
                  <w:r w:rsidR="58ED4EF4">
                    <w:rPr/>
                    <w:t xml:space="preserve"> olur</w:t>
                  </w:r>
                  <w:r w:rsidR="6BA94F1B">
                    <w:rPr/>
                    <w:t>.</w:t>
                  </w:r>
                </w:p>
                <w:p w:rsidR="00226C60" w:rsidP="7B15E62C" w:rsidRDefault="00D10378" w14:paraId="5FEDB366" w14:textId="3968809D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7CEDBF0C">
                    <w:rPr/>
                    <w:t xml:space="preserve">Bu aşamalarda </w:t>
                  </w:r>
                  <w:proofErr w:type="spellStart"/>
                  <w:r w:rsidR="7CEDBF0C">
                    <w:rPr/>
                    <w:t>Tm</w:t>
                  </w:r>
                  <w:proofErr w:type="spellEnd"/>
                  <w:r w:rsidR="7CEDBF0C">
                    <w:rPr/>
                    <w:t xml:space="preserve"> sıcaklık değeri </w:t>
                  </w:r>
                  <w:proofErr w:type="spellStart"/>
                  <w:r w:rsidR="7CEDBF0C">
                    <w:rPr/>
                    <w:t>tamamiyle</w:t>
                  </w:r>
                  <w:proofErr w:type="spellEnd"/>
                  <w:r w:rsidR="7CEDBF0C">
                    <w:rPr/>
                    <w:t xml:space="preserve"> sistemden bağımsızdır.</w:t>
                  </w:r>
                  <w:r w:rsidR="0B6D1C09">
                    <w:rPr/>
                    <w:t xml:space="preserve"> T0 ile </w:t>
                  </w:r>
                  <w:proofErr w:type="spellStart"/>
                  <w:r w:rsidR="0B6D1C09">
                    <w:rPr/>
                    <w:t>Tm</w:t>
                  </w:r>
                  <w:proofErr w:type="spellEnd"/>
                  <w:r w:rsidR="0B6D1C09">
                    <w:rPr/>
                    <w:t xml:space="preserve"> sıcaklık değerleri aynı olmak zorunda değildir.</w:t>
                  </w:r>
                </w:p>
                <w:p w:rsidR="00226C60" w:rsidP="7B15E62C" w:rsidRDefault="00D10378" w14:paraId="05F2CF39" w14:textId="2919D6F6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</w:pPr>
                  <w:r w:rsidR="70814511">
                    <w:rPr/>
                    <w:t>C</w:t>
                  </w:r>
                  <w:r w:rsidR="65B93933">
                    <w:rPr/>
                    <w:t>learity</w:t>
                  </w:r>
                  <w:r w:rsidR="65B93933">
                    <w:rPr/>
                    <w:t xml:space="preserve">: </w:t>
                  </w:r>
                  <w:proofErr w:type="spellStart"/>
                  <w:r w:rsidR="65B93933">
                    <w:rPr/>
                    <w:t>cold</w:t>
                  </w:r>
                  <w:proofErr w:type="spellEnd"/>
                  <w:r w:rsidR="65B93933">
                    <w:rPr/>
                    <w:t xml:space="preserve"> </w:t>
                  </w:r>
                  <w:proofErr w:type="spellStart"/>
                  <w:r w:rsidR="65B93933">
                    <w:rPr/>
                    <w:t>junction</w:t>
                  </w:r>
                  <w:proofErr w:type="spellEnd"/>
                  <w:r w:rsidR="65B93933">
                    <w:rPr/>
                    <w:t xml:space="preserve"> </w:t>
                  </w:r>
                  <w:proofErr w:type="spellStart"/>
                  <w:r w:rsidR="65B93933">
                    <w:rPr/>
                    <w:t>compensation</w:t>
                  </w:r>
                  <w:proofErr w:type="spellEnd"/>
                  <w:r w:rsidR="66586CF8">
                    <w:rPr/>
                    <w:t xml:space="preserve"> </w:t>
                  </w:r>
                  <w:r w:rsidR="2EE8654B">
                    <w:rPr/>
                    <w:t xml:space="preserve">durumunun </w:t>
                  </w:r>
                  <w:r w:rsidR="66586CF8">
                    <w:rPr/>
                    <w:t>ne olduğu açıklanmamıştır. Gereksinim bu sebeple anlaşılır değildir.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B98FD0D" w14:paraId="5D4B8F63" w14:textId="77777777">
        <w:trPr>
          <w:cantSplit/>
        </w:trPr>
        <w:tc>
          <w:tcPr>
            <w:tcW w:w="9225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3B98FD0D" w14:paraId="7AD0602F" w14:textId="77777777">
        <w:trPr>
          <w:cantSplit/>
        </w:trPr>
        <w:tc>
          <w:tcPr>
            <w:tcW w:w="9225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5A43B7" w14:paraId="36C8BCE1" w14:textId="730F7DB6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B98FD0D" w14:paraId="4DB0E93B" w14:textId="77777777">
        <w:trPr>
          <w:cantSplit/>
        </w:trPr>
        <w:tc>
          <w:tcPr>
            <w:tcW w:w="9225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3B98FD0D" w14:paraId="1F389570" w14:textId="77777777">
        <w:trPr>
          <w:cantSplit/>
        </w:trPr>
        <w:tc>
          <w:tcPr>
            <w:tcW w:w="9225" w:type="dxa"/>
            <w:tcMar/>
          </w:tcPr>
          <w:p w:rsidRPr="0085476D" w:rsidR="00FE6062" w:rsidP="3B98FD0D" w:rsidRDefault="009D6EEC" w14:textId="0FF2EAFB" w14:paraId="7A2A2C4A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eop"/>
                <w:rFonts w:ascii="Verdana Pro" w:hAnsi="Verdana Pro" w:cs="Calibri"/>
                <w:color w:val="000000" w:themeColor="text1" w:themeTint="FF" w:themeShade="FF"/>
              </w:rPr>
            </w:pPr>
            <w:r w:rsidRPr="00961F2A" w:rsidR="55FB966E">
              <w:rPr>
                <w:rFonts w:ascii="Verdana Pro" w:hAnsi="Verdana Pro"/>
              </w:rPr>
              <w:t>HJT-2600-SOW-4389</w:t>
            </w:r>
            <w:r w:rsidRPr="00961F2A" w:rsidR="55FB966E">
              <w:rPr>
                <w:rStyle w:val="eop"/>
                <w:rFonts w:ascii="Verdana Pro" w:hAnsi="Verdana Pro" w:cs="Calibri"/>
                <w:color w:val="000000"/>
                <w:shd w:val="clear" w:color="auto" w:fill="FFFFFF"/>
              </w:rPr>
              <w:t> </w:t>
            </w:r>
          </w:p>
          <w:p w:rsidRPr="0085476D" w:rsidR="00FE6062" w:rsidP="3B98FD0D" w:rsidRDefault="009D6EEC" w14:paraId="16F063FD" w14:textId="681BF491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jc w:val="both"/>
              <w:textAlignment w:val="baseline"/>
              <w:rPr>
                <w:rStyle w:val="eop"/>
                <w:rFonts w:ascii="Verdana Pro" w:hAnsi="Verdana Pro" w:cs="Calibri"/>
                <w:color w:val="000000" w:themeColor="text1" w:themeTint="FF" w:themeShade="FF"/>
              </w:rPr>
            </w:pPr>
            <w:r w:rsidRPr="3B98FD0D" w:rsidR="39B209E3">
              <w:rPr>
                <w:rStyle w:val="eop"/>
                <w:rFonts w:ascii="Verdana Pro" w:hAnsi="Verdana Pro" w:cs="Calibri"/>
                <w:color w:val="000000" w:themeColor="text1" w:themeTint="FF" w:themeShade="FF"/>
              </w:rPr>
              <w:t>ITS-90 Table for type K thermocouple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4E2B" w:rsidP="00762C31" w:rsidRDefault="00FA4E2B" w14:paraId="17C27EAF" w14:textId="77777777">
      <w:r>
        <w:separator/>
      </w:r>
    </w:p>
  </w:endnote>
  <w:endnote w:type="continuationSeparator" w:id="0">
    <w:p w:rsidR="00FA4E2B" w:rsidP="00762C31" w:rsidRDefault="00FA4E2B" w14:paraId="04155D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2B2AFC0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D2FE073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797E2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DAEAB74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4E2B" w:rsidP="00762C31" w:rsidRDefault="00FA4E2B" w14:paraId="7B3A199E" w14:textId="77777777">
      <w:r>
        <w:separator/>
      </w:r>
    </w:p>
  </w:footnote>
  <w:footnote w:type="continuationSeparator" w:id="0">
    <w:p w:rsidR="00FA4E2B" w:rsidP="00762C31" w:rsidRDefault="00FA4E2B" w14:paraId="333D767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274736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15D1A1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939DD57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0A69E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66"/>
    <w:multiLevelType w:val="multilevel"/>
    <w:tmpl w:val="2F263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44369"/>
    <w:multiLevelType w:val="multilevel"/>
    <w:tmpl w:val="B184B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6A716E6"/>
    <w:multiLevelType w:val="multilevel"/>
    <w:tmpl w:val="561850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E44EE"/>
    <w:multiLevelType w:val="hybridMultilevel"/>
    <w:tmpl w:val="1E88ADD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9B108C"/>
    <w:multiLevelType w:val="hybridMultilevel"/>
    <w:tmpl w:val="DBB67A62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4F63FB8"/>
    <w:multiLevelType w:val="multilevel"/>
    <w:tmpl w:val="4E4C4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853100">
    <w:abstractNumId w:val="4"/>
  </w:num>
  <w:num w:numId="2" w16cid:durableId="943461534">
    <w:abstractNumId w:val="4"/>
  </w:num>
  <w:num w:numId="3" w16cid:durableId="1838761055">
    <w:abstractNumId w:val="4"/>
  </w:num>
  <w:num w:numId="4" w16cid:durableId="1773235568">
    <w:abstractNumId w:val="4"/>
  </w:num>
  <w:num w:numId="5" w16cid:durableId="1284919835">
    <w:abstractNumId w:val="4"/>
  </w:num>
  <w:num w:numId="6" w16cid:durableId="959872678">
    <w:abstractNumId w:val="4"/>
  </w:num>
  <w:num w:numId="7" w16cid:durableId="214975549">
    <w:abstractNumId w:val="4"/>
  </w:num>
  <w:num w:numId="8" w16cid:durableId="17093300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4"/>
  </w:num>
  <w:num w:numId="10" w16cid:durableId="766198978">
    <w:abstractNumId w:val="6"/>
  </w:num>
  <w:num w:numId="11" w16cid:durableId="1981809667">
    <w:abstractNumId w:val="6"/>
  </w:num>
  <w:num w:numId="12" w16cid:durableId="1017779297">
    <w:abstractNumId w:val="6"/>
  </w:num>
  <w:num w:numId="13" w16cid:durableId="1366443084">
    <w:abstractNumId w:val="6"/>
  </w:num>
  <w:num w:numId="14" w16cid:durableId="1004746167">
    <w:abstractNumId w:val="6"/>
  </w:num>
  <w:num w:numId="15" w16cid:durableId="324623918">
    <w:abstractNumId w:val="6"/>
  </w:num>
  <w:num w:numId="16" w16cid:durableId="1666591352">
    <w:abstractNumId w:val="6"/>
  </w:num>
  <w:num w:numId="17" w16cid:durableId="1027099952">
    <w:abstractNumId w:val="6"/>
  </w:num>
  <w:num w:numId="18" w16cid:durableId="903217528">
    <w:abstractNumId w:val="6"/>
  </w:num>
  <w:num w:numId="19" w16cid:durableId="1283926311">
    <w:abstractNumId w:val="6"/>
  </w:num>
  <w:num w:numId="20" w16cid:durableId="51465050">
    <w:abstractNumId w:val="6"/>
  </w:num>
  <w:num w:numId="21" w16cid:durableId="1616404406">
    <w:abstractNumId w:val="6"/>
  </w:num>
  <w:num w:numId="22" w16cid:durableId="760759183">
    <w:abstractNumId w:val="2"/>
  </w:num>
  <w:num w:numId="23" w16cid:durableId="650598816">
    <w:abstractNumId w:val="0"/>
  </w:num>
  <w:num w:numId="24" w16cid:durableId="1835758470">
    <w:abstractNumId w:val="5"/>
  </w:num>
  <w:num w:numId="25" w16cid:durableId="545532511">
    <w:abstractNumId w:val="8"/>
  </w:num>
  <w:num w:numId="26" w16cid:durableId="1411808942">
    <w:abstractNumId w:val="11"/>
  </w:num>
  <w:num w:numId="27" w16cid:durableId="779255543">
    <w:abstractNumId w:val="3"/>
  </w:num>
  <w:num w:numId="28" w16cid:durableId="547646084">
    <w:abstractNumId w:val="7"/>
  </w:num>
  <w:num w:numId="29" w16cid:durableId="242689928">
    <w:abstractNumId w:val="1"/>
  </w:num>
  <w:num w:numId="30" w16cid:durableId="1303002284">
    <w:abstractNumId w:val="9"/>
  </w:num>
  <w:num w:numId="31" w16cid:durableId="69889480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0E57"/>
    <w:rsid w:val="00001D98"/>
    <w:rsid w:val="00002B8D"/>
    <w:rsid w:val="0000488B"/>
    <w:rsid w:val="00005057"/>
    <w:rsid w:val="000050A7"/>
    <w:rsid w:val="00011CBA"/>
    <w:rsid w:val="00013CA0"/>
    <w:rsid w:val="00014887"/>
    <w:rsid w:val="00015CD9"/>
    <w:rsid w:val="00022544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1AE2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3EF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362"/>
    <w:rsid w:val="00162C5C"/>
    <w:rsid w:val="00163410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516"/>
    <w:rsid w:val="00197D7D"/>
    <w:rsid w:val="001A3FEA"/>
    <w:rsid w:val="001A76CE"/>
    <w:rsid w:val="001B1A1B"/>
    <w:rsid w:val="001B7E07"/>
    <w:rsid w:val="001C0602"/>
    <w:rsid w:val="001C246E"/>
    <w:rsid w:val="001C43A1"/>
    <w:rsid w:val="001C642C"/>
    <w:rsid w:val="001C6E86"/>
    <w:rsid w:val="001D0586"/>
    <w:rsid w:val="001D5383"/>
    <w:rsid w:val="001D5E2F"/>
    <w:rsid w:val="001E1519"/>
    <w:rsid w:val="001E4115"/>
    <w:rsid w:val="001E5E62"/>
    <w:rsid w:val="001F15C2"/>
    <w:rsid w:val="001F744C"/>
    <w:rsid w:val="0020305A"/>
    <w:rsid w:val="00204967"/>
    <w:rsid w:val="00206B0D"/>
    <w:rsid w:val="00210738"/>
    <w:rsid w:val="00215C2D"/>
    <w:rsid w:val="00223448"/>
    <w:rsid w:val="00223804"/>
    <w:rsid w:val="002239DB"/>
    <w:rsid w:val="00226ADB"/>
    <w:rsid w:val="00226C60"/>
    <w:rsid w:val="00246958"/>
    <w:rsid w:val="0024718F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35A94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0AAB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3917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24DAE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43B7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575F8"/>
    <w:rsid w:val="00663B79"/>
    <w:rsid w:val="00670EE0"/>
    <w:rsid w:val="0067425F"/>
    <w:rsid w:val="00674712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62C1"/>
    <w:rsid w:val="00706945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013"/>
    <w:rsid w:val="007A745C"/>
    <w:rsid w:val="007B73B4"/>
    <w:rsid w:val="007C4871"/>
    <w:rsid w:val="007D162B"/>
    <w:rsid w:val="007D2184"/>
    <w:rsid w:val="00802167"/>
    <w:rsid w:val="00804047"/>
    <w:rsid w:val="00804A1C"/>
    <w:rsid w:val="00804C6E"/>
    <w:rsid w:val="00807C9B"/>
    <w:rsid w:val="008164F8"/>
    <w:rsid w:val="00822550"/>
    <w:rsid w:val="008365B1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87875"/>
    <w:rsid w:val="00890598"/>
    <w:rsid w:val="0089154A"/>
    <w:rsid w:val="00895815"/>
    <w:rsid w:val="008A164F"/>
    <w:rsid w:val="008A2569"/>
    <w:rsid w:val="008A72FA"/>
    <w:rsid w:val="008B079D"/>
    <w:rsid w:val="008B7656"/>
    <w:rsid w:val="008E019E"/>
    <w:rsid w:val="008F38D2"/>
    <w:rsid w:val="008F3912"/>
    <w:rsid w:val="008F5305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1F2A"/>
    <w:rsid w:val="00964F0A"/>
    <w:rsid w:val="0097494A"/>
    <w:rsid w:val="009949D9"/>
    <w:rsid w:val="00994F25"/>
    <w:rsid w:val="009A117A"/>
    <w:rsid w:val="009A60AB"/>
    <w:rsid w:val="009B6706"/>
    <w:rsid w:val="009B772A"/>
    <w:rsid w:val="009D1BBA"/>
    <w:rsid w:val="009D2376"/>
    <w:rsid w:val="009D2A00"/>
    <w:rsid w:val="009D43B1"/>
    <w:rsid w:val="009D6EEC"/>
    <w:rsid w:val="009E11C2"/>
    <w:rsid w:val="009E1A85"/>
    <w:rsid w:val="009E2C10"/>
    <w:rsid w:val="009F06B2"/>
    <w:rsid w:val="009F1EB3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54776"/>
    <w:rsid w:val="00A7177F"/>
    <w:rsid w:val="00A8252D"/>
    <w:rsid w:val="00A86742"/>
    <w:rsid w:val="00A86F86"/>
    <w:rsid w:val="00A87B2F"/>
    <w:rsid w:val="00A9006A"/>
    <w:rsid w:val="00A96600"/>
    <w:rsid w:val="00A96D52"/>
    <w:rsid w:val="00A97EC7"/>
    <w:rsid w:val="00A97F56"/>
    <w:rsid w:val="00AA150E"/>
    <w:rsid w:val="00AA197A"/>
    <w:rsid w:val="00AA75E1"/>
    <w:rsid w:val="00AD0CF0"/>
    <w:rsid w:val="00AD59EE"/>
    <w:rsid w:val="00AE31AB"/>
    <w:rsid w:val="00AE6252"/>
    <w:rsid w:val="00AF376B"/>
    <w:rsid w:val="00B018B4"/>
    <w:rsid w:val="00B11A5D"/>
    <w:rsid w:val="00B12560"/>
    <w:rsid w:val="00B163C7"/>
    <w:rsid w:val="00B34523"/>
    <w:rsid w:val="00B351A6"/>
    <w:rsid w:val="00B44765"/>
    <w:rsid w:val="00B457B7"/>
    <w:rsid w:val="00B47E7E"/>
    <w:rsid w:val="00B50563"/>
    <w:rsid w:val="00B53CD1"/>
    <w:rsid w:val="00B56402"/>
    <w:rsid w:val="00B56F36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1F39"/>
    <w:rsid w:val="00C46872"/>
    <w:rsid w:val="00C55B44"/>
    <w:rsid w:val="00C5653C"/>
    <w:rsid w:val="00C663A4"/>
    <w:rsid w:val="00C741E4"/>
    <w:rsid w:val="00C76603"/>
    <w:rsid w:val="00C8099B"/>
    <w:rsid w:val="00C84141"/>
    <w:rsid w:val="00C8475E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D4536"/>
    <w:rsid w:val="00CE0984"/>
    <w:rsid w:val="00CE0B9B"/>
    <w:rsid w:val="00CE1833"/>
    <w:rsid w:val="00CE3A37"/>
    <w:rsid w:val="00CF3003"/>
    <w:rsid w:val="00CF34BE"/>
    <w:rsid w:val="00CF6687"/>
    <w:rsid w:val="00CF74AC"/>
    <w:rsid w:val="00D010DB"/>
    <w:rsid w:val="00D10378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70C3B"/>
    <w:rsid w:val="00D82B4C"/>
    <w:rsid w:val="00D87FB5"/>
    <w:rsid w:val="00DA00BA"/>
    <w:rsid w:val="00DA0F87"/>
    <w:rsid w:val="00DA28BE"/>
    <w:rsid w:val="00DA62FD"/>
    <w:rsid w:val="00DB1E54"/>
    <w:rsid w:val="00DB3B23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11133"/>
    <w:rsid w:val="00E1749A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A5E97"/>
    <w:rsid w:val="00EC4560"/>
    <w:rsid w:val="00ED2FFB"/>
    <w:rsid w:val="00EE1C2F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4E2B"/>
    <w:rsid w:val="00FA7A8F"/>
    <w:rsid w:val="00FC5C41"/>
    <w:rsid w:val="00FD25CF"/>
    <w:rsid w:val="00FE2895"/>
    <w:rsid w:val="00FE5290"/>
    <w:rsid w:val="00FE6062"/>
    <w:rsid w:val="00FF2BFC"/>
    <w:rsid w:val="00FF65E1"/>
    <w:rsid w:val="04526777"/>
    <w:rsid w:val="0588E86E"/>
    <w:rsid w:val="06E397FA"/>
    <w:rsid w:val="07EE878D"/>
    <w:rsid w:val="08A6B538"/>
    <w:rsid w:val="094B36D1"/>
    <w:rsid w:val="09A8B0D1"/>
    <w:rsid w:val="0B6D1C09"/>
    <w:rsid w:val="0BB21149"/>
    <w:rsid w:val="0BC2A97A"/>
    <w:rsid w:val="0BD2E832"/>
    <w:rsid w:val="0C5CCB17"/>
    <w:rsid w:val="0CC1F8B0"/>
    <w:rsid w:val="0D0FB46E"/>
    <w:rsid w:val="0D3C68CE"/>
    <w:rsid w:val="0D62A8F3"/>
    <w:rsid w:val="0E45E3FA"/>
    <w:rsid w:val="0E7F6D21"/>
    <w:rsid w:val="0ED9AC3F"/>
    <w:rsid w:val="10E0C366"/>
    <w:rsid w:val="12748508"/>
    <w:rsid w:val="128CEDB4"/>
    <w:rsid w:val="12D8F2FD"/>
    <w:rsid w:val="14A12C19"/>
    <w:rsid w:val="14CC773A"/>
    <w:rsid w:val="15945E76"/>
    <w:rsid w:val="15DDF7D4"/>
    <w:rsid w:val="1643730D"/>
    <w:rsid w:val="17302ED7"/>
    <w:rsid w:val="1797A2D1"/>
    <w:rsid w:val="17BC55C4"/>
    <w:rsid w:val="17C2F4D8"/>
    <w:rsid w:val="17E43617"/>
    <w:rsid w:val="18095DCC"/>
    <w:rsid w:val="186347FA"/>
    <w:rsid w:val="1A60287D"/>
    <w:rsid w:val="1A67CF99"/>
    <w:rsid w:val="1A91712A"/>
    <w:rsid w:val="1ABE045C"/>
    <w:rsid w:val="1B30BFD6"/>
    <w:rsid w:val="1C30A9DC"/>
    <w:rsid w:val="1D273F59"/>
    <w:rsid w:val="1D546FAC"/>
    <w:rsid w:val="1D9F705B"/>
    <w:rsid w:val="1E5BA904"/>
    <w:rsid w:val="1E95A3D3"/>
    <w:rsid w:val="1F7DBA2D"/>
    <w:rsid w:val="1FDA9F7F"/>
    <w:rsid w:val="20032947"/>
    <w:rsid w:val="207BD0DE"/>
    <w:rsid w:val="2195EA03"/>
    <w:rsid w:val="224EF49C"/>
    <w:rsid w:val="22603B06"/>
    <w:rsid w:val="22883BF8"/>
    <w:rsid w:val="2322A95E"/>
    <w:rsid w:val="239680DD"/>
    <w:rsid w:val="23CF449C"/>
    <w:rsid w:val="23EBCCAF"/>
    <w:rsid w:val="2559A450"/>
    <w:rsid w:val="2576193D"/>
    <w:rsid w:val="270C7874"/>
    <w:rsid w:val="27662DBE"/>
    <w:rsid w:val="27887196"/>
    <w:rsid w:val="27C78BD1"/>
    <w:rsid w:val="280E3B2C"/>
    <w:rsid w:val="28511D37"/>
    <w:rsid w:val="2A0F94FF"/>
    <w:rsid w:val="2A44B87B"/>
    <w:rsid w:val="2BE30E12"/>
    <w:rsid w:val="2D6209A5"/>
    <w:rsid w:val="2D91A743"/>
    <w:rsid w:val="2DBD81AB"/>
    <w:rsid w:val="2DE5C1F4"/>
    <w:rsid w:val="2EE8654B"/>
    <w:rsid w:val="2F8F22C5"/>
    <w:rsid w:val="31162B7F"/>
    <w:rsid w:val="346CC1CF"/>
    <w:rsid w:val="34873F3D"/>
    <w:rsid w:val="35286517"/>
    <w:rsid w:val="352BDF51"/>
    <w:rsid w:val="361CEB06"/>
    <w:rsid w:val="36E6DE3B"/>
    <w:rsid w:val="379B3678"/>
    <w:rsid w:val="382FD851"/>
    <w:rsid w:val="388E6A83"/>
    <w:rsid w:val="38DE15D0"/>
    <w:rsid w:val="3902EE9A"/>
    <w:rsid w:val="39137B07"/>
    <w:rsid w:val="39798926"/>
    <w:rsid w:val="39B209E3"/>
    <w:rsid w:val="39C81CDD"/>
    <w:rsid w:val="3A590A41"/>
    <w:rsid w:val="3ADC9F05"/>
    <w:rsid w:val="3B4CF1FC"/>
    <w:rsid w:val="3B98FD0D"/>
    <w:rsid w:val="3BA6CF49"/>
    <w:rsid w:val="3CE69542"/>
    <w:rsid w:val="3E004587"/>
    <w:rsid w:val="3EDE700B"/>
    <w:rsid w:val="3F15EAF0"/>
    <w:rsid w:val="3F5C4EEE"/>
    <w:rsid w:val="414FB041"/>
    <w:rsid w:val="41E18515"/>
    <w:rsid w:val="4201C372"/>
    <w:rsid w:val="4220123C"/>
    <w:rsid w:val="424587DA"/>
    <w:rsid w:val="42FBC76F"/>
    <w:rsid w:val="4320F657"/>
    <w:rsid w:val="44FDC82F"/>
    <w:rsid w:val="451EC75E"/>
    <w:rsid w:val="45396434"/>
    <w:rsid w:val="45516F3A"/>
    <w:rsid w:val="45652400"/>
    <w:rsid w:val="45724AC0"/>
    <w:rsid w:val="463EE3D1"/>
    <w:rsid w:val="47EFC73D"/>
    <w:rsid w:val="4916BC80"/>
    <w:rsid w:val="49C5184A"/>
    <w:rsid w:val="4A419820"/>
    <w:rsid w:val="4B2D6AF7"/>
    <w:rsid w:val="4C54AB9E"/>
    <w:rsid w:val="4D93F07B"/>
    <w:rsid w:val="4E0F970C"/>
    <w:rsid w:val="4E98896D"/>
    <w:rsid w:val="5120F40F"/>
    <w:rsid w:val="525680A5"/>
    <w:rsid w:val="52C778F7"/>
    <w:rsid w:val="53356175"/>
    <w:rsid w:val="534F8B48"/>
    <w:rsid w:val="53F25106"/>
    <w:rsid w:val="55FB966E"/>
    <w:rsid w:val="56AB88D8"/>
    <w:rsid w:val="5850BCB5"/>
    <w:rsid w:val="589DBB59"/>
    <w:rsid w:val="58ED4EF4"/>
    <w:rsid w:val="598CA962"/>
    <w:rsid w:val="5ACFB329"/>
    <w:rsid w:val="5AE3349A"/>
    <w:rsid w:val="5BEC8BF8"/>
    <w:rsid w:val="5D6A820F"/>
    <w:rsid w:val="5DA4EA10"/>
    <w:rsid w:val="5E74CAFC"/>
    <w:rsid w:val="5EE147EC"/>
    <w:rsid w:val="5F18BA9D"/>
    <w:rsid w:val="5FD8DCDF"/>
    <w:rsid w:val="60526B1E"/>
    <w:rsid w:val="61272198"/>
    <w:rsid w:val="61D0A8AC"/>
    <w:rsid w:val="61EE3B7F"/>
    <w:rsid w:val="62882547"/>
    <w:rsid w:val="62ECC2F7"/>
    <w:rsid w:val="63B8A090"/>
    <w:rsid w:val="6545CE8A"/>
    <w:rsid w:val="65B93933"/>
    <w:rsid w:val="66586CF8"/>
    <w:rsid w:val="670C625E"/>
    <w:rsid w:val="67D449E6"/>
    <w:rsid w:val="681CF61E"/>
    <w:rsid w:val="688C11B3"/>
    <w:rsid w:val="6A23ED06"/>
    <w:rsid w:val="6A27E214"/>
    <w:rsid w:val="6A60815D"/>
    <w:rsid w:val="6B2136DD"/>
    <w:rsid w:val="6BA94F1B"/>
    <w:rsid w:val="6CFB39D0"/>
    <w:rsid w:val="6EDDC68D"/>
    <w:rsid w:val="6F3CCD61"/>
    <w:rsid w:val="6F446A17"/>
    <w:rsid w:val="70814511"/>
    <w:rsid w:val="708E87A8"/>
    <w:rsid w:val="739FD6AC"/>
    <w:rsid w:val="745F3479"/>
    <w:rsid w:val="749AC173"/>
    <w:rsid w:val="760B898B"/>
    <w:rsid w:val="769F46F0"/>
    <w:rsid w:val="77DADD4C"/>
    <w:rsid w:val="799674D9"/>
    <w:rsid w:val="79E2CC35"/>
    <w:rsid w:val="7ADE7BA9"/>
    <w:rsid w:val="7B15E62C"/>
    <w:rsid w:val="7BE15A8C"/>
    <w:rsid w:val="7C9A195F"/>
    <w:rsid w:val="7CEDBF0C"/>
    <w:rsid w:val="7CEE8022"/>
    <w:rsid w:val="7D98F12F"/>
    <w:rsid w:val="7F8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paragraph" w:styleId="paragraph" w:customStyle="1">
    <w:name w:val="paragraph"/>
    <w:basedOn w:val="Normal"/>
    <w:rsid w:val="00A54776"/>
    <w:pPr>
      <w:tabs>
        <w:tab w:val="clear" w:pos="425"/>
      </w:tabs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Cs w:val="24"/>
      <w:lang w:eastAsia="tr-TR"/>
    </w:rPr>
  </w:style>
  <w:style w:type="character" w:styleId="normaltextrun" w:customStyle="1">
    <w:name w:val="normaltextrun"/>
    <w:basedOn w:val="VarsaylanParagrafYazTipi"/>
    <w:rsid w:val="00A54776"/>
  </w:style>
  <w:style w:type="character" w:styleId="eop" w:customStyle="1">
    <w:name w:val="eop"/>
    <w:basedOn w:val="VarsaylanParagrafYazTipi"/>
    <w:rsid w:val="00A54776"/>
  </w:style>
  <w:style w:type="character" w:styleId="spellingerror" w:customStyle="1">
    <w:name w:val="spellingerror"/>
    <w:basedOn w:val="VarsaylanParagrafYazTipi"/>
    <w:rsid w:val="00A54776"/>
  </w:style>
  <w:style w:type="character" w:styleId="contextualspellingandgrammarerror" w:customStyle="1">
    <w:name w:val="contextualspellingandgrammarerror"/>
    <w:basedOn w:val="VarsaylanParagrafYazTipi"/>
    <w:rsid w:val="000F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.png" Id="R5198ca7e643b4a37" /><Relationship Type="http://schemas.openxmlformats.org/officeDocument/2006/relationships/image" Target="/media/image2.png" Id="R04d109f4a54c46c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9393B"/>
    <w:rsid w:val="00483A62"/>
    <w:rsid w:val="00505B73"/>
    <w:rsid w:val="006801A3"/>
    <w:rsid w:val="006922B3"/>
    <w:rsid w:val="00727BF3"/>
    <w:rsid w:val="0077422F"/>
    <w:rsid w:val="00791C13"/>
    <w:rsid w:val="007D3EB8"/>
    <w:rsid w:val="008F1977"/>
    <w:rsid w:val="009302CE"/>
    <w:rsid w:val="00C724A1"/>
    <w:rsid w:val="00C85DE2"/>
    <w:rsid w:val="00D76E5A"/>
    <w:rsid w:val="00DA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N20210219-1594514891-3293</_dlc_DocId>
    <_dlc_DocIdUrl xmlns="f6d82c61-1620-4961-a845-3717486f5cdd">
      <Url>https://navioteknoloji.sharepoint.com/teams/N20210219/_layouts/15/DocIdRedir.aspx?ID=N20210219-1594514891-3293</Url>
      <Description>N20210219-1594514891-3293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D87A1A4-0FE9-41C5-B2F2-BD6D2E21A1D2}"/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Samet Burhan</lastModifiedBy>
  <revision>64</revision>
  <dcterms:created xsi:type="dcterms:W3CDTF">2021-11-26T14:18:00.0000000Z</dcterms:created>
  <dcterms:modified xsi:type="dcterms:W3CDTF">2023-01-31T14:47:14.9437230Z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376f10b4-3697-4025-9e7d-63c96e6b63ac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