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 Excerpt</w:t>
      </w:r>
    </w:p>
    <w:p>
      <w:r>
        <w:t>This section covers the company's remote work policy. Employees may work remotely up to three days per week, subject to manager approval and team coverage requirements.</w:t>
      </w:r>
    </w:p>
    <w:p>
      <w:pPr>
        <w:pStyle w:val="Heading2"/>
      </w:pPr>
      <w:r>
        <w:t>Leave Policy</w:t>
      </w:r>
    </w:p>
    <w:p>
      <w:r>
        <w:t>Full-time employees accrue 15 days of paid time off annually, in addition to standard public holidays.</w:t>
      </w:r>
    </w:p>
    <w:p>
      <w:pPr>
        <w:pStyle w:val="Heading2"/>
      </w:pPr>
      <w:r>
        <w:t>Leave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Leave Type</w:t>
            </w:r>
          </w:p>
        </w:tc>
        <w:tc>
          <w:tcPr>
            <w:tcW w:type="dxa" w:w="2880"/>
          </w:tcPr>
          <w:p>
            <w:r>
              <w:t>Days per Year</w:t>
            </w:r>
          </w:p>
        </w:tc>
        <w:tc>
          <w:tcPr>
            <w:tcW w:type="dxa" w:w="2880"/>
          </w:tcPr>
          <w:p>
            <w:r>
              <w:t>Approval Needed</w:t>
            </w:r>
          </w:p>
        </w:tc>
      </w:tr>
      <w:tr>
        <w:tc>
          <w:tcPr>
            <w:tcW w:type="dxa" w:w="2880"/>
          </w:tcPr>
          <w:p>
            <w:r>
              <w:t>Vacation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</w:tr>
      <w:tr>
        <w:tc>
          <w:tcPr>
            <w:tcW w:type="dxa" w:w="2880"/>
          </w:tcPr>
          <w:p>
            <w:r>
              <w:t>Sick Leave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Parental Leave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HR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