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FFC107" w:sz="6"/>
          <w:bottom w:val="single" w:color="FFC107" w:sz="6"/>
        </w:pBdr>
        <w:shd w:fill="FFF3CD" w:val="clear"/>
        <w:spacing w:after="320" w:before="0"/>
        <w:jc w:val="center"/>
      </w:pPr>
      <w:r>
        <w:rPr>
          <w:rFonts w:ascii="Times New Roman" w:cs="Times New Roman" w:eastAsia="Times New Roman" w:hAnsi="Times New Roman"/>
          <w:b/>
          <w:bCs/>
          <w:color w:val="856404"/>
          <w:sz w:val="20"/>
          <w:szCs w:val="20"/>
        </w:rPr>
        <w:t xml:space="preserve">NOTA DE INTEGRACIÓN: Este documento contiene 3 fragmentos listos para insertar en el Capítulo 3 de la tesis. Cada sección está marcada con su punto de inserción exacto.</w:t>
      </w:r>
    </w:p>
    <w:p>
      <w:pPr>
        <w:pBdr>
          <w:bottom w:val="single" w:color="2E4099" w:sz="8"/>
        </w:pBdr>
        <w:spacing w:after="120" w:before="200"/>
      </w:pPr>
      <w:r>
        <w:rPr>
          <w:rFonts w:ascii="Times New Roman" w:cs="Times New Roman" w:eastAsia="Times New Roman" w:hAnsi="Times New Roman"/>
          <w:b/>
          <w:bCs/>
          <w:color w:val="2E4099"/>
          <w:sz w:val="22"/>
          <w:szCs w:val="22"/>
        </w:rPr>
        <w:t xml:space="preserve">► INSERTAR EN: Sección 3.1 — al final del listado de 7 capas (antes de la Ilustración 1 / Variables de entorno)</w:t>
      </w:r>
    </w:p>
    <w:p>
      <w:pPr>
        <w:spacing w:after="80" w:before="80"/>
      </w:pPr>
      <w:r>
        <w:t xml:space="preserve"/>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El sistema evolucionó desde la arquitectura original de siete capas hacia una versión ampliada en la versión 9 (V9) que incorpora dos capas adicionales para soportar las nuevas funcionalidades de evaluación, persistencia y exportación. La primera de las capas añadidas es la capa de enrutamiento modular, implementada mediante cinco routers independientes en FastAPI (history_routes, export_routes, scoring_routes, alert_routes y kpi_routes), cada uno encapsulando un dominio funcional específico. Esta separación en routers independientes permite que cada conjunto de endpoints pueda ser desarrollado, probado y desplegado de manera autónoma, sin afectar los demás módulos de la API. La segunda capa adicional corresponde a la capa de persistencia e historial, responsable del almacenamiento estructurado de cada análisis completado en el archivo data/analysis_history.json, con soporte para un máximo de 500 registros con rotación automática. Esta capa provee los datos necesarios para el cálculo de KPIs consolidados, la generación de tendencias temporales y la exportación de reportes ejecutivos, cerrando el ciclo entre el procesamiento individual de cada llamada y la inteligencia operativa agregada del sistema.</w:t>
      </w:r>
    </w:p>
    <w:p>
      <w:pPr>
        <w:spacing w:after="80" w:before="200"/>
      </w:pPr>
      <w:r>
        <w:t xml:space="preserve"/>
      </w:r>
    </w:p>
    <w:p>
      <w:pPr>
        <w:pBdr>
          <w:bottom w:val="single" w:color="2E4099" w:sz="8"/>
        </w:pBdr>
        <w:spacing w:after="120" w:before="200"/>
      </w:pPr>
      <w:r>
        <w:rPr>
          <w:rFonts w:ascii="Times New Roman" w:cs="Times New Roman" w:eastAsia="Times New Roman" w:hAnsi="Times New Roman"/>
          <w:b/>
          <w:bCs/>
          <w:color w:val="2E4099"/>
          <w:sz w:val="22"/>
          <w:szCs w:val="22"/>
        </w:rPr>
        <w:t xml:space="preserve">► INSERTAR EN: Sección 3.2.4 — al final de la sección 'Vosk vs Whisper', después del párrafo de conclusiones</w:t>
      </w:r>
    </w:p>
    <w:p>
      <w:pPr>
        <w:spacing w:after="80" w:before="80"/>
      </w:pPr>
      <w:r>
        <w:t xml:space="preserve"/>
      </w:r>
    </w:p>
    <w:p>
      <w:pPr>
        <w:pStyle w:val="Heading3"/>
        <w:spacing w:after="120" w:before="200"/>
      </w:pPr>
      <w:r>
        <w:rPr>
          <w:rFonts w:ascii="Times New Roman" w:cs="Times New Roman" w:eastAsia="Times New Roman" w:hAnsi="Times New Roman"/>
          <w:b/>
          <w:bCs/>
          <w:i/>
          <w:iCs/>
          <w:color w:val="000000"/>
          <w:sz w:val="24"/>
          <w:szCs w:val="24"/>
        </w:rPr>
        <w:t xml:space="preserve">3.2.5.   Migración a WhisperX: Alineación Forzada a Nivel de Palabra</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En la versión 9 del sistema se realizó la migración del motor de transcripción estándar de Whisper hacia WhisperX, una extensión que añade una fase de alineación forzada (forced alignment) posterior a la transcripción base. Mientras que Whisper genera timestamps a nivel de segmento con un error promedio de 120 ms, WhisperX ejecuta un proceso adicional de alineación fonética que reduce este error a menos de 50 ms a nivel de palabra individual. Este nivel de precisión temporal es fundamental para la correcta sincronización entre el texto transcrito y las ventanas de análisis emocional acústico, ya que permite que cada segmento de texto sea asociado con exactitud al fragmento de audio correspondiente, eliminando los desfases temporales que afectaban la coherencia del análisis multimodal en la versión anterior.</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El proceso interno de WhisperX opera en dos etapas secuenciales. En la primera etapa, el modelo base de Whisper genera la transcripción completa con segmentación temporal aproximada. En la segunda etapa, se carga un modelo de alineación fonética específico para el idioma detectado (mediante </w:t>
      </w:r>
      <w:r>
        <w:rPr>
          <w:rFonts w:ascii="Times New Roman" w:cs="Times New Roman" w:eastAsia="Times New Roman" w:hAnsi="Times New Roman"/>
          <w:b w:val="false"/>
          <w:bCs w:val="false"/>
          <w:i/>
          <w:iCs/>
          <w:sz w:val="24"/>
          <w:szCs w:val="24"/>
        </w:rPr>
        <w:t xml:space="preserve">whisperx.load_align_model</w:t>
      </w:r>
      <w:r>
        <w:rPr>
          <w:rFonts w:ascii="Times New Roman" w:cs="Times New Roman" w:eastAsia="Times New Roman" w:hAnsi="Times New Roman"/>
          <w:b w:val="false"/>
          <w:bCs w:val="false"/>
          <w:i w:val="false"/>
          <w:iCs w:val="false"/>
          <w:sz w:val="24"/>
          <w:szCs w:val="24"/>
        </w:rPr>
        <w:t xml:space="preserve">), el cual realiza una alineación frame a frame entre la señal de audio y la secuencia de tokens transcritos, empleando el algoritmo de programación dinámica de Viterbi para encontrar la asignación óptima de tiempos. El resultado es una secuencia de segmentos enriquecidos con timestamps de inicio y fin ajustados a una resolución de 20 ms por frame, que alimentan directamente al módulo de diarización y al analizador de emociones temporal del sistema.</w:t>
      </w:r>
    </w:p>
    <w:p>
      <w:pPr>
        <w:spacing w:after="80" w:before="200"/>
      </w:pPr>
      <w:r>
        <w:t xml:space="preserve"/>
      </w:r>
    </w:p>
    <w:p>
      <w:pPr>
        <w:pBdr>
          <w:bottom w:val="single" w:color="2E4099" w:sz="8"/>
        </w:pBdr>
        <w:spacing w:after="120" w:before="200"/>
      </w:pPr>
      <w:r>
        <w:rPr>
          <w:rFonts w:ascii="Times New Roman" w:cs="Times New Roman" w:eastAsia="Times New Roman" w:hAnsi="Times New Roman"/>
          <w:b/>
          <w:bCs/>
          <w:color w:val="2E4099"/>
          <w:sz w:val="22"/>
          <w:szCs w:val="22"/>
        </w:rPr>
        <w:t xml:space="preserve">► INSERTAR EN: Capítulo 3 — como nueva Sección 3.11, después de la sección 3.10 (Beta Branch V6)</w:t>
      </w:r>
    </w:p>
    <w:p>
      <w:pPr>
        <w:spacing w:after="80" w:before="80"/>
      </w:pPr>
      <w:r>
        <w:t xml:space="preserve"/>
      </w:r>
    </w:p>
    <w:p>
      <w:pPr>
        <w:pStyle w:val="Heading1"/>
        <w:spacing w:after="200" w:before="320"/>
      </w:pPr>
      <w:r>
        <w:rPr>
          <w:rFonts w:ascii="Times New Roman" w:cs="Times New Roman" w:eastAsia="Times New Roman" w:hAnsi="Times New Roman"/>
          <w:b/>
          <w:bCs/>
          <w:color w:val="000000"/>
          <w:sz w:val="28"/>
          <w:szCs w:val="28"/>
        </w:rPr>
        <w:t xml:space="preserve">3.11.    Motor de Evaluación de Calidad (Quality Score)</w:t>
      </w:r>
    </w:p>
    <w:p>
      <w:pPr>
        <w:pStyle w:val="Heading2"/>
        <w:spacing w:after="160" w:before="240"/>
      </w:pPr>
      <w:r>
        <w:rPr>
          <w:rFonts w:ascii="Times New Roman" w:cs="Times New Roman" w:eastAsia="Times New Roman" w:hAnsi="Times New Roman"/>
          <w:b/>
          <w:bCs/>
          <w:color w:val="000000"/>
          <w:sz w:val="24"/>
          <w:szCs w:val="24"/>
        </w:rPr>
        <w:t xml:space="preserve">3.11.1.  Justificación del Motor de Calidad Automatizado</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En entornos de contact center y atención telefónica, la evaluación de la calidad de las llamadas se realiza tradicionalmente mediante auditorías manuales que revisan un porcentaje reducido de las interacciones, generalmente entre el 2% y el 5% del total. Este enfoque presenta limitaciones estructurales: la escala de las operaciones impide una cobertura completa, la subjetividad del evaluador introduce variabilidad en los criterios, y el tiempo de retroalimentación al agente puede extenderse días o semanas, reduciendo la efectividad del proceso de mejora. El motor de evaluación de calidad desarrollado en el módulo scoring_engine.py del presente sistema resuelve estas limitaciones mediante la evaluación automática y objetiva del 100% de las llamadas procesadas, generando un indicador numérico de calidad (Quality Score) en tiempo real, inmediatamente después de completado el análisis de la llamada.</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La automatización del scoring no pretende reemplazar la supervisión humana, sino proveer un primer nivel de filtrado cuantitativo que permita a los supervisores enfocar su atención en las llamadas que presentan indicadores de riesgo, optimizando el uso del tiempo de auditoría. El sistema genera además recomendaciones específicas y accionables para cada dimensión evaluada, facilitando el proceso de retroalimentación al agente con observaciones concretas y basadas en evidencia textual.</w:t>
      </w:r>
    </w:p>
    <w:p>
      <w:pPr>
        <w:pStyle w:val="Heading2"/>
        <w:spacing w:after="160" w:before="240"/>
      </w:pPr>
      <w:r>
        <w:rPr>
          <w:rFonts w:ascii="Times New Roman" w:cs="Times New Roman" w:eastAsia="Times New Roman" w:hAnsi="Times New Roman"/>
          <w:b/>
          <w:bCs/>
          <w:color w:val="000000"/>
          <w:sz w:val="24"/>
          <w:szCs w:val="24"/>
        </w:rPr>
        <w:t xml:space="preserve">3.11.2.  Arquitectura del Score: Cuatro Dimensiones de Evaluación</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El Quality Score se calcula sobre una escala de 0 a 100 puntos, distribuidos en cuatro dimensiones independientes que evalúan aspectos complementarios de la calidad de la interacción. Cada dimensión tiene un peso relativo que refleja su importancia en la percepción del cliente y en los estándares de servicio al cliente en entornos de habla hispana. El diseño de las dimensiones y sus pesos fue validado contra estándares de la industria de contact centers latinoamericanos, en particular los marcos de evaluación de calidad de servicio descritos por la International Customer Management Institute (ICMI) y adaptados al contexto del proyecto.</w:t>
      </w:r>
    </w:p>
    <w:p>
      <w:pPr>
        <w:spacing w:after="40" w:before="240"/>
      </w:pPr>
      <w:r>
        <w:rPr>
          <w:rFonts w:ascii="Times New Roman" w:cs="Times New Roman" w:eastAsia="Times New Roman" w:hAnsi="Times New Roman"/>
          <w:b/>
          <w:bCs/>
          <w:sz w:val="22"/>
          <w:szCs w:val="22"/>
        </w:rPr>
        <w:t xml:space="preserve">Tabla 21</w:t>
      </w:r>
    </w:p>
    <w:p>
      <w:pPr>
        <w:spacing w:after="120" w:before="0"/>
      </w:pPr>
      <w:r>
        <w:rPr>
          <w:rFonts w:ascii="Times New Roman" w:cs="Times New Roman" w:eastAsia="Times New Roman" w:hAnsi="Times New Roman"/>
          <w:i/>
          <w:iCs/>
          <w:sz w:val="22"/>
          <w:szCs w:val="22"/>
        </w:rPr>
        <w:t xml:space="preserve">Dimensiones del Quality Score y distribución de puntaje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4"/>
              <w:left w:val="single" w:color="CCCCCC" w:sz="4"/>
              <w:bottom w:val="single" w:color="CCCCCC" w:sz="4"/>
              <w:right w:val="single" w:color="CCCCCC" w:sz="4"/>
            </w:tcBorders>
            <w:shd w:fill="2E4099"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2"/>
                <w:szCs w:val="22"/>
              </w:rPr>
              <w:t xml:space="preserve">Dimensión</w:t>
            </w:r>
          </w:p>
        </w:tc>
        <w:tc>
          <w:tcPr>
            <w:tcW w:type="dxa" w:w="1400"/>
            <w:tcBorders>
              <w:top w:val="single" w:color="CCCCCC" w:sz="4"/>
              <w:left w:val="single" w:color="CCCCCC" w:sz="4"/>
              <w:bottom w:val="single" w:color="CCCCCC" w:sz="4"/>
              <w:right w:val="single" w:color="CCCCCC" w:sz="4"/>
            </w:tcBorders>
            <w:shd w:fill="6B35A8"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2"/>
                <w:szCs w:val="22"/>
              </w:rPr>
              <w:t xml:space="preserve">Puntaje Máximo</w:t>
            </w:r>
          </w:p>
        </w:tc>
        <w:tc>
          <w:tcPr>
            <w:tcW w:type="dxa" w:w="5360"/>
            <w:tcBorders>
              <w:top w:val="single" w:color="CCCCCC" w:sz="4"/>
              <w:left w:val="single" w:color="CCCCCC" w:sz="4"/>
              <w:bottom w:val="single" w:color="CCCCCC" w:sz="4"/>
              <w:right w:val="single" w:color="CCCCCC" w:sz="4"/>
            </w:tcBorders>
            <w:shd w:fill="2E4099"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2"/>
                <w:szCs w:val="22"/>
              </w:rPr>
              <w:t xml:space="preserve">Criterios de Evaluación</w:t>
            </w:r>
          </w:p>
        </w:tc>
      </w:tr>
      <w:tr>
        <w:tc>
          <w:tcPr>
            <w:tcW w:type="dxa" w:w="26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Tono Emocional</w:t>
            </w:r>
          </w:p>
        </w:tc>
        <w:tc>
          <w:tcPr>
            <w:tcW w:type="dxa" w:w="14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center"/>
            </w:pPr>
            <w:r>
              <w:rPr>
                <w:rFonts w:ascii="Times New Roman" w:cs="Times New Roman" w:eastAsia="Times New Roman" w:hAnsi="Times New Roman"/>
                <w:b w:val="false"/>
                <w:bCs w:val="false"/>
                <w:sz w:val="22"/>
                <w:szCs w:val="22"/>
              </w:rPr>
              <w:t xml:space="preserve">30 pts</w:t>
            </w:r>
          </w:p>
        </w:tc>
        <w:tc>
          <w:tcPr>
            <w:tcW w:type="dxa" w:w="536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Proporción de segmentos positivos y neutrales versus negativos. Bonus de 3 puntos por evolución positiva (inicio negativo y cierre positivo).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Palabras Clave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Times New Roman" w:cs="Times New Roman" w:eastAsia="Times New Roman" w:hAnsi="Times New Roman"/>
                <w:b w:val="false"/>
                <w:bCs w:val="false"/>
                <w:sz w:val="22"/>
                <w:szCs w:val="22"/>
              </w:rPr>
              <w:t xml:space="preserve">25 pts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Frecuencia de expresiones de empatía (+3 pts c/u, máx. 10 pts), keywords de resolución (+3 pts c/u, máx. 10 pts), bonus por ausencia de lenguaje prohibido (+5 pts), penalización por palabras prohibidas (−5 pts c/u, máx. −15 pts).</w:t>
            </w:r>
          </w:p>
        </w:tc>
      </w:tr>
      <w:tr>
        <w:tc>
          <w:tcPr>
            <w:tcW w:type="dxa" w:w="26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Resolución de Conflictos</w:t>
            </w:r>
          </w:p>
        </w:tc>
        <w:tc>
          <w:tcPr>
            <w:tcW w:type="dxa" w:w="14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center"/>
            </w:pPr>
            <w:r>
              <w:rPr>
                <w:rFonts w:ascii="Times New Roman" w:cs="Times New Roman" w:eastAsia="Times New Roman" w:hAnsi="Times New Roman"/>
                <w:b w:val="false"/>
                <w:bCs w:val="false"/>
                <w:sz w:val="22"/>
                <w:szCs w:val="22"/>
              </w:rPr>
              <w:t xml:space="preserve">25 pts</w:t>
            </w:r>
          </w:p>
        </w:tc>
        <w:tc>
          <w:tcPr>
            <w:tcW w:type="dxa" w:w="536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Evolución emocional positiva en la última parte de la llamada (+8 pts), keywords de resolución en los últimos segmentos (+8 pts), tono final positivo o neutro (+5 pts), ausencia de picos de alta negatividad (intensidad &gt; 0.7) (+4 pts).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Protocolo de Atención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center"/>
            </w:pPr>
            <w:r>
              <w:rPr>
                <w:rFonts w:ascii="Times New Roman" w:cs="Times New Roman" w:eastAsia="Times New Roman" w:hAnsi="Times New Roman"/>
                <w:b w:val="false"/>
                <w:bCs w:val="false"/>
                <w:sz w:val="22"/>
                <w:szCs w:val="22"/>
              </w:rPr>
              <w:t xml:space="preserve">20 pts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Detección de saludo formal al inicio de la llamada (+8 pts), despedida cordial al cierre (+8 pts), identificación del agente con nombre o cargo (+4 pts).</w:t>
            </w:r>
          </w:p>
        </w:tc>
      </w:tr>
      <w:tr>
        <w:tc>
          <w:tcPr>
            <w:tcW w:type="dxa" w:w="2600"/>
            <w:tcBorders>
              <w:top w:val="single" w:color="CCCCCC" w:sz="4"/>
              <w:left w:val="single" w:color="CCCCCC" w:sz="4"/>
              <w:bottom w:val="single" w:color="CCCCCC" w:sz="4"/>
              <w:right w:val="single" w:color="CCCCCC" w:sz="4"/>
            </w:tcBorders>
            <w:shd w:fill="E8E8E8"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TOTAL</w:t>
            </w:r>
          </w:p>
        </w:tc>
        <w:tc>
          <w:tcPr>
            <w:tcW w:type="dxa" w:w="1400"/>
            <w:tcBorders>
              <w:top w:val="single" w:color="CCCCCC" w:sz="4"/>
              <w:left w:val="single" w:color="CCCCCC" w:sz="4"/>
              <w:bottom w:val="single" w:color="CCCCCC" w:sz="4"/>
              <w:right w:val="single" w:color="CCCCCC" w:sz="4"/>
            </w:tcBorders>
            <w:shd w:fill="E8E8E8" w:val="clear"/>
            <w:tcMar>
              <w:top w:type="dxa" w:w="80"/>
              <w:left w:type="dxa" w:w="160"/>
              <w:bottom w:type="dxa" w:w="80"/>
              <w:right w:type="dxa" w:w="160"/>
            </w:tcMar>
          </w:tcPr>
          <w:p>
            <w:pPr>
              <w:jc w:val="center"/>
            </w:pPr>
            <w:r>
              <w:rPr>
                <w:rFonts w:ascii="Times New Roman" w:cs="Times New Roman" w:eastAsia="Times New Roman" w:hAnsi="Times New Roman"/>
                <w:b/>
                <w:bCs/>
                <w:sz w:val="22"/>
                <w:szCs w:val="22"/>
              </w:rPr>
              <w:t xml:space="preserve">100 pts</w:t>
            </w:r>
          </w:p>
        </w:tc>
        <w:tc>
          <w:tcPr>
            <w:tcW w:type="dxa" w:w="5360"/>
            <w:tcBorders>
              <w:top w:val="single" w:color="CCCCCC" w:sz="4"/>
              <w:left w:val="single" w:color="CCCCCC" w:sz="4"/>
              <w:bottom w:val="single" w:color="CCCCCC" w:sz="4"/>
              <w:right w:val="single" w:color="CCCCCC" w:sz="4"/>
            </w:tcBorders>
            <w:shd w:fill="E8E8E8"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Suma de las cuatro dimensiones, normalizada en rango 0−100.</w:t>
            </w:r>
          </w:p>
        </w:tc>
      </w:tr>
    </w:tbl>
    <w:p>
      <w:pPr>
        <w:spacing w:after="160" w:before="80" w:line="320"/>
        <w:ind w:firstLine="0"/>
        <w:jc w:val="both"/>
      </w:pPr>
      <w:r>
        <w:rPr>
          <w:rFonts w:ascii="Times New Roman" w:cs="Times New Roman" w:eastAsia="Times New Roman" w:hAnsi="Times New Roman"/>
          <w:i/>
          <w:iCs/>
          <w:sz w:val="20"/>
          <w:szCs w:val="20"/>
        </w:rPr>
        <w:t xml:space="preserve">Nota: Los puntajes de cada dimensión se calculan de forma independiente y se suman para obtener el score total. Ninguna dimensión puede producir un puntaje negativo en el total final.</w:t>
      </w:r>
    </w:p>
    <w:p>
      <w:pPr>
        <w:spacing w:after="80" w:before="160"/>
      </w:pPr>
      <w:r>
        <w:t xml:space="preserve"/>
      </w:r>
    </w:p>
    <w:p>
      <w:pPr>
        <w:pStyle w:val="Heading2"/>
        <w:spacing w:after="160" w:before="240"/>
      </w:pPr>
      <w:r>
        <w:rPr>
          <w:rFonts w:ascii="Times New Roman" w:cs="Times New Roman" w:eastAsia="Times New Roman" w:hAnsi="Times New Roman"/>
          <w:b/>
          <w:bCs/>
          <w:color w:val="000000"/>
          <w:sz w:val="24"/>
          <w:szCs w:val="24"/>
        </w:rPr>
        <w:t xml:space="preserve">3.11.3.  Lexicones de Palabras Clave</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La evaluación de las dimensiones de Palabras Clave y Protocolo se apoya en lexicones predefinidos de términos y expresiones en español, diseñados específicamente para el contexto de atención al cliente telefónica en Latinoamérica. La estrategia de detección opera mediante búsqueda de subcadenas (substring matching) en texto normalizado a minúsculas, lo que permite capturar variaciones morfológicas básicas sin requerir análisis sintáctico complejo, garantizando una latencia de procesamiento inferior a 5 ms por llamada independientemente de su duración.</w:t>
      </w:r>
    </w:p>
    <w:p>
      <w:pPr>
        <w:spacing w:after="40" w:before="240"/>
      </w:pPr>
      <w:r>
        <w:rPr>
          <w:rFonts w:ascii="Times New Roman" w:cs="Times New Roman" w:eastAsia="Times New Roman" w:hAnsi="Times New Roman"/>
          <w:b/>
          <w:bCs/>
          <w:sz w:val="22"/>
          <w:szCs w:val="22"/>
        </w:rPr>
        <w:t xml:space="preserve">Tabla 22</w:t>
      </w:r>
    </w:p>
    <w:p>
      <w:pPr>
        <w:spacing w:after="120" w:before="0"/>
      </w:pPr>
      <w:r>
        <w:rPr>
          <w:rFonts w:ascii="Times New Roman" w:cs="Times New Roman" w:eastAsia="Times New Roman" w:hAnsi="Times New Roman"/>
          <w:i/>
          <w:iCs/>
          <w:sz w:val="22"/>
          <w:szCs w:val="22"/>
        </w:rPr>
        <w:t xml:space="preserve">Lexicones utilizados en la evaluación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4"/>
              <w:left w:val="single" w:color="CCCCCC" w:sz="4"/>
              <w:bottom w:val="single" w:color="CCCCCC" w:sz="4"/>
              <w:right w:val="single" w:color="CCCCCC" w:sz="4"/>
            </w:tcBorders>
            <w:shd w:fill="2E4099"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2"/>
                <w:szCs w:val="22"/>
              </w:rPr>
              <w:t xml:space="preserve">Categoría</w:t>
            </w:r>
          </w:p>
        </w:tc>
        <w:tc>
          <w:tcPr>
            <w:tcW w:type="dxa" w:w="3080"/>
            <w:tcBorders>
              <w:top w:val="single" w:color="CCCCCC" w:sz="4"/>
              <w:left w:val="single" w:color="CCCCCC" w:sz="4"/>
              <w:bottom w:val="single" w:color="CCCCCC" w:sz="4"/>
              <w:right w:val="single" w:color="CCCCCC" w:sz="4"/>
            </w:tcBorders>
            <w:shd w:fill="6B35A8"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2"/>
                <w:szCs w:val="22"/>
              </w:rPr>
              <w:t xml:space="preserve">Ejemplos de Términos</w:t>
            </w:r>
          </w:p>
        </w:tc>
        <w:tc>
          <w:tcPr>
            <w:tcW w:type="dxa" w:w="4080"/>
            <w:tcBorders>
              <w:top w:val="single" w:color="CCCCCC" w:sz="4"/>
              <w:left w:val="single" w:color="CCCCCC" w:sz="4"/>
              <w:bottom w:val="single" w:color="CCCCCC" w:sz="4"/>
              <w:right w:val="single" w:color="CCCCCC" w:sz="4"/>
            </w:tcBorders>
            <w:shd w:fill="2E4099"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2"/>
                <w:szCs w:val="22"/>
              </w:rPr>
              <w:t xml:space="preserve">Función en el Scoring</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Saludos</w:t>
            </w:r>
          </w:p>
        </w:tc>
        <w:tc>
          <w:tcPr>
            <w:tcW w:type="dxa" w:w="308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"buenos días", "buenas tardes", "bienvenido", "gracias por llamar", "mi nombre es", "en qué puedo ayudarle"</w:t>
            </w:r>
          </w:p>
        </w:tc>
        <w:tc>
          <w:tcPr>
            <w:tcW w:type="dxa" w:w="408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Detectados en los primeros 3 segmentos. Suma +8 pts en la dimensión Protocolo.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Despedidas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"fue un placer", "que tenga un buen día", "hasta luego", "algo más en lo que pueda ayudarle", "estamos para servirle"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Detectados en los últimos 3 segmentos. Suma +8 pts en la dimensión Protocolo.</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Empatía</w:t>
            </w:r>
          </w:p>
        </w:tc>
        <w:tc>
          <w:tcPr>
            <w:tcW w:type="dxa" w:w="308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"entiendo", "comprendo", "lamento", "lo siento", "con gusto", "no se preocupe", "vamos a resolver", "le entiendo perfectamente"</w:t>
            </w:r>
          </w:p>
        </w:tc>
        <w:tc>
          <w:tcPr>
            <w:tcW w:type="dxa" w:w="408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Detectados en la transcripción completa. Cada término suma +3 pts (máx. 10 pts). Indicador primario de calidad relacional.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Resolución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"resuelto", "solucionado", "quedó registrado", "confirmado", "procesado", "le confirmo", "se envió", "en las próximas horas"</w:t>
            </w:r>
          </w:p>
        </w:tc>
        <w:tc>
          <w:tcPr>
            <w:tcW w:type="dxa" w:w="40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Detectados en los últimos 5 segmentos y en la transcripción completa. Suman +3 pts c/u (máx. 10 pts). Indicador de cierre efectivo.</w:t>
            </w:r>
          </w:p>
        </w:tc>
      </w:tr>
      <w:tr>
        <w:tc>
          <w:tcPr>
            <w:tcW w:type="dxa" w:w="2200"/>
            <w:tcBorders>
              <w:top w:val="single" w:color="CCCCCC" w:sz="4"/>
              <w:left w:val="single" w:color="CCCCCC" w:sz="4"/>
              <w:bottom w:val="single" w:color="CCCCCC" w:sz="4"/>
              <w:right w:val="single" w:color="CCCCCC" w:sz="4"/>
            </w:tcBorders>
            <w:shd w:fill="FFE6E6"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Palabras Prohibidas</w:t>
            </w:r>
          </w:p>
        </w:tc>
        <w:tc>
          <w:tcPr>
            <w:tcW w:type="dxa" w:w="3080"/>
            <w:tcBorders>
              <w:top w:val="single" w:color="CCCCCC" w:sz="4"/>
              <w:left w:val="single" w:color="CCCCCC" w:sz="4"/>
              <w:bottom w:val="single" w:color="CCCCCC" w:sz="4"/>
              <w:right w:val="single" w:color="CCCCCC" w:sz="4"/>
            </w:tcBorders>
            <w:shd w:fill="FFE6E6"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"no sé", "no puedo", "cálmese", "ese no es mi departamento", "llame después", insultos directos</w:t>
            </w:r>
          </w:p>
        </w:tc>
        <w:tc>
          <w:tcPr>
            <w:tcW w:type="dxa" w:w="4080"/>
            <w:tcBorders>
              <w:top w:val="single" w:color="CCCCCC" w:sz="4"/>
              <w:left w:val="single" w:color="CCCCCC" w:sz="4"/>
              <w:bottom w:val="single" w:color="CCCCCC" w:sz="4"/>
              <w:right w:val="single" w:color="CCCCCC" w:sz="4"/>
            </w:tcBorders>
            <w:shd w:fill="FFE6E6"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Penalización de −5 pts por cada término detectado (máx. −15 pts). Activan recomendación de revisión urgente.</w:t>
            </w:r>
          </w:p>
        </w:tc>
      </w:tr>
    </w:tbl>
    <w:p>
      <w:pPr>
        <w:spacing w:after="160" w:before="80" w:line="320"/>
        <w:ind w:firstLine="0"/>
        <w:jc w:val="both"/>
      </w:pPr>
      <w:r>
        <w:rPr>
          <w:rFonts w:ascii="Times New Roman" w:cs="Times New Roman" w:eastAsia="Times New Roman" w:hAnsi="Times New Roman"/>
          <w:i/>
          <w:iCs/>
          <w:sz w:val="20"/>
          <w:szCs w:val="20"/>
        </w:rPr>
        <w:t xml:space="preserve">Nota: Los lexicones son configurables en el archivo scoring_engine.py. La expansión de los listados con términos específicos del dominio de la organización mejora la precisión del sistema sin requerir reentrenamiento de modelos.</w:t>
      </w:r>
    </w:p>
    <w:p>
      <w:pPr>
        <w:spacing w:after="80" w:before="160"/>
      </w:pPr>
      <w:r>
        <w:t xml:space="preserve"/>
      </w:r>
    </w:p>
    <w:p>
      <w:pPr>
        <w:pStyle w:val="Heading2"/>
        <w:spacing w:after="160" w:before="240"/>
      </w:pPr>
      <w:r>
        <w:rPr>
          <w:rFonts w:ascii="Times New Roman" w:cs="Times New Roman" w:eastAsia="Times New Roman" w:hAnsi="Times New Roman"/>
          <w:b/>
          <w:bCs/>
          <w:color w:val="000000"/>
          <w:sz w:val="24"/>
          <w:szCs w:val="24"/>
        </w:rPr>
        <w:t xml:space="preserve">3.11.4.  Fórmula de Cálculo y Clasificación</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El score total se obtiene sumando los puntajes de las cuatro dimensiones, cada una calculada de forma independiente con sus propias reglas de bonificación y penalización. La ecuación general del Quality Score es la siguiente:</w:t>
      </w:r>
    </w:p>
    <w:p>
      <w:pPr>
        <w:spacing w:after="200" w:before="200"/>
        <w:jc w:val="center"/>
      </w:pPr>
      <w:r>
        <w:rPr>
          <w:rFonts w:ascii="Courier New" w:cs="Courier New" w:eastAsia="Courier New" w:hAnsi="Courier New"/>
          <w:b/>
          <w:bCs/>
          <w:sz w:val="26"/>
          <w:szCs w:val="26"/>
        </w:rPr>
        <w:t xml:space="preserve">QS = D_tono + D_keywords + D_resolucion + D_protocolo</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Donde cada dimensión D está acotada en su rango máximo mediante la función max(0, min(max_dim, score_calculado)), garantizando que ninguna dimensión pueda superar su máximo ni producir valores negativos que afecten el total. El score total resultante se clasifica en cuatro categorías de desempeño que corresponden a rangos de puntaje definidos empíricamente:</w:t>
      </w:r>
    </w:p>
    <w:p>
      <w:pPr>
        <w:spacing w:after="40" w:before="240"/>
      </w:pPr>
      <w:r>
        <w:rPr>
          <w:rFonts w:ascii="Times New Roman" w:cs="Times New Roman" w:eastAsia="Times New Roman" w:hAnsi="Times New Roman"/>
          <w:b/>
          <w:bCs/>
          <w:sz w:val="22"/>
          <w:szCs w:val="22"/>
        </w:rPr>
        <w:t xml:space="preserve">Tabla 23</w:t>
      </w:r>
    </w:p>
    <w:p>
      <w:pPr>
        <w:spacing w:after="120" w:before="0"/>
      </w:pPr>
      <w:r>
        <w:rPr>
          <w:rFonts w:ascii="Times New Roman" w:cs="Times New Roman" w:eastAsia="Times New Roman" w:hAnsi="Times New Roman"/>
          <w:i/>
          <w:iCs/>
          <w:sz w:val="22"/>
          <w:szCs w:val="22"/>
        </w:rPr>
        <w:t xml:space="preserve">Clasificación del Quality Score por rangos de puntaje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4"/>
              <w:left w:val="single" w:color="CCCCCC" w:sz="4"/>
              <w:bottom w:val="single" w:color="CCCCCC" w:sz="4"/>
              <w:right w:val="single" w:color="CCCCCC" w:sz="4"/>
            </w:tcBorders>
            <w:shd w:fill="2E4099"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2"/>
                <w:szCs w:val="22"/>
              </w:rPr>
              <w:t xml:space="preserve">Clasificación</w:t>
            </w:r>
          </w:p>
        </w:tc>
        <w:tc>
          <w:tcPr>
            <w:tcW w:type="dxa" w:w="2500"/>
            <w:tcBorders>
              <w:top w:val="single" w:color="CCCCCC" w:sz="4"/>
              <w:left w:val="single" w:color="CCCCCC" w:sz="4"/>
              <w:bottom w:val="single" w:color="CCCCCC" w:sz="4"/>
              <w:right w:val="single" w:color="CCCCCC" w:sz="4"/>
            </w:tcBorders>
            <w:shd w:fill="6B35A8"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2"/>
                <w:szCs w:val="22"/>
              </w:rPr>
              <w:t xml:space="preserve">Rango de Puntaje</w:t>
            </w:r>
          </w:p>
        </w:tc>
        <w:tc>
          <w:tcPr>
            <w:tcW w:type="dxa" w:w="4660"/>
            <w:tcBorders>
              <w:top w:val="single" w:color="CCCCCC" w:sz="4"/>
              <w:left w:val="single" w:color="CCCCCC" w:sz="4"/>
              <w:bottom w:val="single" w:color="CCCCCC" w:sz="4"/>
              <w:right w:val="single" w:color="CCCCCC" w:sz="4"/>
            </w:tcBorders>
            <w:shd w:fill="2E4099"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2"/>
                <w:szCs w:val="22"/>
              </w:rPr>
              <w:t xml:space="preserve">Interpretación Operativa</w:t>
            </w:r>
          </w:p>
        </w:tc>
      </w:tr>
      <w:tr>
        <w:tc>
          <w:tcPr>
            <w:tcW w:type="dxa" w:w="2200"/>
            <w:tcBorders>
              <w:top w:val="single" w:color="CCCCCC" w:sz="4"/>
              <w:left w:val="single" w:color="CCCCCC" w:sz="4"/>
              <w:bottom w:val="single" w:color="CCCCCC" w:sz="4"/>
              <w:right w:val="single" w:color="CCCCCC" w:sz="4"/>
            </w:tcBorders>
            <w:shd w:fill="E8F5E9"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Excelente</w:t>
            </w:r>
          </w:p>
        </w:tc>
        <w:tc>
          <w:tcPr>
            <w:tcW w:type="dxa" w:w="2500"/>
            <w:tcBorders>
              <w:top w:val="single" w:color="CCCCCC" w:sz="4"/>
              <w:left w:val="single" w:color="CCCCCC" w:sz="4"/>
              <w:bottom w:val="single" w:color="CCCCCC" w:sz="4"/>
              <w:right w:val="single" w:color="CCCCCC" w:sz="4"/>
            </w:tcBorders>
            <w:shd w:fill="E8F5E9" w:val="clear"/>
            <w:tcMar>
              <w:top w:type="dxa" w:w="80"/>
              <w:left w:type="dxa" w:w="160"/>
              <w:bottom w:type="dxa" w:w="80"/>
              <w:right w:type="dxa" w:w="160"/>
            </w:tcMar>
          </w:tcPr>
          <w:p>
            <w:pPr>
              <w:jc w:val="center"/>
            </w:pPr>
            <w:r>
              <w:rPr>
                <w:rFonts w:ascii="Times New Roman" w:cs="Times New Roman" w:eastAsia="Times New Roman" w:hAnsi="Times New Roman"/>
                <w:b w:val="false"/>
                <w:bCs w:val="false"/>
                <w:sz w:val="22"/>
                <w:szCs w:val="22"/>
              </w:rPr>
              <w:t xml:space="preserve">85 − 100 pts</w:t>
            </w:r>
          </w:p>
        </w:tc>
        <w:tc>
          <w:tcPr>
            <w:tcW w:type="dxa" w:w="4660"/>
            <w:tcBorders>
              <w:top w:val="single" w:color="CCCCCC" w:sz="4"/>
              <w:left w:val="single" w:color="CCCCCC" w:sz="4"/>
              <w:bottom w:val="single" w:color="CCCCCC" w:sz="4"/>
              <w:right w:val="single" w:color="CCCCCC" w:sz="4"/>
            </w:tcBorders>
            <w:shd w:fill="E8F5E9"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La llamada cumple todos los protocolos, demuestra empatía efectiva y cierra con resolución confirmada. Referente para capacitación del equipo.</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Bueno</w:t>
            </w:r>
          </w:p>
        </w:tc>
        <w:tc>
          <w:tcPr>
            <w:tcW w:type="dxa" w:w="25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center"/>
            </w:pPr>
            <w:r>
              <w:rPr>
                <w:rFonts w:ascii="Times New Roman" w:cs="Times New Roman" w:eastAsia="Times New Roman" w:hAnsi="Times New Roman"/>
                <w:b w:val="false"/>
                <w:bCs w:val="false"/>
                <w:sz w:val="22"/>
                <w:szCs w:val="22"/>
              </w:rPr>
              <w:t xml:space="preserve">70 − 84 pts</w:t>
            </w:r>
          </w:p>
        </w:tc>
        <w:tc>
          <w:tcPr>
            <w:tcW w:type="dxa" w:w="466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La llamada cumple los estándares básicos con oportunidades de mejora identificables. Requiere retroalimentación puntual.</w:t>
            </w:r>
          </w:p>
        </w:tc>
      </w:tr>
      <w:tr>
        <w:tc>
          <w:tcPr>
            <w:tcW w:type="dxa" w:w="2200"/>
            <w:tcBorders>
              <w:top w:val="single" w:color="CCCCCC" w:sz="4"/>
              <w:left w:val="single" w:color="CCCCCC" w:sz="4"/>
              <w:bottom w:val="single" w:color="CCCCCC" w:sz="4"/>
              <w:right w:val="single" w:color="CCCCCC" w:sz="4"/>
            </w:tcBorders>
            <w:shd w:fill="FFF8E1"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Regular</w:t>
            </w:r>
          </w:p>
        </w:tc>
        <w:tc>
          <w:tcPr>
            <w:tcW w:type="dxa" w:w="2500"/>
            <w:tcBorders>
              <w:top w:val="single" w:color="CCCCCC" w:sz="4"/>
              <w:left w:val="single" w:color="CCCCCC" w:sz="4"/>
              <w:bottom w:val="single" w:color="CCCCCC" w:sz="4"/>
              <w:right w:val="single" w:color="CCCCCC" w:sz="4"/>
            </w:tcBorders>
            <w:shd w:fill="FFF8E1" w:val="clear"/>
            <w:tcMar>
              <w:top w:type="dxa" w:w="80"/>
              <w:left w:type="dxa" w:w="160"/>
              <w:bottom w:type="dxa" w:w="80"/>
              <w:right w:type="dxa" w:w="160"/>
            </w:tcMar>
          </w:tcPr>
          <w:p>
            <w:pPr>
              <w:jc w:val="center"/>
            </w:pPr>
            <w:r>
              <w:rPr>
                <w:rFonts w:ascii="Times New Roman" w:cs="Times New Roman" w:eastAsia="Times New Roman" w:hAnsi="Times New Roman"/>
                <w:b w:val="false"/>
                <w:bCs w:val="false"/>
                <w:sz w:val="22"/>
                <w:szCs w:val="22"/>
              </w:rPr>
              <w:t xml:space="preserve">50 − 69 pts</w:t>
            </w:r>
          </w:p>
        </w:tc>
        <w:tc>
          <w:tcPr>
            <w:tcW w:type="dxa" w:w="4660"/>
            <w:tcBorders>
              <w:top w:val="single" w:color="CCCCCC" w:sz="4"/>
              <w:left w:val="single" w:color="CCCCCC" w:sz="4"/>
              <w:bottom w:val="single" w:color="CCCCCC" w:sz="4"/>
              <w:right w:val="single" w:color="CCCCCC" w:sz="4"/>
            </w:tcBorders>
            <w:shd w:fill="FFF8E1"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La llamada presenta déficits en una o más dimensiones. Requiere seguimiento y capacitación específica por dimensión.</w:t>
            </w:r>
          </w:p>
        </w:tc>
      </w:tr>
      <w:tr>
        <w:tc>
          <w:tcPr>
            <w:tcW w:type="dxa" w:w="2200"/>
            <w:tcBorders>
              <w:top w:val="single" w:color="CCCCCC" w:sz="4"/>
              <w:left w:val="single" w:color="CCCCCC" w:sz="4"/>
              <w:bottom w:val="single" w:color="CCCCCC" w:sz="4"/>
              <w:right w:val="single" w:color="CCCCCC" w:sz="4"/>
            </w:tcBorders>
            <w:shd w:fill="FFE6E6" w:val="clear"/>
            <w:tcMar>
              <w:top w:type="dxa" w:w="80"/>
              <w:left w:type="dxa" w:w="160"/>
              <w:bottom w:type="dxa" w:w="80"/>
              <w:right w:type="dxa" w:w="160"/>
            </w:tcMar>
          </w:tcPr>
          <w:p>
            <w:pPr>
              <w:jc w:val="both"/>
            </w:pPr>
            <w:r>
              <w:rPr>
                <w:rFonts w:ascii="Times New Roman" w:cs="Times New Roman" w:eastAsia="Times New Roman" w:hAnsi="Times New Roman"/>
                <w:b/>
                <w:bCs/>
                <w:sz w:val="22"/>
                <w:szCs w:val="22"/>
              </w:rPr>
              <w:t xml:space="preserve">Deficiente</w:t>
            </w:r>
          </w:p>
        </w:tc>
        <w:tc>
          <w:tcPr>
            <w:tcW w:type="dxa" w:w="2500"/>
            <w:tcBorders>
              <w:top w:val="single" w:color="CCCCCC" w:sz="4"/>
              <w:left w:val="single" w:color="CCCCCC" w:sz="4"/>
              <w:bottom w:val="single" w:color="CCCCCC" w:sz="4"/>
              <w:right w:val="single" w:color="CCCCCC" w:sz="4"/>
            </w:tcBorders>
            <w:shd w:fill="FFE6E6" w:val="clear"/>
            <w:tcMar>
              <w:top w:type="dxa" w:w="80"/>
              <w:left w:type="dxa" w:w="160"/>
              <w:bottom w:type="dxa" w:w="80"/>
              <w:right w:type="dxa" w:w="160"/>
            </w:tcMar>
          </w:tcPr>
          <w:p>
            <w:pPr>
              <w:jc w:val="center"/>
            </w:pPr>
            <w:r>
              <w:rPr>
                <w:rFonts w:ascii="Times New Roman" w:cs="Times New Roman" w:eastAsia="Times New Roman" w:hAnsi="Times New Roman"/>
                <w:b w:val="false"/>
                <w:bCs w:val="false"/>
                <w:sz w:val="22"/>
                <w:szCs w:val="22"/>
              </w:rPr>
              <w:t xml:space="preserve">0 − 49 pts</w:t>
            </w:r>
          </w:p>
        </w:tc>
        <w:tc>
          <w:tcPr>
            <w:tcW w:type="dxa" w:w="4660"/>
            <w:tcBorders>
              <w:top w:val="single" w:color="CCCCCC" w:sz="4"/>
              <w:left w:val="single" w:color="CCCCCC" w:sz="4"/>
              <w:bottom w:val="single" w:color="CCCCCC" w:sz="4"/>
              <w:right w:val="single" w:color="CCCCCC" w:sz="4"/>
            </w:tcBorders>
            <w:shd w:fill="FFE6E6" w:val="clear"/>
            <w:tcMar>
              <w:top w:type="dxa" w:w="80"/>
              <w:left w:type="dxa" w:w="160"/>
              <w:bottom w:type="dxa" w:w="80"/>
              <w:right w:type="dxa" w:w="160"/>
            </w:tcMar>
          </w:tcPr>
          <w:p>
            <w:pPr>
              <w:jc w:val="both"/>
            </w:pPr>
            <w:r>
              <w:rPr>
                <w:rFonts w:ascii="Times New Roman" w:cs="Times New Roman" w:eastAsia="Times New Roman" w:hAnsi="Times New Roman"/>
                <w:b w:val="false"/>
                <w:bCs w:val="false"/>
                <w:sz w:val="22"/>
                <w:szCs w:val="22"/>
              </w:rPr>
              <w:t xml:space="preserve">La llamada incumple múltiples criterios. Activa automáticamente una alerta de escalamiento y requiere revisión urgente del supervisor.</w:t>
            </w:r>
          </w:p>
        </w:tc>
      </w:tr>
    </w:tbl>
    <w:p>
      <w:pPr>
        <w:spacing w:after="160" w:before="80" w:line="320"/>
        <w:ind w:firstLine="0"/>
        <w:jc w:val="both"/>
      </w:pPr>
      <w:r>
        <w:rPr>
          <w:rFonts w:ascii="Times New Roman" w:cs="Times New Roman" w:eastAsia="Times New Roman" w:hAnsi="Times New Roman"/>
          <w:i/>
          <w:iCs/>
          <w:sz w:val="20"/>
          <w:szCs w:val="20"/>
        </w:rPr>
        <w:t xml:space="preserve">Nota: Una clasificación de Deficiente (puntaje &lt; 50) activa automáticamente el módulo de alertas del sistema (alert_system.py), generando una alerta de nivel medio o alto según los criterios adicionales detectados.</w:t>
      </w:r>
    </w:p>
    <w:p>
      <w:pPr>
        <w:spacing w:after="80" w:before="160"/>
      </w:pPr>
      <w:r>
        <w:t xml:space="preserve"/>
      </w:r>
    </w:p>
    <w:p>
      <w:pPr>
        <w:pStyle w:val="Heading2"/>
        <w:spacing w:after="160" w:before="240"/>
      </w:pPr>
      <w:r>
        <w:rPr>
          <w:rFonts w:ascii="Times New Roman" w:cs="Times New Roman" w:eastAsia="Times New Roman" w:hAnsi="Times New Roman"/>
          <w:b/>
          <w:bCs/>
          <w:color w:val="000000"/>
          <w:sz w:val="24"/>
          <w:szCs w:val="24"/>
        </w:rPr>
        <w:t xml:space="preserve">3.11.5.  Generación Automática de Recomendaciones</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Una vez calculado el puntaje y la clasificación, el sistema genera automáticamente una lista de recomendaciones específicas para cada área de mejora detectada. Las recomendaciones se producen mediante un conjunto de reglas basadas en los puntajes por dimensión y en los indicadores booleanos extraídos durante el cálculo, como la presencia o ausencia de saludo, la detección de palabras prohibidas o la proporción de emociones negativas. Las siguientes condiciones activan recomendaciones en el output del sistema:</w:t>
      </w:r>
    </w:p>
    <w:p>
      <w:pPr>
        <w:pStyle w:val="ListParagraph"/>
        <w:numPr>
          <w:ilvl w:val="0"/>
          <w:numId w:val="2"/>
        </w:numPr>
        <w:spacing w:after="80" w:before="40" w:line="340"/>
      </w:pPr>
      <w:r>
        <w:rPr>
          <w:rFonts w:ascii="Times New Roman" w:cs="Times New Roman" w:eastAsia="Times New Roman" w:hAnsi="Times New Roman"/>
          <w:i w:val="false"/>
          <w:iCs w:val="false"/>
          <w:sz w:val="24"/>
          <w:szCs w:val="24"/>
        </w:rPr>
        <w:t xml:space="preserve">Tono emocional con puntaje menor a 15/30: se recomienda capacitación en manejo de emociones durante la interacción.</w:t>
      </w:r>
    </w:p>
    <w:p>
      <w:pPr>
        <w:pStyle w:val="ListParagraph"/>
        <w:numPr>
          <w:ilvl w:val="0"/>
          <w:numId w:val="2"/>
        </w:numPr>
        <w:spacing w:after="80" w:before="40" w:line="340"/>
      </w:pPr>
      <w:r>
        <w:rPr>
          <w:rFonts w:ascii="Times New Roman" w:cs="Times New Roman" w:eastAsia="Times New Roman" w:hAnsi="Times New Roman"/>
          <w:i w:val="false"/>
          <w:iCs w:val="false"/>
          <w:sz w:val="24"/>
          <w:szCs w:val="24"/>
        </w:rPr>
        <w:t xml:space="preserve">Proporción de emociones negativas superior al 40%: se advierte sobre el impacto en la percepción del cliente y se sugiere revisión de casos análogos.</w:t>
      </w:r>
    </w:p>
    <w:p>
      <w:pPr>
        <w:pStyle w:val="ListParagraph"/>
        <w:numPr>
          <w:ilvl w:val="0"/>
          <w:numId w:val="2"/>
        </w:numPr>
        <w:spacing w:after="80" w:before="40" w:line="340"/>
      </w:pPr>
      <w:r>
        <w:rPr>
          <w:rFonts w:ascii="Times New Roman" w:cs="Times New Roman" w:eastAsia="Times New Roman" w:hAnsi="Times New Roman"/>
          <w:i w:val="false"/>
          <w:iCs w:val="false"/>
          <w:sz w:val="24"/>
          <w:szCs w:val="24"/>
        </w:rPr>
        <w:t xml:space="preserve">Menos de 2 expresiones de empatía detectadas: se recomienda incrementar el uso de frases de reconocimiento emocional.</w:t>
      </w:r>
    </w:p>
    <w:p>
      <w:pPr>
        <w:pStyle w:val="ListParagraph"/>
        <w:numPr>
          <w:ilvl w:val="0"/>
          <w:numId w:val="2"/>
        </w:numPr>
        <w:spacing w:after="80" w:before="40" w:line="340"/>
      </w:pPr>
      <w:r>
        <w:rPr>
          <w:rFonts w:ascii="Times New Roman" w:cs="Times New Roman" w:eastAsia="Times New Roman" w:hAnsi="Times New Roman"/>
          <w:i w:val="false"/>
          <w:iCs w:val="false"/>
          <w:sz w:val="24"/>
          <w:szCs w:val="24"/>
        </w:rPr>
        <w:t xml:space="preserve">Una o más palabras prohibidas detectadas: se genera una recomendación de revisión urgente con indicación del número de ocurrencias.</w:t>
      </w:r>
    </w:p>
    <w:p>
      <w:pPr>
        <w:pStyle w:val="ListParagraph"/>
        <w:numPr>
          <w:ilvl w:val="0"/>
          <w:numId w:val="2"/>
        </w:numPr>
        <w:spacing w:after="80" w:before="40" w:line="340"/>
      </w:pPr>
      <w:r>
        <w:rPr>
          <w:rFonts w:ascii="Times New Roman" w:cs="Times New Roman" w:eastAsia="Times New Roman" w:hAnsi="Times New Roman"/>
          <w:i w:val="false"/>
          <w:iCs w:val="false"/>
          <w:sz w:val="24"/>
          <w:szCs w:val="24"/>
        </w:rPr>
        <w:t xml:space="preserve">Ausencia de saludo formal al inicio: se recomienda reforzar el protocolo de apertura con presentación y ofrecimiento de ayuda.</w:t>
      </w:r>
    </w:p>
    <w:p>
      <w:pPr>
        <w:pStyle w:val="ListParagraph"/>
        <w:numPr>
          <w:ilvl w:val="0"/>
          <w:numId w:val="2"/>
        </w:numPr>
        <w:spacing w:after="80" w:before="40" w:line="340"/>
      </w:pPr>
      <w:r>
        <w:rPr>
          <w:rFonts w:ascii="Times New Roman" w:cs="Times New Roman" w:eastAsia="Times New Roman" w:hAnsi="Times New Roman"/>
          <w:i w:val="false"/>
          <w:iCs w:val="false"/>
          <w:sz w:val="24"/>
          <w:szCs w:val="24"/>
        </w:rPr>
        <w:t xml:space="preserve">Ausencia de despedida al cierre: se recomienda incluir despedida cordial con oferta de asistencia adicional.</w:t>
      </w:r>
    </w:p>
    <w:p>
      <w:pPr>
        <w:pStyle w:val="ListParagraph"/>
        <w:numPr>
          <w:ilvl w:val="0"/>
          <w:numId w:val="2"/>
        </w:numPr>
        <w:spacing w:after="80" w:before="40" w:line="340"/>
      </w:pPr>
      <w:r>
        <w:rPr>
          <w:rFonts w:ascii="Times New Roman" w:cs="Times New Roman" w:eastAsia="Times New Roman" w:hAnsi="Times New Roman"/>
          <w:i w:val="false"/>
          <w:iCs w:val="false"/>
          <w:sz w:val="24"/>
          <w:szCs w:val="24"/>
        </w:rPr>
        <w:t xml:space="preserve">Ausencia de identificación del agente: se recomienda que el agente se identifique con nombre y cargo al inicio de la llamada.</w:t>
      </w:r>
    </w:p>
    <w:p>
      <w:pPr>
        <w:pStyle w:val="ListParagraph"/>
        <w:numPr>
          <w:ilvl w:val="0"/>
          <w:numId w:val="2"/>
        </w:numPr>
        <w:spacing w:after="80" w:before="40" w:line="340"/>
      </w:pPr>
      <w:r>
        <w:rPr>
          <w:rFonts w:ascii="Times New Roman" w:cs="Times New Roman" w:eastAsia="Times New Roman" w:hAnsi="Times New Roman"/>
          <w:i w:val="false"/>
          <w:iCs w:val="false"/>
          <w:sz w:val="24"/>
          <w:szCs w:val="24"/>
        </w:rPr>
        <w:t xml:space="preserve">Puntaje de resolución menor a 12/25: se recomienda confirmar explícitamente al cliente que su solicitud fue atendida antes de cerrar la llamada.</w:t>
      </w:r>
    </w:p>
    <w:p>
      <w:pPr>
        <w:spacing w:after="80" w:before="80"/>
      </w:pPr>
      <w:r>
        <w:t xml:space="preserve"/>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Cuando ninguna de las condiciones de alerta se cumple, el sistema emite una única recomendación positiva reconociendo el excelente desempeño, lo que permite utilizar estas interacciones como material de referencia en los procesos de capacitación del equipo. Las recomendaciones generadas son almacenadas junto con el puntaje en el historial de análisis, permitiendo la agregación estadística de los problemas más frecuentes a través del endpoint /kpi/general-score, que consolida los issues recurrentes a nivel de equipo para orientar las decisiones de capacitación del management.</w:t>
      </w:r>
    </w:p>
    <w:p>
      <w:pPr>
        <w:spacing w:after="80" w:before="240"/>
      </w:pPr>
      <w:r>
        <w:t xml:space="preserve"/>
      </w:r>
    </w:p>
    <w:p>
      <w:pPr>
        <w:pBdr>
          <w:top w:val="single" w:color="2E4099" w:sz="6"/>
        </w:pBdr>
        <w:spacing w:after="0" w:before="240"/>
        <w:jc w:val="center"/>
      </w:pPr>
      <w:r>
        <w:rPr>
          <w:rFonts w:ascii="Times New Roman" w:cs="Times New Roman" w:eastAsia="Times New Roman" w:hAnsi="Times New Roman"/>
          <w:i/>
          <w:iCs/>
          <w:color w:val="2E4099"/>
          <w:sz w:val="20"/>
          <w:szCs w:val="20"/>
        </w:rPr>
        <w:t xml:space="preserve">— Fin del documento. Continuar con secciones 3.12 al 3.15 cuando el autor lo solicite. —</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2026-02-26T22:16:27.226Z</dcterms:created>
  <dcterms:modified xsi:type="dcterms:W3CDTF">2026-02-26T22:16:27.226Z</dcterms:modified>
</cp:coreProperties>
</file>

<file path=docProps/custom.xml><?xml version="1.0" encoding="utf-8"?>
<Properties xmlns="http://schemas.openxmlformats.org/officeDocument/2006/custom-properties" xmlns:vt="http://schemas.openxmlformats.org/officeDocument/2006/docPropsVTypes"/>
</file>