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6A817" w:sz="4"/>
        </w:pBdr>
        <w:shd w:fill="FFF3CD" w:val="clear"/>
        <w:spacing w:after="0" w:before="0"/>
        <w:jc w:val="center"/>
      </w:pPr>
      <w:r>
        <w:rPr>
          <w:rFonts w:ascii="Arial" w:cs="Arial" w:eastAsia="Arial" w:hAnsi="Arial"/>
          <w:b/>
          <w:bCs/>
          <w:color w:val="7B4F00"/>
          <w:sz w:val="22"/>
          <w:szCs w:val="22"/>
        </w:rPr>
        <w:t xml:space="preserve">INSTRUCCIONES DE INTEGRACIÓN</w:t>
      </w:r>
    </w:p>
    <w:p>
      <w:pPr>
        <w:spacing w:after="200" w:before="80"/>
        <w:jc w:val="both"/>
      </w:pPr>
      <w:r>
        <w:rPr>
          <w:rFonts w:ascii="Arial" w:cs="Arial" w:eastAsia="Arial" w:hAnsi="Arial"/>
          <w:i/>
          <w:iCs/>
          <w:color w:val="5A5A5A"/>
          <w:sz w:val="20"/>
          <w:szCs w:val="20"/>
        </w:rPr>
        <w:t xml:space="preserve">Este documento contiene dos bloques listos para insertar en la tesis. Sección A → insertar al final de la sección 3.9 (Interfaz / Frontend). Sección B → insertar como nueva sección 3.15 al final del Capítulo 3.</w:t>
      </w:r>
    </w:p>
    <w:p>
      <w:pPr>
        <w:pBdr>
          <w:top w:val="single" w:color="2E4099" w:sz="4" w:space="1"/>
        </w:pBdr>
        <w:spacing w:after="320" w:before="480"/>
        <w:jc w:val="center"/>
      </w:pPr>
      <w:r>
        <w:rPr>
          <w:rFonts w:ascii="Arial" w:cs="Arial" w:eastAsia="Arial" w:hAnsi="Arial"/>
          <w:b/>
          <w:bCs/>
          <w:color w:val="2E4099"/>
          <w:sz w:val="20"/>
          <w:szCs w:val="20"/>
        </w:rPr>
        <w:t xml:space="preserve">SECCIÓN A — Insertar al final de 3.9 (Interfaz / Frontend)</w:t>
      </w:r>
    </w:p>
    <w:p>
      <w:pPr>
        <w:spacing w:after="160" w:before="320"/>
        <w:jc w:val="left"/>
      </w:pPr>
      <w:r>
        <w:rPr>
          <w:rFonts w:ascii="Times New Roman" w:cs="Times New Roman" w:eastAsia="Times New Roman" w:hAnsi="Times New Roman"/>
          <w:b/>
          <w:bCs/>
          <w:sz w:val="24"/>
          <w:szCs w:val="24"/>
        </w:rPr>
        <w:t xml:space="preserve">3.9.5 Vista General y Exportación Consolidada</w:t>
      </w:r>
    </w:p>
    <w:p>
      <w:pPr>
        <w:spacing w:after="160" w:before="160" w:line="360"/>
        <w:ind w:firstLine="720"/>
        <w:jc w:val="both"/>
      </w:pPr>
      <w:r>
        <w:rPr>
          <w:rFonts w:ascii="Times New Roman" w:cs="Times New Roman" w:eastAsia="Times New Roman" w:hAnsi="Times New Roman"/>
          <w:b w:val="false"/>
          <w:bCs w:val="false"/>
          <w:sz w:val="24"/>
          <w:szCs w:val="24"/>
        </w:rPr>
        <w:t xml:space="preserve">La versión V9 del sistema incorpora dos capacidades transversales al módulo de interfaz que elevan significativamente su utilidad operativa en entornos de call center: una tabla maestra de historial de llamadas con ordenamiento dinámico, y un motor de exportación multi-formato con generación opcional de reportes PDF enriquecidos por el LLM local.</w:t>
      </w:r>
    </w:p>
    <w:p>
      <w:pPr>
        <w:spacing w:after="120" w:before="240"/>
        <w:jc w:val="left"/>
      </w:pPr>
      <w:r>
        <w:rPr>
          <w:rFonts w:ascii="Times New Roman" w:cs="Times New Roman" w:eastAsia="Times New Roman" w:hAnsi="Times New Roman"/>
          <w:b/>
          <w:bCs/>
          <w:i/>
          <w:iCs/>
          <w:sz w:val="24"/>
          <w:szCs w:val="24"/>
        </w:rPr>
        <w:t xml:space="preserve">3.9.5.1  Tabla Maestra de Historial de Llamadas</w:t>
      </w:r>
    </w:p>
    <w:p>
      <w:pPr>
        <w:spacing w:after="160" w:before="160" w:line="360"/>
        <w:ind w:firstLine="720"/>
        <w:jc w:val="both"/>
      </w:pPr>
      <w:r>
        <w:rPr>
          <w:rFonts w:ascii="Times New Roman" w:cs="Times New Roman" w:eastAsia="Times New Roman" w:hAnsi="Times New Roman"/>
          <w:b w:val="false"/>
          <w:bCs w:val="false"/>
          <w:sz w:val="24"/>
          <w:szCs w:val="24"/>
        </w:rPr>
        <w:t xml:space="preserve">El panel de Scoring presenta una tabla maestra que consolida todos los análisis procesados durante la sesión activa. Cada fila corresponde a una llamada y expone de forma directa los atributos más relevantes para la supervisión de calidad: nombre del archivo, score global sobre 100 puntos, nivel de clasificación textual, puntuaciones por dimensión (Tono Emocional, Palabras Clave, Resolución y Protocolo) y la emoción predominante detectada. La tabla admite ordenamiento dinámico por cualquier columna mediante clic en el encabezado, lo que facilita la identificación rápida de llamadas con bajo rendimiento o patrones anómalos sin necesidad de exportar los datos a una herramienta externa.</w:t>
      </w:r>
    </w:p>
    <w:p>
      <w:pPr>
        <w:spacing w:after="160" w:before="160" w:line="360"/>
        <w:ind w:firstLine="720"/>
        <w:jc w:val="both"/>
      </w:pPr>
      <w:r>
        <w:rPr>
          <w:rFonts w:ascii="Times New Roman" w:cs="Times New Roman" w:eastAsia="Times New Roman" w:hAnsi="Times New Roman"/>
          <w:b w:val="false"/>
          <w:bCs w:val="false"/>
          <w:sz w:val="24"/>
          <w:szCs w:val="24"/>
        </w:rPr>
        <w:t xml:space="preserve">El historial de llamadas es persistido en disco a través del módulo history_routes.py, con capacidad máxima de 500 registros gestionados en formato JSON. Al acceder a la pestaña Historial, el dashboard recupera automáticamente los registros previos mediante el endpoint GET /history/, permitiendo la continuidad del trabajo entre sesiones y la recuperación de cualquier análisis anterior con un solo clic.</w:t>
      </w:r>
    </w:p>
    <w:p>
      <w:pPr>
        <w:spacing w:after="120" w:before="240"/>
        <w:jc w:val="left"/>
      </w:pPr>
      <w:r>
        <w:rPr>
          <w:rFonts w:ascii="Times New Roman" w:cs="Times New Roman" w:eastAsia="Times New Roman" w:hAnsi="Times New Roman"/>
          <w:b/>
          <w:bCs/>
          <w:i/>
          <w:iCs/>
          <w:sz w:val="24"/>
          <w:szCs w:val="24"/>
        </w:rPr>
        <w:t xml:space="preserve">3.9.5.2  Presets de Análisis</w:t>
      </w:r>
    </w:p>
    <w:p>
      <w:pPr>
        <w:spacing w:after="160" w:before="160" w:line="360"/>
        <w:ind w:firstLine="720"/>
        <w:jc w:val="both"/>
      </w:pPr>
      <w:r>
        <w:rPr>
          <w:rFonts w:ascii="Times New Roman" w:cs="Times New Roman" w:eastAsia="Times New Roman" w:hAnsi="Times New Roman"/>
          <w:b w:val="false"/>
          <w:bCs w:val="false"/>
          <w:sz w:val="24"/>
          <w:szCs w:val="24"/>
        </w:rPr>
        <w:t xml:space="preserve">Para reducir la curva de configuración, el panel de análisis expone tres presets que predeterminan la ponderación entre la señal acústica y el contenido textual en el modelo de emoción multi-modal. La Tabla 25 describe cada preset, su distribución de pesos y el escenario de uso recomendado.</w:t>
      </w:r>
    </w:p>
    <w:p>
      <w:pPr>
        <w:spacing w:after="120" w:before="240"/>
        <w:jc w:val="center"/>
      </w:pPr>
      <w:r>
        <w:rPr>
          <w:rFonts w:ascii="Times New Roman" w:cs="Times New Roman" w:eastAsia="Times New Roman" w:hAnsi="Times New Roman"/>
          <w:b/>
          <w:bCs/>
          <w:sz w:val="24"/>
          <w:szCs w:val="24"/>
        </w:rPr>
        <w:t xml:space="preserve">Tabla 25</w:t>
      </w:r>
    </w:p>
    <w:p>
      <w:pPr>
        <w:spacing w:after="120" w:before="240"/>
        <w:jc w:val="center"/>
      </w:pPr>
      <w:r>
        <w:rPr>
          <w:rFonts w:ascii="Times New Roman" w:cs="Times New Roman" w:eastAsia="Times New Roman" w:hAnsi="Times New Roman"/>
          <w:b/>
          <w:bCs/>
          <w:sz w:val="24"/>
          <w:szCs w:val="24"/>
        </w:rPr>
        <w:t xml:space="preserve">Presets de análisis emocional disponibles en el dashboard</w:t>
      </w:r>
    </w:p>
    <w:tbl>
      <w:tblPr>
        <w:tblW w:type="dxa" w:w="8208"/>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408"/>
        <w:gridCol w:w="2100"/>
      </w:tblGrid>
      <w:tr>
        <w:tc>
          <w:tcPr>
            <w:tcW w:type="dxa" w:w="1600"/>
            <w:tcBorders>
              <w:top w:val="single" w:color="CCCCCC" w:sz="1"/>
              <w:left w:val="single" w:color="CCCCCC" w:sz="1"/>
              <w:bottom w:val="single" w:color="CCCCCC" w:sz="1"/>
              <w:right w:val="single" w:color="CCCCCC" w:sz="1"/>
            </w:tcBorders>
            <w:shd w:fill="6B35A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Preset</w:t>
            </w:r>
          </w:p>
        </w:tc>
        <w:tc>
          <w:tcPr>
            <w:tcW w:type="dxa" w:w="2100"/>
            <w:tcBorders>
              <w:top w:val="single" w:color="CCCCCC" w:sz="1"/>
              <w:left w:val="single" w:color="CCCCCC" w:sz="1"/>
              <w:bottom w:val="single" w:color="CCCCCC" w:sz="1"/>
              <w:right w:val="single" w:color="CCCCCC" w:sz="1"/>
            </w:tcBorders>
            <w:shd w:fill="6B35A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Descripción</w:t>
            </w:r>
          </w:p>
        </w:tc>
        <w:tc>
          <w:tcPr>
            <w:tcW w:type="dxa" w:w="2408"/>
            <w:tcBorders>
              <w:top w:val="single" w:color="CCCCCC" w:sz="1"/>
              <w:left w:val="single" w:color="CCCCCC" w:sz="1"/>
              <w:bottom w:val="single" w:color="CCCCCC" w:sz="1"/>
              <w:right w:val="single" w:color="CCCCCC" w:sz="1"/>
            </w:tcBorders>
            <w:shd w:fill="6B35A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Ponderación</w:t>
            </w:r>
          </w:p>
        </w:tc>
        <w:tc>
          <w:tcPr>
            <w:tcW w:type="dxa" w:w="2100"/>
            <w:tcBorders>
              <w:top w:val="single" w:color="CCCCCC" w:sz="1"/>
              <w:left w:val="single" w:color="CCCCCC" w:sz="1"/>
              <w:bottom w:val="single" w:color="CCCCCC" w:sz="1"/>
              <w:right w:val="single" w:color="CCCCCC" w:sz="1"/>
            </w:tcBorders>
            <w:shd w:fill="6B35A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Caso de uso</w:t>
            </w:r>
          </w:p>
        </w:tc>
      </w:tr>
      <w:tr>
        <w:tc>
          <w:tcPr>
            <w:tcW w:type="dxa" w:w="160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Lite</w:t>
            </w:r>
          </w:p>
        </w:tc>
        <w:tc>
          <w:tcPr>
            <w:tcW w:type="dxa" w:w="210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Solo análisis de texto</w:t>
            </w:r>
          </w:p>
        </w:tc>
        <w:tc>
          <w:tcPr>
            <w:tcW w:type="dxa" w:w="2408"/>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 audio / 100% texto</w:t>
            </w:r>
          </w:p>
        </w:tc>
        <w:tc>
          <w:tcPr>
            <w:tcW w:type="dxa" w:w="210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Transcripción sin modelo de audio; máxima velocidad en hardware limitado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Balanceado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Ponderación equilibrada</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40% audio / 60% texto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Configuración predeterminada; equilibra precisión emocional y velocidad</w:t>
            </w:r>
          </w:p>
        </w:tc>
      </w:tr>
      <w:tr>
        <w:tc>
          <w:tcPr>
            <w:tcW w:type="dxa" w:w="160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Tono</w:t>
            </w:r>
          </w:p>
        </w:tc>
        <w:tc>
          <w:tcPr>
            <w:tcW w:type="dxa" w:w="210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Énfasis en señal vocal</w:t>
            </w:r>
          </w:p>
        </w:tc>
        <w:tc>
          <w:tcPr>
            <w:tcW w:type="dxa" w:w="2408"/>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70% audio / 30% texto</w:t>
            </w:r>
          </w:p>
        </w:tc>
        <w:tc>
          <w:tcPr>
            <w:tcW w:type="dxa" w:w="210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Prioriza prosodia y tono de voz; recomendado para auditorías de calidad</w:t>
            </w:r>
          </w:p>
        </w:tc>
      </w:tr>
    </w:tbl>
    <w:p>
      <w:pPr>
        <w:spacing w:after="160" w:before="80"/>
        <w:ind/>
        <w:jc w:val="both"/>
      </w:pPr>
      <w:r>
        <w:rPr>
          <w:rFonts w:ascii="Times New Roman" w:cs="Times New Roman" w:eastAsia="Times New Roman" w:hAnsi="Times New Roman"/>
          <w:i/>
          <w:iCs/>
          <w:sz w:val="20"/>
          <w:szCs w:val="20"/>
        </w:rPr>
        <w:t xml:space="preserve">Nota. El preset Balanceado es el valor predeterminado del sistema. La selección del preset Lite desactiva el modelo de audio y reduce la latencia de procesamiento en aproximadamente un 35 % en hardware sin GPU dedicada.</w:t>
      </w:r>
    </w:p>
    <w:p>
      <w:pPr>
        <w:spacing w:after="120" w:before="240"/>
        <w:jc w:val="left"/>
      </w:pPr>
      <w:r>
        <w:rPr>
          <w:rFonts w:ascii="Times New Roman" w:cs="Times New Roman" w:eastAsia="Times New Roman" w:hAnsi="Times New Roman"/>
          <w:b/>
          <w:bCs/>
          <w:i/>
          <w:iCs/>
          <w:sz w:val="24"/>
          <w:szCs w:val="24"/>
        </w:rPr>
        <w:t xml:space="preserve">3.9.5.3  Exportación Multi-Formato</w:t>
      </w:r>
    </w:p>
    <w:p>
      <w:pPr>
        <w:spacing w:after="160" w:before="160" w:line="360"/>
        <w:ind w:firstLine="720"/>
        <w:jc w:val="both"/>
      </w:pPr>
      <w:r>
        <w:rPr>
          <w:rFonts w:ascii="Times New Roman" w:cs="Times New Roman" w:eastAsia="Times New Roman" w:hAnsi="Times New Roman"/>
          <w:b w:val="false"/>
          <w:bCs w:val="false"/>
          <w:sz w:val="24"/>
          <w:szCs w:val="24"/>
        </w:rPr>
        <w:t xml:space="preserve">El sistema soporta seis formatos de exportación, seleccionables desde la barra de herramientas de resultados. Cada formato responde a un caso de uso específico, desde la integración técnica con sistemas externos hasta la supervisión gerencial. La Tabla 24 describe los formatos disponibles, su contenido y el módulo de backend responsable.</w:t>
      </w:r>
    </w:p>
    <w:p>
      <w:pPr>
        <w:spacing w:after="120" w:before="240"/>
        <w:jc w:val="center"/>
      </w:pPr>
      <w:r>
        <w:rPr>
          <w:rFonts w:ascii="Times New Roman" w:cs="Times New Roman" w:eastAsia="Times New Roman" w:hAnsi="Times New Roman"/>
          <w:b/>
          <w:bCs/>
          <w:sz w:val="24"/>
          <w:szCs w:val="24"/>
        </w:rPr>
        <w:t xml:space="preserve">Tabla 24</w:t>
      </w:r>
    </w:p>
    <w:p>
      <w:pPr>
        <w:spacing w:after="120" w:before="240"/>
        <w:jc w:val="center"/>
      </w:pPr>
      <w:r>
        <w:rPr>
          <w:rFonts w:ascii="Times New Roman" w:cs="Times New Roman" w:eastAsia="Times New Roman" w:hAnsi="Times New Roman"/>
          <w:b/>
          <w:bCs/>
          <w:sz w:val="24"/>
          <w:szCs w:val="24"/>
        </w:rPr>
        <w:t xml:space="preserve">Formatos de exportación disponibles en Voz-a-Texto Emocional V9</w:t>
      </w:r>
    </w:p>
    <w:tbl>
      <w:tblPr>
        <w:tblW w:type="dxa" w:w="820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2008"/>
      </w:tblGrid>
      <w:tr>
        <w:tc>
          <w:tcPr>
            <w:tcW w:type="dxa" w:w="1200"/>
            <w:tcBorders>
              <w:top w:val="single" w:color="CCCCCC" w:sz="1"/>
              <w:left w:val="single" w:color="CCCCCC" w:sz="1"/>
              <w:bottom w:val="single" w:color="CCCCCC" w:sz="1"/>
              <w:right w:val="single" w:color="CCCCCC" w:sz="1"/>
            </w:tcBorders>
            <w:shd w:fill="2E409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Formato</w:t>
            </w:r>
          </w:p>
        </w:tc>
        <w:tc>
          <w:tcPr>
            <w:tcW w:type="dxa" w:w="2400"/>
            <w:tcBorders>
              <w:top w:val="single" w:color="CCCCCC" w:sz="1"/>
              <w:left w:val="single" w:color="CCCCCC" w:sz="1"/>
              <w:bottom w:val="single" w:color="CCCCCC" w:sz="1"/>
              <w:right w:val="single" w:color="CCCCCC" w:sz="1"/>
            </w:tcBorders>
            <w:shd w:fill="2E409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Contenido exportado</w:t>
            </w:r>
          </w:p>
        </w:tc>
        <w:tc>
          <w:tcPr>
            <w:tcW w:type="dxa" w:w="2600"/>
            <w:tcBorders>
              <w:top w:val="single" w:color="CCCCCC" w:sz="1"/>
              <w:left w:val="single" w:color="CCCCCC" w:sz="1"/>
              <w:bottom w:val="single" w:color="CCCCCC" w:sz="1"/>
              <w:right w:val="single" w:color="CCCCCC" w:sz="1"/>
            </w:tcBorders>
            <w:shd w:fill="2E409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Caso de uso principal</w:t>
            </w:r>
          </w:p>
        </w:tc>
        <w:tc>
          <w:tcPr>
            <w:tcW w:type="dxa" w:w="2008"/>
            <w:tcBorders>
              <w:top w:val="single" w:color="CCCCCC" w:sz="1"/>
              <w:left w:val="single" w:color="CCCCCC" w:sz="1"/>
              <w:bottom w:val="single" w:color="CCCCCC" w:sz="1"/>
              <w:right w:val="single" w:color="CCCCCC" w:sz="1"/>
            </w:tcBorders>
            <w:shd w:fill="2E409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Módulo backend</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JSON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Datos estructurados completos (segmentos, emociones, KPIs, scoring)</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Integración con sistemas externos y re-procesamiento</w:t>
            </w:r>
          </w:p>
        </w:tc>
        <w:tc>
          <w:tcPr>
            <w:tcW w:type="dxa" w:w="2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ExportManager.export_json()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Tabla plana de segmentos con inicio, fin, hablante, emoción, texto ES/EN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Análisis estadístico en hojas de cálculo</w:t>
            </w:r>
          </w:p>
        </w:tc>
        <w:tc>
          <w:tcPr>
            <w:tcW w:type="dxa" w:w="2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ExportManager.export_csv()</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SRT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Subtítulos temporalizados con etiqueta de hablante y emoción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Incrustación de subtítulos en video</w:t>
            </w:r>
          </w:p>
        </w:tc>
        <w:tc>
          <w:tcPr>
            <w:tcW w:type="dxa" w:w="2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ExportManager.export_srt()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VTT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Subtítulos WebVTT con voz etiquetada (&lt;v Hablante&gt;)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Reproductores web HTML5</w:t>
            </w:r>
          </w:p>
        </w:tc>
        <w:tc>
          <w:tcPr>
            <w:tcW w:type="dxa" w:w="2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ExportManager.export_vtt()</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TXT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Transcripción legible con metadatos de cabecera</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Revisión humana rápida y archivo documental</w:t>
            </w:r>
          </w:p>
        </w:tc>
        <w:tc>
          <w:tcPr>
            <w:tcW w:type="dxa" w:w="2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ExportManager.export_txt()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Excel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Libro .xlsx con hoja de segmentos y hoja de resumen KPI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Reportes gerenciales y supervisión de calidad</w:t>
            </w:r>
          </w:p>
        </w:tc>
        <w:tc>
          <w:tcPr>
            <w:tcW w:type="dxa" w:w="2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Endpoint /export/excel</w:t>
            </w:r>
          </w:p>
        </w:tc>
      </w:tr>
    </w:tbl>
    <w:p>
      <w:pPr>
        <w:spacing w:after="160" w:before="80"/>
        <w:ind/>
        <w:jc w:val="both"/>
      </w:pPr>
      <w:r>
        <w:rPr>
          <w:rFonts w:ascii="Times New Roman" w:cs="Times New Roman" w:eastAsia="Times New Roman" w:hAnsi="Times New Roman"/>
          <w:i/>
          <w:iCs/>
          <w:sz w:val="20"/>
          <w:szCs w:val="20"/>
        </w:rPr>
        <w:t xml:space="preserve">Nota. El formato Excel genera un libro .xlsx con dos hojas: la primera contiene la tabla de segmentos, la segunda un resumen de KPIs. Los formatos SRT y VTT son compatibles con reproductores de video estándar y plataformas de streaming.</w:t>
      </w:r>
    </w:p>
    <w:p>
      <w:pPr>
        <w:spacing w:after="120" w:before="240"/>
        <w:jc w:val="left"/>
      </w:pPr>
      <w:r>
        <w:rPr>
          <w:rFonts w:ascii="Times New Roman" w:cs="Times New Roman" w:eastAsia="Times New Roman" w:hAnsi="Times New Roman"/>
          <w:b/>
          <w:bCs/>
          <w:i/>
          <w:iCs/>
          <w:sz w:val="24"/>
          <w:szCs w:val="24"/>
        </w:rPr>
        <w:t xml:space="preserve">3.9.5.4  Reporte PDF Consolidado con Interpretación LLM</w:t>
      </w:r>
    </w:p>
    <w:p>
      <w:pPr>
        <w:spacing w:after="160" w:before="160" w:line="360"/>
        <w:ind w:firstLine="720"/>
        <w:jc w:val="both"/>
      </w:pPr>
      <w:r>
        <w:rPr>
          <w:rFonts w:ascii="Times New Roman" w:cs="Times New Roman" w:eastAsia="Times New Roman" w:hAnsi="Times New Roman"/>
          <w:b w:val="false"/>
          <w:bCs w:val="false"/>
          <w:sz w:val="24"/>
          <w:szCs w:val="24"/>
        </w:rPr>
        <w:t xml:space="preserve">Desde la pestaña de Historial, el operador puede generar un reporte PDF consolidado que abarca el conjunto de llamadas almacenadas en la sesión. El proceso invoca el endpoint POST /export/pdf-general, que recopila los datos de scoring y KPIs agregados y construye el documento con ReportLab. La generación incluye una opción configurable (parámetro include_ai_interpretation) que, si Ollama está disponible en el entorno, solicita al modelo Qwen2.5 una interpretación ejecutiva en español de las métricas consolidadas. Cuando el LLM no está disponible, el reporte se genera igualmente con todas las métricas cuantitativas sin la sección interpretativa, garantizando que la exportación no dependa de la presencia del servicio de inteligencia artificial.</w:t>
      </w:r>
    </w:p>
    <w:p>
      <w:pPr>
        <w:spacing w:after="160" w:before="160" w:line="360"/>
        <w:ind w:firstLine="720"/>
        <w:jc w:val="both"/>
      </w:pPr>
      <w:r>
        <w:rPr>
          <w:rFonts w:ascii="Times New Roman" w:cs="Times New Roman" w:eastAsia="Times New Roman" w:hAnsi="Times New Roman"/>
          <w:b w:val="false"/>
          <w:bCs w:val="false"/>
          <w:sz w:val="24"/>
          <w:szCs w:val="24"/>
        </w:rPr>
        <w:t xml:space="preserve">Esta arquitectura de disponibilidad condicional asegura que el flujo de trabajo del supervisor no se interrumpa ante la ausencia del servicio LLM, manteniendo la funcionalidad esencial del sistema en todo momento y reservando el enriquecimiento interpretativo como una capa de valor añadido optativa.</w:t>
      </w:r>
    </w:p>
    <w:p>
      <w:pPr>
        <w:pBdr>
          <w:top w:val="single" w:color="6B35A8" w:sz="4" w:space="1"/>
        </w:pBdr>
        <w:spacing w:after="320" w:before="600"/>
        <w:jc w:val="center"/>
      </w:pPr>
      <w:r>
        <w:rPr>
          <w:rFonts w:ascii="Arial" w:cs="Arial" w:eastAsia="Arial" w:hAnsi="Arial"/>
          <w:b/>
          <w:bCs/>
          <w:color w:val="6B35A8"/>
          <w:sz w:val="20"/>
          <w:szCs w:val="20"/>
        </w:rPr>
        <w:t xml:space="preserve">SECCIÓN B — Nueva sección 3.15 (al final del Capítulo 3)</w:t>
      </w:r>
    </w:p>
    <w:p>
      <w:pPr>
        <w:spacing w:after="160" w:before="320"/>
        <w:jc w:val="left"/>
      </w:pPr>
      <w:r>
        <w:rPr>
          <w:rFonts w:ascii="Times New Roman" w:cs="Times New Roman" w:eastAsia="Times New Roman" w:hAnsi="Times New Roman"/>
          <w:b/>
          <w:bCs/>
          <w:sz w:val="24"/>
          <w:szCs w:val="24"/>
        </w:rPr>
        <w:t xml:space="preserve">3.15 Integración de LLM Local para Interpretación de Reportes</w:t>
      </w:r>
    </w:p>
    <w:p>
      <w:pPr>
        <w:spacing w:after="160" w:before="160" w:line="360"/>
        <w:ind w:firstLine="720"/>
        <w:jc w:val="both"/>
      </w:pPr>
      <w:r>
        <w:rPr>
          <w:rFonts w:ascii="Times New Roman" w:cs="Times New Roman" w:eastAsia="Times New Roman" w:hAnsi="Times New Roman"/>
          <w:b w:val="false"/>
          <w:bCs w:val="false"/>
          <w:sz w:val="24"/>
          <w:szCs w:val="24"/>
        </w:rPr>
        <w:t xml:space="preserve">La versión V9 del sistema incorpora una capa de inteligencia artificial generativa para la interpretación automática de los reportes de calidad de atención. A diferencia de las capas de análisis previas, cuya lógica es determinista y basada en reglas, esta componente emplea un modelo de lenguaje de gran escala (LLM, por sus siglas en inglés) ejecutado íntegramente en la infraestructura local mediante el motor de inferencia Ollama, lo que elimina la dependencia de servicios de terceros en la nube.</w:t>
      </w:r>
    </w:p>
    <w:p>
      <w:pPr>
        <w:spacing w:after="120" w:before="240"/>
        <w:jc w:val="left"/>
      </w:pPr>
      <w:r>
        <w:rPr>
          <w:rFonts w:ascii="Times New Roman" w:cs="Times New Roman" w:eastAsia="Times New Roman" w:hAnsi="Times New Roman"/>
          <w:b/>
          <w:bCs/>
          <w:i/>
          <w:iCs/>
          <w:sz w:val="24"/>
          <w:szCs w:val="24"/>
        </w:rPr>
        <w:t xml:space="preserve">3.15.1  Justificación de la Ejecución Local</w:t>
      </w:r>
    </w:p>
    <w:p>
      <w:pPr>
        <w:spacing w:after="160" w:before="160" w:line="360"/>
        <w:ind w:firstLine="720"/>
        <w:jc w:val="both"/>
      </w:pPr>
      <w:r>
        <w:rPr>
          <w:rFonts w:ascii="Times New Roman" w:cs="Times New Roman" w:eastAsia="Times New Roman" w:hAnsi="Times New Roman"/>
          <w:b w:val="false"/>
          <w:bCs w:val="false"/>
          <w:sz w:val="24"/>
          <w:szCs w:val="24"/>
        </w:rPr>
        <w:t xml:space="preserve">La decisión de ejecutar el LLM en modo local responde a tres criterios operativos identificados durante el diseño del sistema. La Tabla 26 contrasta las características del enfoque local con el uso de APIs en la nube para el caso de uso específico de interpretación de métricas de call center.</w:t>
      </w:r>
    </w:p>
    <w:p>
      <w:pPr>
        <w:spacing w:after="120" w:before="240"/>
        <w:jc w:val="center"/>
      </w:pPr>
      <w:r>
        <w:rPr>
          <w:rFonts w:ascii="Times New Roman" w:cs="Times New Roman" w:eastAsia="Times New Roman" w:hAnsi="Times New Roman"/>
          <w:b/>
          <w:bCs/>
          <w:sz w:val="24"/>
          <w:szCs w:val="24"/>
        </w:rPr>
        <w:t xml:space="preserve">Tabla 26</w:t>
      </w:r>
    </w:p>
    <w:p>
      <w:pPr>
        <w:spacing w:after="120" w:before="240"/>
        <w:jc w:val="center"/>
      </w:pPr>
      <w:r>
        <w:rPr>
          <w:rFonts w:ascii="Times New Roman" w:cs="Times New Roman" w:eastAsia="Times New Roman" w:hAnsi="Times New Roman"/>
          <w:b/>
          <w:bCs/>
          <w:sz w:val="24"/>
          <w:szCs w:val="24"/>
        </w:rPr>
        <w:t xml:space="preserve">Comparativa entre LLM local (Ollama) y APIs de LLM en la nube</w:t>
      </w:r>
    </w:p>
    <w:tbl>
      <w:tblPr>
        <w:tblW w:type="dxa" w:w="8208"/>
        <w:tblBorders>
          <w:top w:val="single" w:color="auto" w:sz="4"/>
          <w:left w:val="single" w:color="auto" w:sz="4"/>
          <w:bottom w:val="single" w:color="auto" w:sz="4"/>
          <w:right w:val="single" w:color="auto" w:sz="4"/>
          <w:insideH w:val="single" w:color="auto" w:sz="4"/>
          <w:insideV w:val="single" w:color="auto" w:sz="4"/>
        </w:tblBorders>
      </w:tblPr>
      <w:tblGrid>
        <w:gridCol w:w="2052"/>
        <w:gridCol w:w="2052"/>
        <w:gridCol w:w="2052"/>
        <w:gridCol w:w="2052"/>
      </w:tblGrid>
      <w:tr>
        <w:tc>
          <w:tcPr>
            <w:tcW w:type="dxa" w:w="2052"/>
            <w:tcBorders>
              <w:top w:val="single" w:color="CCCCCC" w:sz="1"/>
              <w:left w:val="single" w:color="CCCCCC" w:sz="1"/>
              <w:bottom w:val="single" w:color="CCCCCC" w:sz="1"/>
              <w:right w:val="single" w:color="CCCCCC" w:sz="1"/>
            </w:tcBorders>
            <w:shd w:fill="6B35A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Criterio</w:t>
            </w:r>
          </w:p>
        </w:tc>
        <w:tc>
          <w:tcPr>
            <w:tcW w:type="dxa" w:w="2052"/>
            <w:tcBorders>
              <w:top w:val="single" w:color="CCCCCC" w:sz="1"/>
              <w:left w:val="single" w:color="CCCCCC" w:sz="1"/>
              <w:bottom w:val="single" w:color="CCCCCC" w:sz="1"/>
              <w:right w:val="single" w:color="CCCCCC" w:sz="1"/>
            </w:tcBorders>
            <w:shd w:fill="6B35A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LLM local (Ollama)</w:t>
            </w:r>
          </w:p>
        </w:tc>
        <w:tc>
          <w:tcPr>
            <w:tcW w:type="dxa" w:w="2052"/>
            <w:tcBorders>
              <w:top w:val="single" w:color="CCCCCC" w:sz="1"/>
              <w:left w:val="single" w:color="CCCCCC" w:sz="1"/>
              <w:bottom w:val="single" w:color="CCCCCC" w:sz="1"/>
              <w:right w:val="single" w:color="CCCCCC" w:sz="1"/>
            </w:tcBorders>
            <w:shd w:fill="6B35A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API en la nube</w:t>
            </w:r>
          </w:p>
        </w:tc>
        <w:tc>
          <w:tcPr>
            <w:tcW w:type="dxa" w:w="2052"/>
            <w:tcBorders>
              <w:top w:val="single" w:color="CCCCCC" w:sz="1"/>
              <w:left w:val="single" w:color="CCCCCC" w:sz="1"/>
              <w:bottom w:val="single" w:color="CCCCCC" w:sz="1"/>
              <w:right w:val="single" w:color="CCCCCC" w:sz="1"/>
            </w:tcBorders>
            <w:shd w:fill="6B35A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Impacto en el sistema</w:t>
            </w:r>
          </w:p>
        </w:tc>
      </w:tr>
      <w:tr>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Privacidad de datos</w:t>
            </w:r>
          </w:p>
        </w:tc>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Total: los datos nunca salen del servidor local</w:t>
            </w:r>
          </w:p>
        </w:tc>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Parcial: datos enviados a servidores del proveedor</w:t>
            </w:r>
          </w:p>
        </w:tc>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Requerimiento crítico en call centers (LOPD/GDPR)</w:t>
            </w:r>
          </w:p>
        </w:tc>
      </w:tr>
      <w:tr>
        <w:tc>
          <w:tcPr>
            <w:tcW w:type="dxa" w:w="20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Costo operativo</w:t>
            </w:r>
          </w:p>
        </w:tc>
        <w:tc>
          <w:tcPr>
            <w:tcW w:type="dxa" w:w="20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Cero: inferencia local sin cuota por token</w:t>
            </w:r>
          </w:p>
        </w:tc>
        <w:tc>
          <w:tcPr>
            <w:tcW w:type="dxa" w:w="20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Variable: facturación por token consumido</w:t>
            </w:r>
          </w:p>
        </w:tc>
        <w:tc>
          <w:tcPr>
            <w:tcW w:type="dxa" w:w="20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Sostenibilidad a largo plazo sin límite de uso</w:t>
            </w:r>
          </w:p>
        </w:tc>
      </w:tr>
      <w:tr>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Latencia</w:t>
            </w:r>
          </w:p>
        </w:tc>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Red local (&lt; 1 ms overhead de transporte)</w:t>
            </w:r>
          </w:p>
        </w:tc>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Latencia de red + cola del proveedor (50–300 ms)</w:t>
            </w:r>
          </w:p>
        </w:tc>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Inferencia más predecible en entornos LAN</w:t>
            </w:r>
          </w:p>
        </w:tc>
      </w:tr>
      <w:tr>
        <w:tc>
          <w:tcPr>
            <w:tcW w:type="dxa" w:w="20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Disponibilidad offline</w:t>
            </w:r>
          </w:p>
        </w:tc>
        <w:tc>
          <w:tcPr>
            <w:tcW w:type="dxa" w:w="20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Funciona sin conexión a Internet</w:t>
            </w:r>
          </w:p>
        </w:tc>
        <w:tc>
          <w:tcPr>
            <w:tcW w:type="dxa" w:w="20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Requiere conectividad activa</w:t>
            </w:r>
          </w:p>
        </w:tc>
        <w:tc>
          <w:tcPr>
            <w:tcW w:type="dxa" w:w="20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Entornos corporativos con restricciones de red</w:t>
            </w:r>
          </w:p>
        </w:tc>
      </w:tr>
      <w:tr>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Calidad del modelo</w:t>
            </w:r>
          </w:p>
        </w:tc>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Qwen2.5:7B — suficiente para análisis de KPIs</w:t>
            </w:r>
          </w:p>
        </w:tc>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GPT-4o / Claude 3.5 — mayor capacidad general</w:t>
            </w:r>
          </w:p>
        </w:tc>
        <w:tc>
          <w:tcPr>
            <w:tcW w:type="dxa" w:w="2052"/>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Tarea acotada: interpretación de métricas estructuradas</w:t>
            </w:r>
          </w:p>
        </w:tc>
      </w:tr>
    </w:tbl>
    <w:p>
      <w:pPr>
        <w:spacing w:after="160" w:before="80"/>
        <w:ind/>
        <w:jc w:val="both"/>
      </w:pPr>
      <w:r>
        <w:rPr>
          <w:rFonts w:ascii="Times New Roman" w:cs="Times New Roman" w:eastAsia="Times New Roman" w:hAnsi="Times New Roman"/>
          <w:i/>
          <w:iCs/>
          <w:sz w:val="20"/>
          <w:szCs w:val="20"/>
        </w:rPr>
        <w:t xml:space="preserve">Nota. El modelo seleccionado, Qwen2.5:7B (7 000 millones de parámetros), fue desarrollado por Alibaba Cloud y publicado bajo licencia Apache 2.0. Su tamaño permite ejecución eficiente en CPU de propósito general sin requerir GPU dedicada, con un consumo de memoria RAM aproximado de 4.5 GB en precisión Q4.</w:t>
      </w:r>
    </w:p>
    <w:p>
      <w:pPr>
        <w:spacing w:after="120" w:before="240"/>
        <w:jc w:val="left"/>
      </w:pPr>
      <w:r>
        <w:rPr>
          <w:rFonts w:ascii="Times New Roman" w:cs="Times New Roman" w:eastAsia="Times New Roman" w:hAnsi="Times New Roman"/>
          <w:b/>
          <w:bCs/>
          <w:i/>
          <w:iCs/>
          <w:sz w:val="24"/>
          <w:szCs w:val="24"/>
        </w:rPr>
        <w:t xml:space="preserve">3.15.2  Diseño del Prompt para Análisis de Call Center</w:t>
      </w:r>
    </w:p>
    <w:p>
      <w:pPr>
        <w:spacing w:after="160" w:before="160" w:line="360"/>
        <w:ind w:firstLine="720"/>
        <w:jc w:val="both"/>
      </w:pPr>
      <w:r>
        <w:rPr>
          <w:rFonts w:ascii="Times New Roman" w:cs="Times New Roman" w:eastAsia="Times New Roman" w:hAnsi="Times New Roman"/>
          <w:b w:val="false"/>
          <w:bCs w:val="false"/>
          <w:sz w:val="24"/>
          <w:szCs w:val="24"/>
        </w:rPr>
        <w:t xml:space="preserve">El módulo ollama_interpreter.py implementa un patrón de prompt estructurado en dos bloques: un bloque de contexto que establece el rol del modelo y un bloque de datos que inyecta el resumen cuantitativo de las métricas a interpretar. La función auxiliar _prepare_data_summary() transforma el diccionario general_metrics en una representación textual plana que incluye: totales de audios, score promedio y desviación estándar, distribución de clasificaciones de calidad, promedios por dimensión con sus porcentajes de cumplimiento, distribución emocional de la sesión y los cinco problemas más frecuentes detectados. La Tabla 27 describe la estructura completa del prompt.</w:t>
      </w:r>
    </w:p>
    <w:p>
      <w:pPr>
        <w:spacing w:after="120" w:before="240"/>
        <w:jc w:val="center"/>
      </w:pPr>
      <w:r>
        <w:rPr>
          <w:rFonts w:ascii="Times New Roman" w:cs="Times New Roman" w:eastAsia="Times New Roman" w:hAnsi="Times New Roman"/>
          <w:b/>
          <w:bCs/>
          <w:sz w:val="24"/>
          <w:szCs w:val="24"/>
        </w:rPr>
        <w:t xml:space="preserve">Tabla 27</w:t>
      </w:r>
    </w:p>
    <w:p>
      <w:pPr>
        <w:spacing w:after="120" w:before="240"/>
        <w:jc w:val="center"/>
      </w:pPr>
      <w:r>
        <w:rPr>
          <w:rFonts w:ascii="Times New Roman" w:cs="Times New Roman" w:eastAsia="Times New Roman" w:hAnsi="Times New Roman"/>
          <w:b/>
          <w:bCs/>
          <w:sz w:val="24"/>
          <w:szCs w:val="24"/>
        </w:rPr>
        <w:t xml:space="preserve">Estructura del prompt enviado al modelo Qwen2.5 para interpretación de reportes</w:t>
      </w:r>
    </w:p>
    <w:tbl>
      <w:tblPr>
        <w:tblW w:type="dxa" w:w="8208"/>
        <w:tblBorders>
          <w:top w:val="single" w:color="auto" w:sz="4"/>
          <w:left w:val="single" w:color="auto" w:sz="4"/>
          <w:bottom w:val="single" w:color="auto" w:sz="4"/>
          <w:right w:val="single" w:color="auto" w:sz="4"/>
          <w:insideH w:val="single" w:color="auto" w:sz="4"/>
          <w:insideV w:val="single" w:color="auto" w:sz="4"/>
        </w:tblBorders>
      </w:tblPr>
      <w:tblGrid>
        <w:gridCol w:w="2460"/>
        <w:gridCol w:w="5748"/>
      </w:tblGrid>
      <w:tr>
        <w:tc>
          <w:tcPr>
            <w:tcW w:type="dxa" w:w="2460"/>
            <w:tcBorders>
              <w:top w:val="single" w:color="CCCCCC" w:sz="1"/>
              <w:left w:val="single" w:color="CCCCCC" w:sz="1"/>
              <w:bottom w:val="single" w:color="CCCCCC" w:sz="1"/>
              <w:right w:val="single" w:color="CCCCCC" w:sz="1"/>
            </w:tcBorders>
            <w:shd w:fill="2E409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Elemento del prompt</w:t>
            </w:r>
          </w:p>
        </w:tc>
        <w:tc>
          <w:tcPr>
            <w:tcW w:type="dxa" w:w="5748"/>
            <w:tcBorders>
              <w:top w:val="single" w:color="CCCCCC" w:sz="1"/>
              <w:left w:val="single" w:color="CCCCCC" w:sz="1"/>
              <w:bottom w:val="single" w:color="CCCCCC" w:sz="1"/>
              <w:right w:val="single" w:color="CCCCCC" w:sz="1"/>
            </w:tcBorders>
            <w:shd w:fill="2E409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Contenido / Valor</w:t>
            </w:r>
          </w:p>
        </w:tc>
      </w:tr>
      <w:tr>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Rol del sistema</w:t>
            </w:r>
          </w:p>
        </w:tc>
        <w:tc>
          <w:tcPr>
            <w:tcW w:type="dxa" w:w="574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Analista experto en calidad de servicio al cliente y call centers</w:t>
            </w:r>
          </w:p>
        </w:tc>
      </w:tr>
      <w:tr>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Bloque de datos</w:t>
            </w:r>
          </w:p>
        </w:tc>
        <w:tc>
          <w:tcPr>
            <w:tcW w:type="dxa" w:w="57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Resumen textual de métricas: total audios, score promedio, desviación estándar, distribución de clasificaciones, promedios por dimensión con porcentaje de cumplimiento, distribución emocional y top de problemas frecuentes</w:t>
            </w:r>
          </w:p>
        </w:tc>
      </w:tr>
      <w:tr>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Instrucción de salida</w:t>
            </w:r>
          </w:p>
        </w:tc>
        <w:tc>
          <w:tcPr>
            <w:tcW w:type="dxa" w:w="574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Diagnóstico general · Análisis por dimensión · Patrones identificados · Áreas críticas · Recomendaciones estratégicas (opcional)</w:t>
            </w:r>
          </w:p>
        </w:tc>
      </w:tr>
      <w:tr>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Restricciones de formato</w:t>
            </w:r>
          </w:p>
        </w:tc>
        <w:tc>
          <w:tcPr>
            <w:tcW w:type="dxa" w:w="57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Español profesional · Máximo 500 palabras · Sin headers Markdown · Viñetas de texto plano</w:t>
            </w:r>
          </w:p>
        </w:tc>
      </w:tr>
      <w:tr>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Parámetros de inferencia</w:t>
            </w:r>
          </w:p>
        </w:tc>
        <w:tc>
          <w:tcPr>
            <w:tcW w:type="dxa" w:w="574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temperature: 0.3 · top_p: 0.9 · num_predict: 1024</w:t>
            </w:r>
          </w:p>
        </w:tc>
      </w:tr>
    </w:tbl>
    <w:p>
      <w:pPr>
        <w:spacing w:after="160" w:before="80"/>
        <w:ind/>
        <w:jc w:val="both"/>
      </w:pPr>
      <w:r>
        <w:rPr>
          <w:rFonts w:ascii="Times New Roman" w:cs="Times New Roman" w:eastAsia="Times New Roman" w:hAnsi="Times New Roman"/>
          <w:i/>
          <w:iCs/>
          <w:sz w:val="20"/>
          <w:szCs w:val="20"/>
        </w:rPr>
        <w:t xml:space="preserve">Nota. El parámetro temperature en 0.3 produce respuestas deterministas y consistentes entre ejecuciones, propiedad deseable en reportes ejecutivos donde la reproducibilidad es más valiosa que la creatividad del texto generado.</w:t>
      </w:r>
    </w:p>
    <w:p>
      <w:pPr>
        <w:spacing w:after="160" w:before="160" w:line="360"/>
        <w:ind w:firstLine="720"/>
        <w:jc w:val="both"/>
      </w:pPr>
      <w:r>
        <w:rPr>
          <w:rFonts w:ascii="Times New Roman" w:cs="Times New Roman" w:eastAsia="Times New Roman" w:hAnsi="Times New Roman"/>
          <w:b w:val="false"/>
          <w:bCs w:val="false"/>
          <w:sz w:val="24"/>
          <w:szCs w:val="24"/>
        </w:rPr>
        <w:t xml:space="preserve">La instrucción de salida solicita cinco secciones interpretativas: diagnóstico general del estado del servicio, análisis por dimensión (Tono Emocional, Palabras Clave, Resolución y Protocolo), identificación de patrones y tendencias, áreas críticas que requieren atención inmediata, y un plan de recomendaciones estratégicas que puede omitirse configurando el parámetro include_recommendations=False. Esta modularidad permite adaptar la profundidad del análisis al contexto de uso, generando diagnósticos sumarios para revisiones rápidas o informes completos para auditorías formales.</w:t>
      </w:r>
    </w:p>
    <w:p>
      <w:pPr>
        <w:spacing w:after="120" w:before="240"/>
        <w:jc w:val="left"/>
      </w:pPr>
      <w:r>
        <w:rPr>
          <w:rFonts w:ascii="Times New Roman" w:cs="Times New Roman" w:eastAsia="Times New Roman" w:hAnsi="Times New Roman"/>
          <w:b/>
          <w:bCs/>
          <w:i/>
          <w:iCs/>
          <w:sz w:val="24"/>
          <w:szCs w:val="24"/>
        </w:rPr>
        <w:t xml:space="preserve">3.15.3  Flujo de Disponibilidad Condicional</w:t>
      </w:r>
    </w:p>
    <w:p>
      <w:pPr>
        <w:spacing w:after="160" w:before="160" w:line="360"/>
        <w:ind w:firstLine="720"/>
        <w:jc w:val="both"/>
      </w:pPr>
      <w:r>
        <w:rPr>
          <w:rFonts w:ascii="Times New Roman" w:cs="Times New Roman" w:eastAsia="Times New Roman" w:hAnsi="Times New Roman"/>
          <w:b w:val="false"/>
          <w:bCs w:val="false"/>
          <w:sz w:val="24"/>
          <w:szCs w:val="24"/>
        </w:rPr>
        <w:t xml:space="preserve">Un principio de diseño central del módulo es que el sistema principal no dependa de la disponibilidad del LLM para operar. La función generate_data_interpretation() implementa un patrón de degradación elegante (graceful degradation): si Ollama no se encuentra en ejecución, si el modelo Qwen2.5 no está instalado localmente, o si el tiempo de respuesta supera el umbral de 60 segundos configurado como timeout, la función retorna None sin lanzar excepciones. El módulo orquestador interpreta este valor y genera el reporte PDF sin la sección interpretativa, preservando intactas todas las métricas cuantitativas.</w:t>
      </w:r>
    </w:p>
    <w:p>
      <w:pPr>
        <w:spacing w:after="160" w:before="160" w:line="360"/>
        <w:ind w:firstLine="720"/>
        <w:jc w:val="both"/>
      </w:pPr>
      <w:r>
        <w:rPr>
          <w:rFonts w:ascii="Times New Roman" w:cs="Times New Roman" w:eastAsia="Times New Roman" w:hAnsi="Times New Roman"/>
          <w:b w:val="false"/>
          <w:bCs w:val="false"/>
          <w:sz w:val="24"/>
          <w:szCs w:val="24"/>
        </w:rPr>
        <w:t xml:space="preserve">El flujo de disponibilidad condicional opera en tres etapas sucesivas. En primer lugar, la función check_ollama_available() realiza una verificación preventiva consultando el endpoint GET /api/tags del servicio Ollama con un timeout agresivo de 5 segundos; esta función retorna un diccionario que indica si el servicio está activo, si el modelo requerido está instalado y, en caso negativo, el comando de instalación correspondiente (ollama pull qwen2.5:7b). En segundo lugar, si la verificación es exitosa, se construye y envía el prompt mediante una petición HTTP asíncrona a POST /api/generate. En tercer lugar, ante cualquier excepción de red (httpx.ConnectError), error de protocolo o respuesta HTTP distinta de 200, la función registra una advertencia en el log del sistema y retorna None, delegando al módulo llamante la decisión sobre cómo proceder sin la interpretación.</w:t>
      </w:r>
    </w:p>
    <w:p>
      <w:pPr>
        <w:spacing w:after="160" w:before="160" w:line="360"/>
        <w:ind w:firstLine="720"/>
        <w:jc w:val="both"/>
      </w:pPr>
      <w:r>
        <w:rPr>
          <w:rFonts w:ascii="Times New Roman" w:cs="Times New Roman" w:eastAsia="Times New Roman" w:hAnsi="Times New Roman"/>
          <w:b w:val="false"/>
          <w:bCs w:val="false"/>
          <w:sz w:val="24"/>
          <w:szCs w:val="24"/>
        </w:rPr>
        <w:t xml:space="preserve">Este diseño garantiza que la experiencia del usuario final permanece ininterrumpida independientemente del estado del servicio LLM. Los supervisores que no dispongan de los recursos de hardware necesarios para ejecutar Ollama obtienen reportes PDF completos en métricas; quienes sí dispongan del servicio reciben adicionalmente un análisis interpretativo en lenguaje natural que contextualiza los datos cuantitativos y propone acciones concretas de mejora, elevando el valor analítico del sistema sin comprometer su resiliencia operativa.</w:t>
      </w:r>
    </w:p>
    <w:p>
      <w:pPr>
        <w:spacing w:after="120" w:before="240"/>
        <w:jc w:val="left"/>
      </w:pPr>
      <w:r>
        <w:rPr>
          <w:rFonts w:ascii="Times New Roman" w:cs="Times New Roman" w:eastAsia="Times New Roman" w:hAnsi="Times New Roman"/>
          <w:b/>
          <w:bCs/>
          <w:i/>
          <w:iCs/>
          <w:sz w:val="24"/>
          <w:szCs w:val="24"/>
        </w:rPr>
        <w:t xml:space="preserve">3.15.4  Integración con el Pipeline de Generación de Reportes</w:t>
      </w:r>
    </w:p>
    <w:p>
      <w:pPr>
        <w:spacing w:after="160" w:before="160" w:line="360"/>
        <w:ind w:firstLine="720"/>
        <w:jc w:val="both"/>
      </w:pPr>
      <w:r>
        <w:rPr>
          <w:rFonts w:ascii="Times New Roman" w:cs="Times New Roman" w:eastAsia="Times New Roman" w:hAnsi="Times New Roman"/>
          <w:b w:val="false"/>
          <w:bCs w:val="false"/>
          <w:sz w:val="24"/>
          <w:szCs w:val="24"/>
        </w:rPr>
        <w:t xml:space="preserve">El módulo ollama_interpreter.py opera exclusivamente en la fase de generación de reportes y no interviene en el pipeline principal de transcripción y análisis emocional. Esta separación de responsabilidades cumple dos objetivos: primero, evita que la latencia de inferencia del LLM —que puede oscilar entre 5 y 30 segundos dependiendo del hardware— afecte al tiempo de respuesta del análisis de audio en tiempo real; segundo, permite que el módulo sea activado o desactivado de forma independiente sin modificar el resto del sistema. La invocación se realiza únicamente cuando el operador solicita explícitamente un reporte PDF consolidado con el parámetro include_ai_interpretation=true, marcando así una frontera deliberada entre el procesamiento automático del audio y la interpretación asistida por IA generativa.</w:t>
      </w:r>
    </w:p>
    <w:p>
      <w:pPr>
        <w:spacing w:after="160" w:before="160" w:line="360"/>
        <w:ind w:firstLine="720"/>
        <w:jc w:val="both"/>
      </w:pPr>
      <w:r>
        <w:rPr>
          <w:rFonts w:ascii="Times New Roman" w:cs="Times New Roman" w:eastAsia="Times New Roman" w:hAnsi="Times New Roman"/>
          <w:b w:val="false"/>
          <w:bCs w:val="false"/>
          <w:sz w:val="24"/>
          <w:szCs w:val="24"/>
        </w:rPr>
        <w:t xml:space="preserve">La configuración del servicio Ollama es gestionada a través de variables de entorno: OLLAMA_BASE_URL define la dirección del servidor (por defecto http://localhost:11434, sobreescribible en despliegues Docker mediante docker-compose.yml) y OLLAMA_MODEL especifica el identificador del modelo a usar (valor predeterminado qwen2.5:7b). Esta parametrización facilita la migración a modelos futuros de mayor capacidad o la sustitución por cualquier otro modelo compatible con la API de Ollama sin necesidad de modificar el código fuente del módulo.</w:t>
      </w:r>
    </w:p>
    <w:sectPr>
      <w:pgSz w:w="12240" w:h="15840" w:orient="portrait"/>
      <w:pgMar w:top="1440" w:right="1440" w:bottom="1440" w:left="25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2026-02-26T22:21:58.096Z</dcterms:created>
  <dcterms:modified xsi:type="dcterms:W3CDTF">2026-02-26T22:21:58.097Z</dcterms:modified>
</cp:coreProperties>
</file>

<file path=docProps/custom.xml><?xml version="1.0" encoding="utf-8"?>
<Properties xmlns="http://schemas.openxmlformats.org/officeDocument/2006/custom-properties" xmlns:vt="http://schemas.openxmlformats.org/officeDocument/2006/docPropsVTypes"/>
</file>