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Information Retrieval and Web Analytics</w:t>
      </w:r>
    </w:p>
    <w:p>
      <w:pPr>
        <w:widowControl/>
      </w:pPr>
      <w:r>
        <w:t>IT3041  |  Group assignment  |  Final submission</w:t>
      </w:r>
    </w:p>
    <w:p>
      <w:pPr>
        <w:widowControl/>
      </w:pPr>
    </w:p>
    <w:p>
      <w:pPr>
        <w:pStyle w:val="Title"/>
        <w:widowControl/>
      </w:pPr>
      <w:r>
        <w:t>SkillScout AI</w:t>
      </w:r>
    </w:p>
    <w:p>
      <w:pPr>
        <w:pStyle w:val="Subtitle"/>
        <w:widowControl/>
      </w:pPr>
      <w:r>
        <w:t>Final Technical Report</w:t>
      </w:r>
    </w:p>
    <w:p>
      <w:pPr>
        <w:widowControl/>
      </w:pPr>
      <w:r>
        <w:t>Personalised employee training through four cooperating agents</w:t>
      </w:r>
    </w:p>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08"/>
        <w:gridCol w:w="3096"/>
      </w:tblGrid>
      <w:tr>
        <w:trPr>
          <w:tblHeader/>
          <w:cantSplit/>
        </w:trPr>
        <w:tc>
          <w:tcPr>
            <w:tcW w:type="dxa" w:w="6408"/>
            <w:vAlign w:val="center"/>
            <w:tcMar>
              <w:top w:w="95" w:type="dxa"/>
              <w:bottom w:w="95" w:type="dxa"/>
              <w:left w:w="95" w:type="dxa"/>
              <w:right w:w="95" w:type="dxa"/>
            </w:tcMar>
            <w:shd w:fill="333C43"/>
          </w:tcPr>
          <w:p>
            <w:pPr>
              <w:spacing w:after="40" w:before="40" w:line="247" w:lineRule="auto"/>
            </w:pPr>
            <w:r>
              <w:rPr>
                <w:b/>
                <w:color w:val="FFFFFF"/>
                <w:sz w:val="19"/>
              </w:rPr>
              <w:t>Group member</w:t>
            </w:r>
          </w:p>
        </w:tc>
        <w:tc>
          <w:tcPr>
            <w:tcW w:type="dxa" w:w="3096"/>
            <w:vAlign w:val="center"/>
            <w:tcMar>
              <w:top w:w="95" w:type="dxa"/>
              <w:bottom w:w="95" w:type="dxa"/>
              <w:left w:w="95" w:type="dxa"/>
              <w:right w:w="95" w:type="dxa"/>
            </w:tcMar>
            <w:shd w:fill="333C43"/>
          </w:tcPr>
          <w:p>
            <w:pPr>
              <w:spacing w:after="40" w:before="40" w:line="247" w:lineRule="auto"/>
            </w:pPr>
            <w:r>
              <w:rPr>
                <w:b/>
                <w:color w:val="FFFFFF"/>
                <w:sz w:val="19"/>
              </w:rPr>
              <w:t>Student ID</w:t>
            </w:r>
          </w:p>
        </w:tc>
      </w:tr>
      <w:tr>
        <w:trPr>
          <w:cantSplit/>
        </w:trPr>
        <w:tc>
          <w:tcPr>
            <w:tcW w:type="dxa" w:w="6408"/>
            <w:vAlign w:val="center"/>
            <w:tcMar>
              <w:top w:w="95" w:type="dxa"/>
              <w:bottom w:w="95" w:type="dxa"/>
              <w:left w:w="95" w:type="dxa"/>
              <w:right w:w="95" w:type="dxa"/>
            </w:tcMar>
            <w:shd w:fill="FFFFFF"/>
          </w:tcPr>
          <w:p>
            <w:pPr>
              <w:spacing w:after="40" w:before="40" w:line="247" w:lineRule="auto"/>
            </w:pPr>
            <w:r>
              <w:rPr>
                <w:b w:val="0"/>
                <w:color w:val="000000"/>
                <w:sz w:val="19"/>
              </w:rPr>
              <w:t>C N Wijesekara</w:t>
            </w:r>
          </w:p>
        </w:tc>
        <w:tc>
          <w:tcPr>
            <w:tcW w:type="dxa" w:w="3096"/>
            <w:vAlign w:val="center"/>
            <w:tcMar>
              <w:top w:w="95" w:type="dxa"/>
              <w:bottom w:w="95" w:type="dxa"/>
              <w:left w:w="95" w:type="dxa"/>
              <w:right w:w="95" w:type="dxa"/>
            </w:tcMar>
            <w:shd w:fill="FFFFFF"/>
          </w:tcPr>
          <w:p>
            <w:pPr>
              <w:spacing w:after="40" w:before="40" w:line="247" w:lineRule="auto"/>
            </w:pPr>
            <w:r>
              <w:rPr>
                <w:b w:val="0"/>
                <w:color w:val="000000"/>
                <w:sz w:val="19"/>
              </w:rPr>
              <w:t>IT23542006</w:t>
            </w:r>
          </w:p>
        </w:tc>
      </w:tr>
      <w:tr>
        <w:trPr>
          <w:cantSplit/>
        </w:trPr>
        <w:tc>
          <w:tcPr>
            <w:tcW w:type="dxa" w:w="6408"/>
            <w:vAlign w:val="center"/>
            <w:tcMar>
              <w:top w:w="95" w:type="dxa"/>
              <w:bottom w:w="95" w:type="dxa"/>
              <w:left w:w="95" w:type="dxa"/>
              <w:right w:w="95" w:type="dxa"/>
            </w:tcMar>
            <w:shd w:fill="F4F6F7"/>
          </w:tcPr>
          <w:p>
            <w:pPr>
              <w:spacing w:after="40" w:before="40" w:line="247" w:lineRule="auto"/>
            </w:pPr>
            <w:r>
              <w:rPr>
                <w:b w:val="0"/>
                <w:color w:val="000000"/>
                <w:sz w:val="19"/>
              </w:rPr>
              <w:t>K N Weerakkody</w:t>
            </w:r>
          </w:p>
        </w:tc>
        <w:tc>
          <w:tcPr>
            <w:tcW w:type="dxa" w:w="3096"/>
            <w:vAlign w:val="center"/>
            <w:tcMar>
              <w:top w:w="95" w:type="dxa"/>
              <w:bottom w:w="95" w:type="dxa"/>
              <w:left w:w="95" w:type="dxa"/>
              <w:right w:w="95" w:type="dxa"/>
            </w:tcMar>
            <w:shd w:fill="F4F6F7"/>
          </w:tcPr>
          <w:p>
            <w:pPr>
              <w:spacing w:after="40" w:before="40" w:line="247" w:lineRule="auto"/>
            </w:pPr>
            <w:r>
              <w:rPr>
                <w:b w:val="0"/>
                <w:color w:val="000000"/>
                <w:sz w:val="19"/>
              </w:rPr>
              <w:t>IT23607200</w:t>
            </w:r>
          </w:p>
        </w:tc>
      </w:tr>
      <w:tr>
        <w:trPr>
          <w:cantSplit/>
        </w:trPr>
        <w:tc>
          <w:tcPr>
            <w:tcW w:type="dxa" w:w="6408"/>
            <w:vAlign w:val="center"/>
            <w:tcMar>
              <w:top w:w="95" w:type="dxa"/>
              <w:bottom w:w="95" w:type="dxa"/>
              <w:left w:w="95" w:type="dxa"/>
              <w:right w:w="95" w:type="dxa"/>
            </w:tcMar>
            <w:shd w:fill="FFFFFF"/>
          </w:tcPr>
          <w:p>
            <w:pPr>
              <w:spacing w:after="40" w:before="40" w:line="247" w:lineRule="auto"/>
            </w:pPr>
            <w:r>
              <w:rPr>
                <w:b w:val="0"/>
                <w:color w:val="000000"/>
                <w:sz w:val="19"/>
              </w:rPr>
              <w:t>Dinadi Jayathilake</w:t>
            </w:r>
          </w:p>
        </w:tc>
        <w:tc>
          <w:tcPr>
            <w:tcW w:type="dxa" w:w="3096"/>
            <w:vAlign w:val="center"/>
            <w:tcMar>
              <w:top w:w="95" w:type="dxa"/>
              <w:bottom w:w="95" w:type="dxa"/>
              <w:left w:w="95" w:type="dxa"/>
              <w:right w:w="95" w:type="dxa"/>
            </w:tcMar>
            <w:shd w:fill="FFFFFF"/>
          </w:tcPr>
          <w:p>
            <w:pPr>
              <w:spacing w:after="40" w:before="40" w:line="247" w:lineRule="auto"/>
            </w:pPr>
            <w:r>
              <w:rPr>
                <w:b w:val="0"/>
                <w:color w:val="000000"/>
                <w:sz w:val="19"/>
              </w:rPr>
              <w:t>IT23608504</w:t>
            </w:r>
          </w:p>
        </w:tc>
      </w:tr>
      <w:tr>
        <w:trPr>
          <w:cantSplit/>
        </w:trPr>
        <w:tc>
          <w:tcPr>
            <w:tcW w:type="dxa" w:w="6408"/>
            <w:vAlign w:val="center"/>
            <w:tcMar>
              <w:top w:w="95" w:type="dxa"/>
              <w:bottom w:w="95" w:type="dxa"/>
              <w:left w:w="95" w:type="dxa"/>
              <w:right w:w="95" w:type="dxa"/>
            </w:tcMar>
            <w:shd w:fill="F4F6F7"/>
          </w:tcPr>
          <w:p>
            <w:pPr>
              <w:spacing w:after="40" w:before="40" w:line="247" w:lineRule="auto"/>
            </w:pPr>
            <w:r>
              <w:rPr>
                <w:b w:val="0"/>
                <w:color w:val="000000"/>
                <w:sz w:val="19"/>
              </w:rPr>
              <w:t>Sanali Sudugodage</w:t>
            </w:r>
          </w:p>
        </w:tc>
        <w:tc>
          <w:tcPr>
            <w:tcW w:type="dxa" w:w="3096"/>
            <w:vAlign w:val="center"/>
            <w:tcMar>
              <w:top w:w="95" w:type="dxa"/>
              <w:bottom w:w="95" w:type="dxa"/>
              <w:left w:w="95" w:type="dxa"/>
              <w:right w:w="95" w:type="dxa"/>
            </w:tcMar>
            <w:shd w:fill="F4F6F7"/>
          </w:tcPr>
          <w:p>
            <w:pPr>
              <w:spacing w:after="40" w:before="40" w:line="247" w:lineRule="auto"/>
            </w:pPr>
            <w:r>
              <w:rPr>
                <w:b w:val="0"/>
                <w:color w:val="000000"/>
                <w:sz w:val="19"/>
              </w:rPr>
              <w:t>IT22557742</w:t>
            </w:r>
          </w:p>
        </w:tc>
      </w:tr>
    </w:tbl>
    <w:p>
      <w:pPr>
        <w:widowControl/>
        <w:spacing w:line="20" w:lineRule="exact" w:after="100"/>
      </w:pPr>
    </w:p>
    <w:p>
      <w:pPr>
        <w:widowControl/>
      </w:pPr>
      <w:r>
        <w:t>Lecturer in charge: Mr. Samadhi Chathuranga Rathnayake</w:t>
      </w:r>
    </w:p>
    <w:p>
      <w:pPr>
        <w:widowControl/>
      </w:pPr>
      <w:r>
        <w:t>Submission date: 28 September 2026</w:t>
      </w:r>
    </w:p>
    <w:p>
      <w:pPr>
        <w:pStyle w:val="Heading2"/>
      </w:pPr>
      <w:r>
        <w:t>Report purpose</w:t>
      </w:r>
    </w:p>
    <w:p>
      <w:pPr>
        <w:widowControl/>
      </w:pPr>
      <w:r>
        <w:t>This report describes the design, implementation and evaluation of SkillScout AI. It explains how the four agents work, how the prototype handles employee information, and what would be required to offer the system to an organisation as a paid service.</w:t>
      </w:r>
    </w:p>
    <w:p>
      <w:pPr>
        <w:widowControl/>
      </w:pPr>
      <w:r>
        <w:t>The coursework implementation runs locally. It uses an Ollama language model and a supplied demonstration catalogue, so it does not depend on purchased language-model API keys or live LinkedIn access. The commercial proposal treats external integrations and production hardening as further engineering work.</w:t>
      </w:r>
    </w:p>
    <w:p>
      <w:pPr>
        <w:widowControl/>
      </w:pPr>
      <w:r>
        <w:t>Project repository: https://github.com/CheNivain/Skillscout-AI</w:t>
      </w:r>
    </w:p>
    <w:p>
      <w:pPr>
        <w:pStyle w:val="Heading1"/>
        <w:pageBreakBefore/>
      </w:pPr>
      <w:r>
        <w:t>Abstract and report structure</w:t>
      </w:r>
    </w:p>
    <w:p>
      <w:pPr>
        <w:widowControl/>
      </w:pPr>
      <w:r>
        <w:t>SkillScout AI helps IT employees identify training that supports their current role and future career goal. We built a browser interface, a central API gateway and four specialised agent services. The first agent identifies skill gaps, the second extracts learning topics from supplied content, the third retrieves relevant courses, and the fourth scores recommendations and identifies notification candidates. The gateway coordinates the process and stores the results.</w:t>
      </w:r>
    </w:p>
    <w:p>
      <w:pPr>
        <w:widowControl/>
      </w:pPr>
      <w:r>
        <w:t>The prototype combines a curated skill taxonomy, dictionary-based language processing, BM25 and TF-IDF retrieval, transparent scoring and optional local language-model assistance. It includes authentication, access controls, explicit consent, recommendation explanations, data export and account deletion. Its course metadata and learning posts are demonstration data, so it demonstrates the workflow without claiming to measure live market demand.</w:t>
      </w:r>
    </w:p>
    <w:p>
      <w:pPr>
        <w:widowControl/>
      </w:pPr>
      <w:r>
        <w:t>A fresh evaluation on 28 September 2026 passed 53 automated tests and the frontend production build. On seven author-labelled development queries, retrieval achieved Precision at 5 of 0.657, Recall at 5 of 0.833, MRR of 1.000 and NDCG at 5 of 0.885. These results support the small prototype; they do not establish enterprise reliability or general recommendation accuracy.</w:t>
      </w:r>
    </w:p>
    <w:p>
      <w:pPr>
        <w:pStyle w:val="Heading2"/>
      </w:pPr>
      <w:r>
        <w:t>Contents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68"/>
        <w:gridCol w:w="936"/>
      </w:tblGrid>
      <w:tr>
        <w:trPr>
          <w:tblHeader/>
          <w:cantSplit/>
        </w:trPr>
        <w:tc>
          <w:tcPr>
            <w:tcW w:type="dxa" w:w="8568"/>
            <w:vAlign w:val="center"/>
            <w:tcMar>
              <w:top w:w="95" w:type="dxa"/>
              <w:bottom w:w="95" w:type="dxa"/>
              <w:left w:w="95" w:type="dxa"/>
              <w:right w:w="95" w:type="dxa"/>
            </w:tcMar>
            <w:shd w:fill="333C43"/>
          </w:tcPr>
          <w:p>
            <w:pPr>
              <w:spacing w:after="40" w:before="40" w:line="247" w:lineRule="auto"/>
            </w:pPr>
            <w:r>
              <w:rPr>
                <w:b/>
                <w:color w:val="FFFFFF"/>
                <w:sz w:val="19"/>
              </w:rPr>
              <w:t>Section</w:t>
            </w:r>
          </w:p>
        </w:tc>
        <w:tc>
          <w:tcPr>
            <w:tcW w:type="dxa" w:w="936"/>
            <w:vAlign w:val="center"/>
            <w:tcMar>
              <w:top w:w="95" w:type="dxa"/>
              <w:bottom w:w="95" w:type="dxa"/>
              <w:left w:w="95" w:type="dxa"/>
              <w:right w:w="95" w:type="dxa"/>
            </w:tcMar>
            <w:shd w:fill="333C43"/>
          </w:tcPr>
          <w:p>
            <w:pPr>
              <w:spacing w:after="40" w:before="40" w:line="247" w:lineRule="auto"/>
            </w:pPr>
            <w:r>
              <w:rPr>
                <w:b/>
                <w:color w:val="FFFFFF"/>
                <w:sz w:val="19"/>
              </w:rPr>
              <w:t>Page</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1  Problem and requirements</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3</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2  System architecture and communication</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4</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3  Data design and provenance</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5</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4  Profile and trend methodology</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6</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5  Information retrieval methodology</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7</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6  Recommendation and language model design</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8</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7  Application implementation and user workflow</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9</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8  Security implementation</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10</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9  Responsible AI and individual assessments</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11</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10  Evaluation results</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12</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11  Evaluation interpretation and limitations</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13</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12  Commercial model and pricing</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14</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13  Enterprise integration and delivery plan</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15</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14  Deployment and maintenance</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16</w:t>
            </w:r>
          </w:p>
        </w:tc>
      </w:tr>
      <w:tr>
        <w:trPr>
          <w:cantSplit/>
        </w:trPr>
        <w:tc>
          <w:tcPr>
            <w:tcW w:type="dxa" w:w="8568"/>
            <w:vAlign w:val="center"/>
            <w:tcMar>
              <w:top w:w="95" w:type="dxa"/>
              <w:bottom w:w="95" w:type="dxa"/>
              <w:left w:w="95" w:type="dxa"/>
              <w:right w:w="95" w:type="dxa"/>
            </w:tcMar>
            <w:shd w:fill="FFFFFF"/>
          </w:tcPr>
          <w:p>
            <w:pPr>
              <w:spacing w:after="40" w:before="40" w:line="247" w:lineRule="auto"/>
            </w:pPr>
            <w:r>
              <w:rPr>
                <w:b w:val="0"/>
                <w:color w:val="000000"/>
                <w:sz w:val="19"/>
              </w:rPr>
              <w:t>15  Conclusion and implementation index</w:t>
            </w:r>
          </w:p>
        </w:tc>
        <w:tc>
          <w:tcPr>
            <w:tcW w:type="dxa" w:w="936"/>
            <w:vAlign w:val="center"/>
            <w:tcMar>
              <w:top w:w="95" w:type="dxa"/>
              <w:bottom w:w="95" w:type="dxa"/>
              <w:left w:w="95" w:type="dxa"/>
              <w:right w:w="95" w:type="dxa"/>
            </w:tcMar>
            <w:shd w:fill="FFFFFF"/>
          </w:tcPr>
          <w:p>
            <w:pPr>
              <w:spacing w:after="40" w:before="40" w:line="247" w:lineRule="auto"/>
            </w:pPr>
            <w:r>
              <w:rPr>
                <w:b w:val="0"/>
                <w:color w:val="000000"/>
                <w:sz w:val="19"/>
              </w:rPr>
              <w:t>17</w:t>
            </w:r>
          </w:p>
        </w:tc>
      </w:tr>
      <w:tr>
        <w:trPr>
          <w:cantSplit/>
        </w:trPr>
        <w:tc>
          <w:tcPr>
            <w:tcW w:type="dxa" w:w="8568"/>
            <w:vAlign w:val="center"/>
            <w:tcMar>
              <w:top w:w="95" w:type="dxa"/>
              <w:bottom w:w="95" w:type="dxa"/>
              <w:left w:w="95" w:type="dxa"/>
              <w:right w:w="95" w:type="dxa"/>
            </w:tcMar>
            <w:shd w:fill="F4F6F7"/>
          </w:tcPr>
          <w:p>
            <w:pPr>
              <w:spacing w:after="40" w:before="40" w:line="247" w:lineRule="auto"/>
            </w:pPr>
            <w:r>
              <w:rPr>
                <w:b w:val="0"/>
                <w:color w:val="000000"/>
                <w:sz w:val="19"/>
              </w:rPr>
              <w:t>References</w:t>
            </w:r>
          </w:p>
        </w:tc>
        <w:tc>
          <w:tcPr>
            <w:tcW w:type="dxa" w:w="936"/>
            <w:vAlign w:val="center"/>
            <w:tcMar>
              <w:top w:w="95" w:type="dxa"/>
              <w:bottom w:w="95" w:type="dxa"/>
              <w:left w:w="95" w:type="dxa"/>
              <w:right w:w="95" w:type="dxa"/>
            </w:tcMar>
            <w:shd w:fill="F4F6F7"/>
          </w:tcPr>
          <w:p>
            <w:pPr>
              <w:spacing w:after="40" w:before="40" w:line="247" w:lineRule="auto"/>
            </w:pPr>
            <w:r>
              <w:rPr>
                <w:b w:val="0"/>
                <w:color w:val="000000"/>
                <w:sz w:val="19"/>
              </w:rPr>
              <w:t>18</w:t>
            </w:r>
          </w:p>
        </w:tc>
      </w:tr>
    </w:tbl>
    <w:p>
      <w:pPr>
        <w:widowControl/>
        <w:spacing w:line="20" w:lineRule="exact" w:after="100"/>
      </w:pPr>
    </w:p>
    <w:p>
      <w:pPr>
        <w:pStyle w:val="Heading1"/>
        <w:pageBreakBefore/>
      </w:pPr>
      <w:r>
        <w:t>1 Problem and requirements</w:t>
      </w:r>
    </w:p>
    <w:p>
      <w:pPr>
        <w:pStyle w:val="Heading2"/>
      </w:pPr>
      <w:r>
        <w:t>1 1 Employee training problem</w:t>
      </w:r>
    </w:p>
    <w:p>
      <w:pPr>
        <w:widowControl/>
      </w:pPr>
      <w:r>
        <w:t>IT employees have many courses and certifications to choose from, but the amount of choice can make the next step unclear. An employee may browse professional posts, notice a certification, search several providers and then compare price, content and duration. That work must be repeated whenever their career goal or the available opportunities change.</w:t>
      </w:r>
    </w:p>
    <w:p>
      <w:pPr>
        <w:widowControl/>
      </w:pPr>
      <w:r>
        <w:t>Our focus is the discovery stage of employee training. SkillScout AI brings the employee profile, learning needs and available course information into one workflow. It supports a decision about what to study; it does not enrol an employee, purchase a course or assess their job performance.</w:t>
      </w:r>
    </w:p>
    <w:p>
      <w:pPr>
        <w:pStyle w:val="Heading2"/>
      </w:pPr>
      <w:r>
        <w:t>1 2 Objectives and users</w:t>
      </w:r>
    </w:p>
    <w:p>
      <w:pPr>
        <w:widowControl/>
      </w:pPr>
      <w:r>
        <w:t>The main objective is to produce a short, explainable list of relevant training opportunities. Employees maintain their profiles and choose courses. HR and Learning and Development staff review aggregate activity. Administrators maintain the catalogue and learning-content collection. The interface keeps these responsibilities separate through server-side role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6984"/>
      </w:tblGrid>
      <w:tr>
        <w:trPr>
          <w:tblHeader/>
          <w:cantSplit/>
        </w:trPr>
        <w:tc>
          <w:tcPr>
            <w:tcW w:type="dxa" w:w="2520"/>
            <w:vAlign w:val="center"/>
            <w:tcMar>
              <w:top w:w="95" w:type="dxa"/>
              <w:bottom w:w="95" w:type="dxa"/>
              <w:left w:w="95" w:type="dxa"/>
              <w:right w:w="95" w:type="dxa"/>
            </w:tcMar>
            <w:shd w:fill="333C43"/>
          </w:tcPr>
          <w:p>
            <w:pPr>
              <w:spacing w:after="40" w:before="40" w:line="247" w:lineRule="auto"/>
            </w:pPr>
            <w:r>
              <w:rPr>
                <w:b/>
                <w:color w:val="FFFFFF"/>
                <w:sz w:val="19"/>
              </w:rPr>
              <w:t>Requirement</w:t>
            </w:r>
          </w:p>
        </w:tc>
        <w:tc>
          <w:tcPr>
            <w:tcW w:type="dxa" w:w="6984"/>
            <w:vAlign w:val="center"/>
            <w:tcMar>
              <w:top w:w="95" w:type="dxa"/>
              <w:bottom w:w="95" w:type="dxa"/>
              <w:left w:w="95" w:type="dxa"/>
              <w:right w:w="95" w:type="dxa"/>
            </w:tcMar>
            <w:shd w:fill="333C43"/>
          </w:tcPr>
          <w:p>
            <w:pPr>
              <w:spacing w:after="40" w:before="40" w:line="247" w:lineRule="auto"/>
            </w:pPr>
            <w:r>
              <w:rPr>
                <w:b/>
                <w:color w:val="FFFFFF"/>
                <w:sz w:val="19"/>
              </w:rPr>
              <w:t>Implementation</w:t>
            </w:r>
          </w:p>
        </w:tc>
      </w:tr>
      <w:tr>
        <w:trPr>
          <w:cantSplit/>
        </w:trPr>
        <w:tc>
          <w:tcPr>
            <w:tcW w:type="dxa" w:w="2520"/>
            <w:vAlign w:val="center"/>
            <w:tcMar>
              <w:top w:w="95" w:type="dxa"/>
              <w:bottom w:w="95" w:type="dxa"/>
              <w:left w:w="95" w:type="dxa"/>
              <w:right w:w="95" w:type="dxa"/>
            </w:tcMar>
            <w:shd w:fill="FFFFFF"/>
          </w:tcPr>
          <w:p>
            <w:pPr>
              <w:spacing w:after="40" w:before="40" w:line="247" w:lineRule="auto"/>
            </w:pPr>
            <w:r>
              <w:rPr>
                <w:b w:val="0"/>
                <w:color w:val="000000"/>
                <w:sz w:val="19"/>
              </w:rPr>
              <w:t>Personalisation</w:t>
            </w:r>
          </w:p>
        </w:tc>
        <w:tc>
          <w:tcPr>
            <w:tcW w:type="dxa" w:w="6984"/>
            <w:vAlign w:val="center"/>
            <w:tcMar>
              <w:top w:w="95" w:type="dxa"/>
              <w:bottom w:w="95" w:type="dxa"/>
              <w:left w:w="95" w:type="dxa"/>
              <w:right w:w="95" w:type="dxa"/>
            </w:tcMar>
            <w:shd w:fill="FFFFFF"/>
          </w:tcPr>
          <w:p>
            <w:pPr>
              <w:spacing w:after="40" w:before="40" w:line="247" w:lineRule="auto"/>
            </w:pPr>
            <w:r>
              <w:rPr>
                <w:b w:val="0"/>
                <w:color w:val="000000"/>
                <w:sz w:val="19"/>
              </w:rPr>
              <w:t>Role, skills, career goal, experience, history, interests, budget and available study time.</w:t>
            </w:r>
          </w:p>
        </w:tc>
      </w:tr>
      <w:tr>
        <w:trPr>
          <w:cantSplit/>
        </w:trPr>
        <w:tc>
          <w:tcPr>
            <w:tcW w:type="dxa" w:w="2520"/>
            <w:vAlign w:val="center"/>
            <w:tcMar>
              <w:top w:w="95" w:type="dxa"/>
              <w:bottom w:w="95" w:type="dxa"/>
              <w:left w:w="95" w:type="dxa"/>
              <w:right w:w="95" w:type="dxa"/>
            </w:tcMar>
            <w:shd w:fill="F4F6F7"/>
          </w:tcPr>
          <w:p>
            <w:pPr>
              <w:spacing w:after="40" w:before="40" w:line="247" w:lineRule="auto"/>
            </w:pPr>
            <w:r>
              <w:rPr>
                <w:b w:val="0"/>
                <w:color w:val="000000"/>
                <w:sz w:val="19"/>
              </w:rPr>
              <w:t>Four interacting agents</w:t>
            </w:r>
          </w:p>
        </w:tc>
        <w:tc>
          <w:tcPr>
            <w:tcW w:type="dxa" w:w="6984"/>
            <w:vAlign w:val="center"/>
            <w:tcMar>
              <w:top w:w="95" w:type="dxa"/>
              <w:bottom w:w="95" w:type="dxa"/>
              <w:left w:w="95" w:type="dxa"/>
              <w:right w:w="95" w:type="dxa"/>
            </w:tcMar>
            <w:shd w:fill="F4F6F7"/>
          </w:tcPr>
          <w:p>
            <w:pPr>
              <w:spacing w:after="40" w:before="40" w:line="247" w:lineRule="auto"/>
            </w:pPr>
            <w:r>
              <w:rPr>
                <w:b w:val="0"/>
                <w:color w:val="000000"/>
                <w:sz w:val="19"/>
              </w:rPr>
              <w:t>Separate HTTP services with a gateway that passes each result to the next step.</w:t>
            </w:r>
          </w:p>
        </w:tc>
      </w:tr>
      <w:tr>
        <w:trPr>
          <w:cantSplit/>
        </w:trPr>
        <w:tc>
          <w:tcPr>
            <w:tcW w:type="dxa" w:w="2520"/>
            <w:vAlign w:val="center"/>
            <w:tcMar>
              <w:top w:w="95" w:type="dxa"/>
              <w:bottom w:w="95" w:type="dxa"/>
              <w:left w:w="95" w:type="dxa"/>
              <w:right w:w="95" w:type="dxa"/>
            </w:tcMar>
            <w:shd w:fill="FFFFFF"/>
          </w:tcPr>
          <w:p>
            <w:pPr>
              <w:spacing w:after="40" w:before="40" w:line="247" w:lineRule="auto"/>
            </w:pPr>
            <w:r>
              <w:rPr>
                <w:b w:val="0"/>
                <w:color w:val="000000"/>
                <w:sz w:val="19"/>
              </w:rPr>
              <w:t>LLM and NLP</w:t>
            </w:r>
          </w:p>
        </w:tc>
        <w:tc>
          <w:tcPr>
            <w:tcW w:type="dxa" w:w="6984"/>
            <w:vAlign w:val="center"/>
            <w:tcMar>
              <w:top w:w="95" w:type="dxa"/>
              <w:bottom w:w="95" w:type="dxa"/>
              <w:left w:w="95" w:type="dxa"/>
              <w:right w:w="95" w:type="dxa"/>
            </w:tcMar>
            <w:shd w:fill="FFFFFF"/>
          </w:tcPr>
          <w:p>
            <w:pPr>
              <w:spacing w:after="40" w:before="40" w:line="247" w:lineRule="auto"/>
            </w:pPr>
            <w:r>
              <w:rPr>
                <w:b w:val="0"/>
                <w:color w:val="000000"/>
                <w:sz w:val="19"/>
              </w:rPr>
              <w:t>Local Ollama assistance plus dictionary-based skill and entity extraction.</w:t>
            </w:r>
          </w:p>
        </w:tc>
      </w:tr>
      <w:tr>
        <w:trPr>
          <w:cantSplit/>
        </w:trPr>
        <w:tc>
          <w:tcPr>
            <w:tcW w:type="dxa" w:w="2520"/>
            <w:vAlign w:val="center"/>
            <w:tcMar>
              <w:top w:w="95" w:type="dxa"/>
              <w:bottom w:w="95" w:type="dxa"/>
              <w:left w:w="95" w:type="dxa"/>
              <w:right w:w="95" w:type="dxa"/>
            </w:tcMar>
            <w:shd w:fill="F4F6F7"/>
          </w:tcPr>
          <w:p>
            <w:pPr>
              <w:spacing w:after="40" w:before="40" w:line="247" w:lineRule="auto"/>
            </w:pPr>
            <w:r>
              <w:rPr>
                <w:b w:val="0"/>
                <w:color w:val="000000"/>
                <w:sz w:val="19"/>
              </w:rPr>
              <w:t>Information retrieval</w:t>
            </w:r>
          </w:p>
        </w:tc>
        <w:tc>
          <w:tcPr>
            <w:tcW w:type="dxa" w:w="6984"/>
            <w:vAlign w:val="center"/>
            <w:tcMar>
              <w:top w:w="95" w:type="dxa"/>
              <w:bottom w:w="95" w:type="dxa"/>
              <w:left w:w="95" w:type="dxa"/>
              <w:right w:w="95" w:type="dxa"/>
            </w:tcMar>
            <w:shd w:fill="F4F6F7"/>
          </w:tcPr>
          <w:p>
            <w:pPr>
              <w:spacing w:after="40" w:before="40" w:line="247" w:lineRule="auto"/>
            </w:pPr>
            <w:r>
              <w:rPr>
                <w:b w:val="0"/>
                <w:color w:val="000000"/>
                <w:sz w:val="19"/>
              </w:rPr>
              <w:t>BM25 and TF-IDF cosine retrieval over structured course records.</w:t>
            </w:r>
          </w:p>
        </w:tc>
      </w:tr>
      <w:tr>
        <w:trPr>
          <w:cantSplit/>
        </w:trPr>
        <w:tc>
          <w:tcPr>
            <w:tcW w:type="dxa" w:w="2520"/>
            <w:vAlign w:val="center"/>
            <w:tcMar>
              <w:top w:w="95" w:type="dxa"/>
              <w:bottom w:w="95" w:type="dxa"/>
              <w:left w:w="95" w:type="dxa"/>
              <w:right w:w="95" w:type="dxa"/>
            </w:tcMar>
            <w:shd w:fill="FFFFFF"/>
          </w:tcPr>
          <w:p>
            <w:pPr>
              <w:spacing w:after="40" w:before="40" w:line="247" w:lineRule="auto"/>
            </w:pPr>
            <w:r>
              <w:rPr>
                <w:b w:val="0"/>
                <w:color w:val="000000"/>
                <w:sz w:val="19"/>
              </w:rPr>
              <w:t>Explainability and control</w:t>
            </w:r>
          </w:p>
        </w:tc>
        <w:tc>
          <w:tcPr>
            <w:tcW w:type="dxa" w:w="6984"/>
            <w:vAlign w:val="center"/>
            <w:tcMar>
              <w:top w:w="95" w:type="dxa"/>
              <w:bottom w:w="95" w:type="dxa"/>
              <w:left w:w="95" w:type="dxa"/>
              <w:right w:w="95" w:type="dxa"/>
            </w:tcMar>
            <w:shd w:fill="FFFFFF"/>
          </w:tcPr>
          <w:p>
            <w:pPr>
              <w:spacing w:after="40" w:before="40" w:line="247" w:lineRule="auto"/>
            </w:pPr>
            <w:r>
              <w:rPr>
                <w:b w:val="0"/>
                <w:color w:val="000000"/>
                <w:sz w:val="19"/>
              </w:rPr>
              <w:t>Matched skills, factor scores, source details, consent and editable profiles.</w:t>
            </w:r>
          </w:p>
        </w:tc>
      </w:tr>
      <w:tr>
        <w:trPr>
          <w:cantSplit/>
        </w:trPr>
        <w:tc>
          <w:tcPr>
            <w:tcW w:type="dxa" w:w="2520"/>
            <w:vAlign w:val="center"/>
            <w:tcMar>
              <w:top w:w="95" w:type="dxa"/>
              <w:bottom w:w="95" w:type="dxa"/>
              <w:left w:w="95" w:type="dxa"/>
              <w:right w:w="95" w:type="dxa"/>
            </w:tcMar>
            <w:shd w:fill="F4F6F7"/>
          </w:tcPr>
          <w:p>
            <w:pPr>
              <w:spacing w:after="40" w:before="40" w:line="247" w:lineRule="auto"/>
            </w:pPr>
            <w:r>
              <w:rPr>
                <w:b w:val="0"/>
                <w:color w:val="000000"/>
                <w:sz w:val="19"/>
              </w:rPr>
              <w:t>Secure access</w:t>
            </w:r>
          </w:p>
        </w:tc>
        <w:tc>
          <w:tcPr>
            <w:tcW w:type="dxa" w:w="6984"/>
            <w:vAlign w:val="center"/>
            <w:tcMar>
              <w:top w:w="95" w:type="dxa"/>
              <w:bottom w:w="95" w:type="dxa"/>
              <w:left w:w="95" w:type="dxa"/>
              <w:right w:w="95" w:type="dxa"/>
            </w:tcMar>
            <w:shd w:fill="F4F6F7"/>
          </w:tcPr>
          <w:p>
            <w:pPr>
              <w:spacing w:after="40" w:before="40" w:line="247" w:lineRule="auto"/>
            </w:pPr>
            <w:r>
              <w:rPr>
                <w:b w:val="0"/>
                <w:color w:val="000000"/>
                <w:sz w:val="19"/>
              </w:rPr>
              <w:t>Sessions, role checks, CSRF protection, input validation and authenticated worker calls.</w:t>
            </w:r>
          </w:p>
        </w:tc>
      </w:tr>
    </w:tbl>
    <w:p>
      <w:pPr>
        <w:widowControl/>
        <w:spacing w:line="20" w:lineRule="exact" w:after="100"/>
      </w:pPr>
    </w:p>
    <w:p>
      <w:pPr>
        <w:pStyle w:val="Heading2"/>
      </w:pPr>
      <w:r>
        <w:t>1 3 Coursework boundary</w:t>
      </w:r>
    </w:p>
    <w:p>
      <w:pPr>
        <w:widowControl/>
      </w:pPr>
      <w:r>
        <w:t>We chose a local implementation because the project had no budget for paid external APIs. The model runs through Ollama after a one-time download. Professional posts are synthetic examples and course records are supplied with the application. This makes the demonstration repeatable, but also limits the breadth and freshness of the evidence.</w:t>
      </w:r>
    </w:p>
    <w:p>
      <w:pPr>
        <w:widowControl/>
      </w:pPr>
      <w:r>
        <w:t>The architecture leaves clear places to add approved data providers. It is a working coursework prototype, with a defined route towards commercial deployment. Live LinkedIn retrieval, paid cloud-model authentication, company integrations and multi-organisation hosting remain future work.</w:t>
      </w:r>
    </w:p>
    <w:p>
      <w:pPr>
        <w:pStyle w:val="Heading1"/>
        <w:pageBreakBefore/>
      </w:pPr>
      <w:r>
        <w:t>2 System architecture and communication</w:t>
      </w:r>
    </w:p>
    <w:p>
      <w:pPr>
        <w:widowControl/>
      </w:pPr>
      <w:r>
        <w:t>The browser sends requests to a FastAPI gateway. The gateway authenticates the employee, loads the required data and calls the four worker services in order. Workers use shared algorithm code but run as separate processes. This keeps each stage inspectable without duplicating the core implementation.</w:t>
      </w:r>
    </w:p>
    <w:p>
      <w:r>
        <w:drawing>
          <wp:inline xmlns:a="http://schemas.openxmlformats.org/drawingml/2006/main" xmlns:pic="http://schemas.openxmlformats.org/drawingml/2006/picture">
            <wp:extent cx="6035040" cy="305523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055239"/>
                    </a:xfrm>
                    <a:prstGeom prst="rect"/>
                  </pic:spPr>
                </pic:pic>
              </a:graphicData>
            </a:graphic>
          </wp:inline>
        </w:drawing>
      </w:r>
    </w:p>
    <w:p>
      <w:pPr>
        <w:pStyle w:val="Caption"/>
        <w:widowControl/>
      </w:pPr>
      <w:r>
        <w:t>Figure 1  Implemented local architecture. Arrows to the workers represent gateway calls, not direct worker-to-worker messaging.</w:t>
      </w:r>
    </w:p>
    <w:p>
      <w:pPr>
        <w:pStyle w:val="Heading2"/>
      </w:pPr>
      <w:r>
        <w:t>2 1 HTTP contract</w:t>
      </w:r>
    </w:p>
    <w:p>
      <w:pPr>
        <w:widowControl/>
      </w:pPr>
      <w:r>
        <w:t>Each worker exposes POST /execute and requires an X-Agent-Key header. The gateway sends a JSON envelope containing run_id, user_id and an agent-specific payload. The worker returns run_id, its agent name and a result object. The gateway validates the response identity and shape before continuing.</w:t>
      </w:r>
    </w:p>
    <w:p>
      <w:pPr>
        <w:widowControl/>
        <w:spacing w:before="80" w:after="180"/>
      </w:pPr>
      <w:r>
        <w:rPr>
          <w:rFonts w:ascii="Menlo" w:hAnsi="Menlo"/>
          <w:sz w:val="18"/>
        </w:rPr>
        <w:t>{"run_id":"run-identifier","user_id":"employee-identifier",</w:t>
        <w:br/>
        <w:t xml:space="preserve"> "payload":{"agent_specific_input":"..."}}</w:t>
      </w:r>
    </w:p>
    <w:p>
      <w:pPr>
        <w:pStyle w:val="Heading2"/>
      </w:pPr>
      <w:r>
        <w:t>2 2 Coordination and failure handling</w:t>
      </w:r>
    </w:p>
    <w:p>
      <w:pPr>
        <w:widowControl/>
      </w:pPr>
      <w:r>
        <w:t>The sequence is profile, trends, retrieval and recommendations. The gateway records step status, input and output summaries, and elapsed time. Failed calls produce a recorded failure instead of silently completing the analysis. Consent and profile version are checked again before results are saved, preventing a late response from overwriting a changed profile.</w:t>
      </w:r>
    </w:p>
    <w:p>
      <w:pPr>
        <w:widowControl/>
      </w:pPr>
      <w:r>
        <w:t>These are bounded, goal-directed agents: each has a defined objective, input contract and decision method. Their capabilities come from rules, NLP, retrieval and optional LLM assistance. They are not unrestricted web-browsing agents. The Agent activity page makes the sequence visible during the viva.</w:t>
      </w:r>
    </w:p>
    <w:p>
      <w:pPr>
        <w:pStyle w:val="Heading1"/>
        <w:pageBreakBefore/>
      </w:pPr>
      <w:r>
        <w:t>3 Data design and provenance</w:t>
      </w:r>
    </w:p>
    <w:p>
      <w:pPr>
        <w:pStyle w:val="Heading2"/>
      </w:pPr>
      <w:r>
        <w:t>3 1 Local storage</w:t>
      </w:r>
    </w:p>
    <w:p>
      <w:pPr>
        <w:widowControl/>
      </w:pPr>
      <w:r>
        <w:t>SQLite stores the application state in data/skillscout.db by default. SKILLSCOUT_DB_PATH can select another file. This is practical for a local demonstration because the application needs no separate database server. Parameterised SQL and transactions support consistent reads and writes.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552"/>
      </w:tblGrid>
      <w:tr>
        <w:trPr>
          <w:tblHeader/>
          <w:cantSplit/>
        </w:trPr>
        <w:tc>
          <w:tcPr>
            <w:tcW w:type="dxa" w:w="2952"/>
            <w:vAlign w:val="center"/>
            <w:tcMar>
              <w:top w:w="95" w:type="dxa"/>
              <w:bottom w:w="95" w:type="dxa"/>
              <w:left w:w="95" w:type="dxa"/>
              <w:right w:w="95" w:type="dxa"/>
            </w:tcMar>
            <w:shd w:fill="333C43"/>
          </w:tcPr>
          <w:p>
            <w:pPr>
              <w:spacing w:after="40" w:before="40" w:line="247" w:lineRule="auto"/>
            </w:pPr>
            <w:r>
              <w:rPr>
                <w:b/>
                <w:color w:val="FFFFFF"/>
                <w:sz w:val="19"/>
              </w:rPr>
              <w:t>Data group</w:t>
            </w:r>
          </w:p>
        </w:tc>
        <w:tc>
          <w:tcPr>
            <w:tcW w:type="dxa" w:w="6552"/>
            <w:vAlign w:val="center"/>
            <w:tcMar>
              <w:top w:w="95" w:type="dxa"/>
              <w:bottom w:w="95" w:type="dxa"/>
              <w:left w:w="95" w:type="dxa"/>
              <w:right w:w="95" w:type="dxa"/>
            </w:tcMar>
            <w:shd w:fill="333C43"/>
          </w:tcPr>
          <w:p>
            <w:pPr>
              <w:spacing w:after="40" w:before="40" w:line="247" w:lineRule="auto"/>
            </w:pPr>
            <w:r>
              <w:rPr>
                <w:b/>
                <w:color w:val="FFFFFF"/>
                <w:sz w:val="19"/>
              </w:rPr>
              <w:t>Purpose</w:t>
            </w:r>
          </w:p>
        </w:tc>
      </w:tr>
      <w:tr>
        <w:trPr>
          <w:cantSplit/>
        </w:trPr>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Users and sessions</w:t>
            </w:r>
          </w:p>
        </w:tc>
        <w:tc>
          <w:tcPr>
            <w:tcW w:type="dxa" w:w="6552"/>
            <w:vAlign w:val="center"/>
            <w:tcMar>
              <w:top w:w="95" w:type="dxa"/>
              <w:bottom w:w="95" w:type="dxa"/>
              <w:left w:w="95" w:type="dxa"/>
              <w:right w:w="95" w:type="dxa"/>
            </w:tcMar>
            <w:shd w:fill="FFFFFF"/>
          </w:tcPr>
          <w:p>
            <w:pPr>
              <w:spacing w:after="40" w:before="40" w:line="247" w:lineRule="auto"/>
            </w:pPr>
            <w:r>
              <w:rPr>
                <w:b w:val="0"/>
                <w:color w:val="000000"/>
                <w:sz w:val="19"/>
              </w:rPr>
              <w:t>Account identity, role, password hash and session token digest.</w:t>
            </w:r>
          </w:p>
        </w:tc>
      </w:tr>
      <w:tr>
        <w:trPr>
          <w:cantSplit/>
        </w:trPr>
        <w:tc>
          <w:tcPr>
            <w:tcW w:type="dxa" w:w="2952"/>
            <w:vAlign w:val="center"/>
            <w:tcMar>
              <w:top w:w="95" w:type="dxa"/>
              <w:bottom w:w="95" w:type="dxa"/>
              <w:left w:w="95" w:type="dxa"/>
              <w:right w:w="95" w:type="dxa"/>
            </w:tcMar>
            <w:shd w:fill="F4F6F7"/>
          </w:tcPr>
          <w:p>
            <w:pPr>
              <w:spacing w:after="40" w:before="40" w:line="247" w:lineRule="auto"/>
            </w:pPr>
            <w:r>
              <w:rPr>
                <w:b w:val="0"/>
                <w:color w:val="000000"/>
                <w:sz w:val="19"/>
              </w:rPr>
              <w:t>Profiles</w:t>
            </w:r>
          </w:p>
        </w:tc>
        <w:tc>
          <w:tcPr>
            <w:tcW w:type="dxa" w:w="6552"/>
            <w:vAlign w:val="center"/>
            <w:tcMar>
              <w:top w:w="95" w:type="dxa"/>
              <w:bottom w:w="95" w:type="dxa"/>
              <w:left w:w="95" w:type="dxa"/>
              <w:right w:w="95" w:type="dxa"/>
            </w:tcMar>
            <w:shd w:fill="F4F6F7"/>
          </w:tcPr>
          <w:p>
            <w:pPr>
              <w:spacing w:after="40" w:before="40" w:line="247" w:lineRule="auto"/>
            </w:pPr>
            <w:r>
              <w:rPr>
                <w:b w:val="0"/>
                <w:color w:val="000000"/>
                <w:sz w:val="19"/>
              </w:rPr>
              <w:t>Professional skills, goals, experience, consent and learning preferences.</w:t>
            </w:r>
          </w:p>
        </w:tc>
      </w:tr>
      <w:tr>
        <w:trPr>
          <w:cantSplit/>
        </w:trPr>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Courses and learning posts</w:t>
            </w:r>
          </w:p>
        </w:tc>
        <w:tc>
          <w:tcPr>
            <w:tcW w:type="dxa" w:w="6552"/>
            <w:vAlign w:val="center"/>
            <w:tcMar>
              <w:top w:w="95" w:type="dxa"/>
              <w:bottom w:w="95" w:type="dxa"/>
              <w:left w:w="95" w:type="dxa"/>
              <w:right w:w="95" w:type="dxa"/>
            </w:tcMar>
            <w:shd w:fill="FFFFFF"/>
          </w:tcPr>
          <w:p>
            <w:pPr>
              <w:spacing w:after="40" w:before="40" w:line="247" w:lineRule="auto"/>
            </w:pPr>
            <w:r>
              <w:rPr>
                <w:b w:val="0"/>
                <w:color w:val="000000"/>
                <w:sz w:val="19"/>
              </w:rPr>
              <w:t>Searchable training records and the content used for trend extraction.</w:t>
            </w:r>
          </w:p>
        </w:tc>
      </w:tr>
      <w:tr>
        <w:trPr>
          <w:cantSplit/>
        </w:trPr>
        <w:tc>
          <w:tcPr>
            <w:tcW w:type="dxa" w:w="2952"/>
            <w:vAlign w:val="center"/>
            <w:tcMar>
              <w:top w:w="95" w:type="dxa"/>
              <w:bottom w:w="95" w:type="dxa"/>
              <w:left w:w="95" w:type="dxa"/>
              <w:right w:w="95" w:type="dxa"/>
            </w:tcMar>
            <w:shd w:fill="F4F6F7"/>
          </w:tcPr>
          <w:p>
            <w:pPr>
              <w:spacing w:after="40" w:before="40" w:line="247" w:lineRule="auto"/>
            </w:pPr>
            <w:r>
              <w:rPr>
                <w:b w:val="0"/>
                <w:color w:val="000000"/>
                <w:sz w:val="19"/>
              </w:rPr>
              <w:t>Runs and analyses</w:t>
            </w:r>
          </w:p>
        </w:tc>
        <w:tc>
          <w:tcPr>
            <w:tcW w:type="dxa" w:w="6552"/>
            <w:vAlign w:val="center"/>
            <w:tcMar>
              <w:top w:w="95" w:type="dxa"/>
              <w:bottom w:w="95" w:type="dxa"/>
              <w:left w:w="95" w:type="dxa"/>
              <w:right w:w="95" w:type="dxa"/>
            </w:tcMar>
            <w:shd w:fill="F4F6F7"/>
          </w:tcPr>
          <w:p>
            <w:pPr>
              <w:spacing w:after="40" w:before="40" w:line="247" w:lineRule="auto"/>
            </w:pPr>
            <w:r>
              <w:rPr>
                <w:b w:val="0"/>
                <w:color w:val="000000"/>
                <w:sz w:val="19"/>
              </w:rPr>
              <w:t>Agent trace, profile version, needs, trends and recommendation results.</w:t>
            </w:r>
          </w:p>
        </w:tc>
      </w:tr>
      <w:tr>
        <w:trPr>
          <w:cantSplit/>
        </w:trPr>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Learning plans and notifications</w:t>
            </w:r>
          </w:p>
        </w:tc>
        <w:tc>
          <w:tcPr>
            <w:tcW w:type="dxa" w:w="6552"/>
            <w:vAlign w:val="center"/>
            <w:tcMar>
              <w:top w:w="95" w:type="dxa"/>
              <w:bottom w:w="95" w:type="dxa"/>
              <w:left w:w="95" w:type="dxa"/>
              <w:right w:w="95" w:type="dxa"/>
            </w:tcMar>
            <w:shd w:fill="FFFFFF"/>
          </w:tcPr>
          <w:p>
            <w:pPr>
              <w:spacing w:after="40" w:before="40" w:line="247" w:lineRule="auto"/>
            </w:pPr>
            <w:r>
              <w:rPr>
                <w:b w:val="0"/>
                <w:color w:val="000000"/>
                <w:sz w:val="19"/>
              </w:rPr>
              <w:t>Saved, in-progress and completed courses; in-app opportunity notices.</w:t>
            </w:r>
          </w:p>
        </w:tc>
      </w:tr>
    </w:tbl>
    <w:p>
      <w:pPr>
        <w:widowControl/>
        <w:spacing w:line="20" w:lineRule="exact" w:after="100"/>
      </w:pPr>
    </w:p>
    <w:p>
      <w:pPr>
        <w:widowControl/>
      </w:pPr>
      <w:r>
        <w:t>Private records belong to a user. Application queries enforce that ownership, and foreign-key relationships support cascading deletion of dependent records. This structure is intended for the local prototype; tenant identifiers and stronger isolation would be needed for several companies sharing one service.</w:t>
      </w:r>
    </w:p>
    <w:p>
      <w:pPr>
        <w:pStyle w:val="Heading2"/>
      </w:pPr>
      <w:r>
        <w:t>3 2 Demonstration knowledge base</w:t>
      </w:r>
    </w:p>
    <w:p>
      <w:pPr>
        <w:widowControl/>
      </w:pPr>
      <w:r>
        <w:t>The bundled seed contains 32 courses and 42 synthetic learning posts. The taxonomy contains 40 canonical skills, 15 role mappings, 16 role aliases and 12 prerequisite rules. These are the seed sizes, not a claim about the number of records in a database after administrators have edited it.</w:t>
      </w:r>
    </w:p>
    <w:p>
      <w:pPr>
        <w:widowControl/>
      </w:pPr>
      <w:r>
        <w:t>Course categories include Data and AI, Software Development, Cloud and DevOps, Cybersecurity and Professional Skills. Provider links refer to public resources, but prices, discounts, ratings and durations are demonstration metadata. A valid HTTPS link is not independent verification that every stored field is current.</w:t>
      </w:r>
    </w:p>
    <w:p>
      <w:pPr>
        <w:pStyle w:val="Heading2"/>
      </w:pPr>
      <w:r>
        <w:t>3 3 Freshness and source handling</w:t>
      </w:r>
    </w:p>
    <w:p>
      <w:pPr>
        <w:widowControl/>
      </w:pPr>
      <w:r>
        <w:t>Data is seeded once. Restarting the application does not move the post dates forward or renew expired discounts. The trend agent uses date windows, and the recommendation logic restores the original price when a discount has expired or its expiry cannot be interpreted. Admin ingestion supports additional records with source details and a demo flag.</w:t>
      </w:r>
    </w:p>
    <w:p>
      <w:pPr>
        <w:widowControl/>
      </w:pPr>
      <w:r>
        <w:t>For a company deployment, every connector would need a record of source permission, retrieval time, provider identifier, expiry and verification status. Stale records should be refreshed or withheld. Synthetic learning activity must remain clearly separated from real company evidence.</w:t>
      </w:r>
    </w:p>
    <w:p>
      <w:pPr>
        <w:pStyle w:val="Heading1"/>
        <w:pageBreakBefore/>
      </w:pPr>
      <w:r>
        <w:t>4 Profile and trend methodology</w:t>
      </w:r>
    </w:p>
    <w:p>
      <w:pPr>
        <w:pStyle w:val="Heading2"/>
      </w:pPr>
      <w:r>
        <w:t>4 1 Employee Profile and Training Needs Agent</w:t>
      </w:r>
    </w:p>
    <w:p>
      <w:pPr>
        <w:widowControl/>
      </w:pPr>
      <w:r>
        <w:t>The profile agent turns a professional profile into a set of learning needs. It first standardises recognised skill names using aliases. Recognised skills in certifications and training history also count towards the employee’s current skills. Explicit skill strings that are not in the dictionary are retained, although the role mappings may not use them.</w:t>
      </w:r>
    </w:p>
    <w:p>
      <w:pPr>
        <w:widowControl/>
      </w:pPr>
      <w:r>
        <w:t>Target skills combine the career-goal role, current-role requirements, explicit interests and recognised skills in the biography. The gap is the target set minus the current set, compared without case sensitivity. Prerequisite rules place foundation skills before dependent skills, and the agent returns up to five priority skills.</w:t>
      </w:r>
    </w:p>
    <w:p>
      <w:pPr>
        <w:widowControl/>
      </w:pPr>
      <w:r>
        <w:t>For a Data Analyst who knows SQL, Excel and Power BI and wants to become a Data Scientist, the target set can introduce Python, Statistics, Machine Learning, Pandas and Data Visualisation. This is an example of how the project taxonomy guides the workflow, rather than proof that every employer requires exactly that skill list.</w:t>
      </w:r>
    </w:p>
    <w:p>
      <w:pPr>
        <w:widowControl/>
      </w:pPr>
      <w:r>
        <w:t>When Ollama is available, the agent asks it to choose priorities only from the calculated gaps. Extra fields, unknown skills and duplicate suggestions are rejected. Prerequisite ordering is then applied again. The result records whether valid model output was used.</w:t>
      </w:r>
    </w:p>
    <w:p>
      <w:pPr>
        <w:pStyle w:val="Heading2"/>
      </w:pPr>
      <w:r>
        <w:t>4 2 Learning Trend Discovery Agent</w:t>
      </w:r>
    </w:p>
    <w:p>
      <w:pPr>
        <w:widowControl/>
      </w:pPr>
      <w:r>
        <w:t>The trend agent applies dictionary and alias matching to the supplied learning posts. Word boundaries reduce accidental substring matches. Each recognised skill is counted once per post. The agent also extracts recognised provider, course and certification terms and identifies skills that appear together. This is dictionary-based NLP, rather than a trained named-entity recognition model.</w:t>
      </w:r>
    </w:p>
    <w:p>
      <w:pPr>
        <w:widowControl/>
      </w:pPr>
      <w:r>
        <w:t>It compares the most recent 14 days with the preceding 14 days. If the previous count is greater than zero, growth is 100 × (current count − previous count) / previous count. A first appearance is displayed as +100% by convention, because the usual percentage calculation cannot divide by zero.</w:t>
      </w:r>
    </w:p>
    <w:p>
      <w:pPr>
        <w:widowControl/>
        <w:spacing w:before="80" w:after="180"/>
      </w:pPr>
      <w:r>
        <w:rPr>
          <w:rFonts w:ascii="Menlo" w:hAnsi="Menlo"/>
          <w:sz w:val="18"/>
        </w:rPr>
        <w:t>Trend score = min(100, 18 × ln(1 + total mentions)</w:t>
        <w:br/>
        <w:t xml:space="preserve">              + 0.35 × max(growth, 0) + relevance bonus)</w:t>
      </w:r>
    </w:p>
    <w:p>
      <w:pPr>
        <w:widowControl/>
      </w:pPr>
      <w:r>
        <w:t>Total mentions combines both 14-day windows. The relevance bonus is 12 when a skill matches the employee’s target or gap set. The agent returns the ten highest-ranked topics with source excerpts and co-occurring skills. These scores describe the supplied corpus. With 42 synthetic posts, they cannot establish what the wider industry is currently learning.</w:t>
      </w:r>
    </w:p>
    <w:p>
      <w:pPr>
        <w:pStyle w:val="Heading1"/>
        <w:pageBreakBefore/>
      </w:pPr>
      <w:r>
        <w:t>5 Information retrieval methodology</w:t>
      </w:r>
    </w:p>
    <w:p>
      <w:pPr>
        <w:pStyle w:val="Heading2"/>
      </w:pPr>
      <w:r>
        <w:t>5 1 Building the searchable collection</w:t>
      </w:r>
    </w:p>
    <w:p>
      <w:pPr>
        <w:widowControl/>
      </w:pPr>
      <w:r>
        <w:t>The retrieval agent combines each course’s title, description, category, type, provider, level and skills into a document. It converts text to a common case, tokenises it and removes stop words. The resulting index supports two complementary lexical measures.</w:t>
      </w:r>
    </w:p>
    <w:p>
      <w:pPr>
        <w:widowControl/>
      </w:pPr>
      <w:r>
        <w:t>BM25 rewards useful query terms while accounting for document length and repeated occurrences. The implementation uses k1 = 1.5 and b = 0.75. Its inverse document frequency is ln((N − df + 0.5) / (df + 0.5) + 1), where N is the number of documents and df is the number containing the term.</w:t>
      </w:r>
    </w:p>
    <w:p>
      <w:pPr>
        <w:widowControl/>
      </w:pPr>
      <w:r>
        <w:t>TF-IDF gives a word a higher weight when it is frequent in one document but less common across the collection. The term weight is (1 + ln(tf)) × (1 + ln((N + 1) / (df + 1))). Cosine similarity compares the direction of the weighted query and document vectors. It therefore contributes a second view of word-based similarity.</w:t>
      </w:r>
    </w:p>
    <w:p>
      <w:pPr>
        <w:pStyle w:val="Heading2"/>
      </w:pPr>
      <w:r>
        <w:t>5 2 Combining the retrieval signals</w:t>
      </w:r>
    </w:p>
    <w:p>
      <w:pPr>
        <w:widowControl/>
      </w:pPr>
      <w:r>
        <w:t>BM25 and cosine scores are independently normalised using their minimum and maximum values. The weighted lexical score is then combined with course skill coverage. Coverage is the fraction of a course’s listed skills that match the desired skill set.</w:t>
      </w:r>
    </w:p>
    <w:p>
      <w:pPr>
        <w:widowControl/>
        <w:spacing w:before="80" w:after="180"/>
      </w:pPr>
      <w:r>
        <w:rPr>
          <w:rFonts w:ascii="Menlo" w:hAnsi="Menlo"/>
          <w:sz w:val="18"/>
        </w:rPr>
        <w:t>H = 0.62 × normalised BM25 + 0.38 × normalised cosine</w:t>
        <w:br/>
        <w:t>Retrieval score = 0.88 × H + 0.12 × skill coverage</w:t>
      </w:r>
    </w:p>
    <w:p>
      <w:pPr>
        <w:widowControl/>
      </w:pPr>
      <w:r>
        <w:t>During discovery, the query uses priority skills, gaps, target skills, the career goal and relevant trend terms. When the employee enters an explicit course-search query, that text takes precedence over profile expansion. The normal agent run returns up to 12 candidate courses for the next stage.</w:t>
      </w:r>
    </w:p>
    <w:p>
      <w:pPr>
        <w:pStyle w:val="Heading2"/>
      </w:pPr>
      <w:r>
        <w:t>5 3 Why this approach fits the prototype</w:t>
      </w:r>
    </w:p>
    <w:p>
      <w:pPr>
        <w:widowControl/>
      </w:pPr>
      <w:r>
        <w:t>A small catalogue can be searched quickly without an embedding service or vector database. The method is reproducible and its terms can be inspected during the viva. The compromise is that lexical search may miss a relevant course when it uses unfamiliar wording. Alias coverage and catalogue quality therefore matter.</w:t>
      </w:r>
    </w:p>
    <w:p>
      <w:pPr>
        <w:widowControl/>
      </w:pPr>
      <w:r>
        <w:t>The system uses hybrid lexical retrieval: it combines two word-based methods. It does not implement dense semantic embeddings. Retrieval quality is evaluated separately from personalised scoring and language-model output, so the reported search metrics should not be described as end-to-end recommendation accuracy.</w:t>
      </w:r>
    </w:p>
    <w:p>
      <w:pPr>
        <w:pStyle w:val="Heading1"/>
        <w:pageBreakBefore/>
      </w:pPr>
      <w:r>
        <w:t>6 Recommendation and language model design</w:t>
      </w:r>
    </w:p>
    <w:p>
      <w:pPr>
        <w:pStyle w:val="Heading2"/>
      </w:pPr>
      <w:r>
        <w:t>6 1 Recommendation and Notification Agent</w:t>
      </w:r>
    </w:p>
    <w:p>
      <w:pPr>
        <w:widowControl/>
      </w:pPr>
      <w:r>
        <w:t>The fourth agent filters the retrieved candidates and scores their suitability. Duplicate and completed courses are excluded, as are courses with no target-skill or gap match. Advanced courses are excluded when project prerequisite rules identify missing foundations.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32"/>
        <w:gridCol w:w="1872"/>
      </w:tblGrid>
      <w:tr>
        <w:trPr>
          <w:tblHeader/>
          <w:cantSplit/>
        </w:trPr>
        <w:tc>
          <w:tcPr>
            <w:tcW w:type="dxa" w:w="7632"/>
            <w:vAlign w:val="center"/>
            <w:tcMar>
              <w:top w:w="95" w:type="dxa"/>
              <w:bottom w:w="95" w:type="dxa"/>
              <w:left w:w="95" w:type="dxa"/>
              <w:right w:w="95" w:type="dxa"/>
            </w:tcMar>
            <w:shd w:fill="333C43"/>
          </w:tcPr>
          <w:p>
            <w:pPr>
              <w:spacing w:after="40" w:before="40" w:line="247" w:lineRule="auto"/>
            </w:pPr>
            <w:r>
              <w:rPr>
                <w:b/>
                <w:color w:val="FFFFFF"/>
                <w:sz w:val="19"/>
              </w:rPr>
              <w:t>Displayed factor</w:t>
            </w:r>
          </w:p>
        </w:tc>
        <w:tc>
          <w:tcPr>
            <w:tcW w:type="dxa" w:w="1872"/>
            <w:vAlign w:val="center"/>
            <w:tcMar>
              <w:top w:w="95" w:type="dxa"/>
              <w:bottom w:w="95" w:type="dxa"/>
              <w:left w:w="95" w:type="dxa"/>
              <w:right w:w="95" w:type="dxa"/>
            </w:tcMar>
            <w:shd w:fill="333C43"/>
          </w:tcPr>
          <w:p>
            <w:pPr>
              <w:spacing w:after="40" w:before="40" w:line="247" w:lineRule="auto"/>
            </w:pPr>
            <w:r>
              <w:rPr>
                <w:b/>
                <w:color w:val="FFFFFF"/>
                <w:sz w:val="19"/>
              </w:rPr>
              <w:t>Weight</w:t>
            </w:r>
          </w:p>
        </w:tc>
      </w:tr>
      <w:tr>
        <w:trPr>
          <w:cantSplit/>
        </w:trPr>
        <w:tc>
          <w:tcPr>
            <w:tcW w:type="dxa" w:w="7632"/>
            <w:vAlign w:val="center"/>
            <w:tcMar>
              <w:top w:w="95" w:type="dxa"/>
              <w:bottom w:w="95" w:type="dxa"/>
              <w:left w:w="95" w:type="dxa"/>
              <w:right w:w="95" w:type="dxa"/>
            </w:tcMar>
            <w:shd w:fill="FFFFFF"/>
          </w:tcPr>
          <w:p>
            <w:pPr>
              <w:spacing w:after="40" w:before="40" w:line="247" w:lineRule="auto"/>
            </w:pPr>
            <w:r>
              <w:rPr>
                <w:b w:val="0"/>
                <w:color w:val="000000"/>
                <w:sz w:val="19"/>
              </w:rPr>
              <w:t>Profile relevance</w:t>
            </w:r>
          </w:p>
        </w:tc>
        <w:tc>
          <w:tcPr>
            <w:tcW w:type="dxa" w:w="1872"/>
            <w:vAlign w:val="center"/>
            <w:tcMar>
              <w:top w:w="95" w:type="dxa"/>
              <w:bottom w:w="95" w:type="dxa"/>
              <w:left w:w="95" w:type="dxa"/>
              <w:right w:w="95" w:type="dxa"/>
            </w:tcMar>
            <w:shd w:fill="FFFFFF"/>
          </w:tcPr>
          <w:p>
            <w:pPr>
              <w:spacing w:after="40" w:before="40" w:line="247" w:lineRule="auto"/>
            </w:pPr>
            <w:r>
              <w:rPr>
                <w:b w:val="0"/>
                <w:color w:val="000000"/>
                <w:sz w:val="19"/>
              </w:rPr>
              <w:t>25%</w:t>
            </w:r>
          </w:p>
        </w:tc>
      </w:tr>
      <w:tr>
        <w:trPr>
          <w:cantSplit/>
        </w:trPr>
        <w:tc>
          <w:tcPr>
            <w:tcW w:type="dxa" w:w="7632"/>
            <w:vAlign w:val="center"/>
            <w:tcMar>
              <w:top w:w="95" w:type="dxa"/>
              <w:bottom w:w="95" w:type="dxa"/>
              <w:left w:w="95" w:type="dxa"/>
              <w:right w:w="95" w:type="dxa"/>
            </w:tcMar>
            <w:shd w:fill="F4F6F7"/>
          </w:tcPr>
          <w:p>
            <w:pPr>
              <w:spacing w:after="40" w:before="40" w:line="247" w:lineRule="auto"/>
            </w:pPr>
            <w:r>
              <w:rPr>
                <w:b w:val="0"/>
                <w:color w:val="000000"/>
                <w:sz w:val="19"/>
              </w:rPr>
              <w:t>Career alignment</w:t>
            </w:r>
          </w:p>
        </w:tc>
        <w:tc>
          <w:tcPr>
            <w:tcW w:type="dxa" w:w="1872"/>
            <w:vAlign w:val="center"/>
            <w:tcMar>
              <w:top w:w="95" w:type="dxa"/>
              <w:bottom w:w="95" w:type="dxa"/>
              <w:left w:w="95" w:type="dxa"/>
              <w:right w:w="95" w:type="dxa"/>
            </w:tcMar>
            <w:shd w:fill="F4F6F7"/>
          </w:tcPr>
          <w:p>
            <w:pPr>
              <w:spacing w:after="40" w:before="40" w:line="247" w:lineRule="auto"/>
            </w:pPr>
            <w:r>
              <w:rPr>
                <w:b w:val="0"/>
                <w:color w:val="000000"/>
                <w:sz w:val="19"/>
              </w:rPr>
              <w:t>25%</w:t>
            </w:r>
          </w:p>
        </w:tc>
      </w:tr>
      <w:tr>
        <w:trPr>
          <w:cantSplit/>
        </w:trPr>
        <w:tc>
          <w:tcPr>
            <w:tcW w:type="dxa" w:w="7632"/>
            <w:vAlign w:val="center"/>
            <w:tcMar>
              <w:top w:w="95" w:type="dxa"/>
              <w:bottom w:w="95" w:type="dxa"/>
              <w:left w:w="95" w:type="dxa"/>
              <w:right w:w="95" w:type="dxa"/>
            </w:tcMar>
            <w:shd w:fill="FFFFFF"/>
          </w:tcPr>
          <w:p>
            <w:pPr>
              <w:spacing w:after="40" w:before="40" w:line="247" w:lineRule="auto"/>
            </w:pPr>
            <w:r>
              <w:rPr>
                <w:b w:val="0"/>
                <w:color w:val="000000"/>
                <w:sz w:val="19"/>
              </w:rPr>
              <w:t>Skill-gap relevance</w:t>
            </w:r>
          </w:p>
        </w:tc>
        <w:tc>
          <w:tcPr>
            <w:tcW w:type="dxa" w:w="1872"/>
            <w:vAlign w:val="center"/>
            <w:tcMar>
              <w:top w:w="95" w:type="dxa"/>
              <w:bottom w:w="95" w:type="dxa"/>
              <w:left w:w="95" w:type="dxa"/>
              <w:right w:w="95" w:type="dxa"/>
            </w:tcMar>
            <w:shd w:fill="FFFFFF"/>
          </w:tcPr>
          <w:p>
            <w:pPr>
              <w:spacing w:after="40" w:before="40" w:line="247" w:lineRule="auto"/>
            </w:pPr>
            <w:r>
              <w:rPr>
                <w:b w:val="0"/>
                <w:color w:val="000000"/>
                <w:sz w:val="19"/>
              </w:rPr>
              <w:t>30%</w:t>
            </w:r>
          </w:p>
        </w:tc>
      </w:tr>
      <w:tr>
        <w:trPr>
          <w:cantSplit/>
        </w:trPr>
        <w:tc>
          <w:tcPr>
            <w:tcW w:type="dxa" w:w="7632"/>
            <w:vAlign w:val="center"/>
            <w:tcMar>
              <w:top w:w="95" w:type="dxa"/>
              <w:bottom w:w="95" w:type="dxa"/>
              <w:left w:w="95" w:type="dxa"/>
              <w:right w:w="95" w:type="dxa"/>
            </w:tcMar>
            <w:shd w:fill="F4F6F7"/>
          </w:tcPr>
          <w:p>
            <w:pPr>
              <w:spacing w:after="40" w:before="40" w:line="247" w:lineRule="auto"/>
            </w:pPr>
            <w:r>
              <w:rPr>
                <w:b w:val="0"/>
                <w:color w:val="000000"/>
                <w:sz w:val="19"/>
              </w:rPr>
              <w:t>Trend relevance</w:t>
            </w:r>
          </w:p>
        </w:tc>
        <w:tc>
          <w:tcPr>
            <w:tcW w:type="dxa" w:w="1872"/>
            <w:vAlign w:val="center"/>
            <w:tcMar>
              <w:top w:w="95" w:type="dxa"/>
              <w:bottom w:w="95" w:type="dxa"/>
              <w:left w:w="95" w:type="dxa"/>
              <w:right w:w="95" w:type="dxa"/>
            </w:tcMar>
            <w:shd w:fill="F4F6F7"/>
          </w:tcPr>
          <w:p>
            <w:pPr>
              <w:spacing w:after="40" w:before="40" w:line="247" w:lineRule="auto"/>
            </w:pPr>
            <w:r>
              <w:rPr>
                <w:b w:val="0"/>
                <w:color w:val="000000"/>
                <w:sz w:val="19"/>
              </w:rPr>
              <w:t>15%</w:t>
            </w:r>
          </w:p>
        </w:tc>
      </w:tr>
      <w:tr>
        <w:trPr>
          <w:cantSplit/>
        </w:trPr>
        <w:tc>
          <w:tcPr>
            <w:tcW w:type="dxa" w:w="7632"/>
            <w:vAlign w:val="center"/>
            <w:tcMar>
              <w:top w:w="95" w:type="dxa"/>
              <w:bottom w:w="95" w:type="dxa"/>
              <w:left w:w="95" w:type="dxa"/>
              <w:right w:w="95" w:type="dxa"/>
            </w:tcMar>
            <w:shd w:fill="FFFFFF"/>
          </w:tcPr>
          <w:p>
            <w:pPr>
              <w:spacing w:after="40" w:before="40" w:line="247" w:lineRule="auto"/>
            </w:pPr>
            <w:r>
              <w:rPr>
                <w:b w:val="0"/>
                <w:color w:val="000000"/>
                <w:sz w:val="19"/>
              </w:rPr>
              <w:t>Discount value</w:t>
            </w:r>
          </w:p>
        </w:tc>
        <w:tc>
          <w:tcPr>
            <w:tcW w:type="dxa" w:w="1872"/>
            <w:vAlign w:val="center"/>
            <w:tcMar>
              <w:top w:w="95" w:type="dxa"/>
              <w:bottom w:w="95" w:type="dxa"/>
              <w:left w:w="95" w:type="dxa"/>
              <w:right w:w="95" w:type="dxa"/>
            </w:tcMar>
            <w:shd w:fill="FFFFFF"/>
          </w:tcPr>
          <w:p>
            <w:pPr>
              <w:spacing w:after="40" w:before="40" w:line="247" w:lineRule="auto"/>
            </w:pPr>
            <w:r>
              <w:rPr>
                <w:b w:val="0"/>
                <w:color w:val="000000"/>
                <w:sz w:val="19"/>
              </w:rPr>
              <w:t>5%</w:t>
            </w:r>
          </w:p>
        </w:tc>
      </w:tr>
    </w:tbl>
    <w:p>
      <w:pPr>
        <w:widowControl/>
        <w:spacing w:line="20" w:lineRule="exact" w:after="100"/>
      </w:pPr>
    </w:p>
    <w:p>
      <w:pPr>
        <w:widowControl/>
      </w:pPr>
      <w:r>
        <w:t>Profile relevance considers level, experience and prerequisites. It is reduced for courses above the stated budget or needing more than 20 weeks at the employee’s available study hours. Career and gap factors reflect matched course skills; the trend factor uses the strongest relevant trend score. Free courses receive the maximum value factor, while paid courses use active discounts. These weights are project heuristics, not calibrated probabilities.</w:t>
      </w:r>
    </w:p>
    <w:p>
      <w:pPr>
        <w:widowControl/>
      </w:pPr>
      <w:r>
        <w:t>A score of at least 78 receives high priority; at least 58 receives medium priority. The gateway creates up to eight high-priority notifications and avoids duplicates using course, price and expiry information. It persists notifications after the agent returns, so the worker itself does not need to write into the application database.</w:t>
      </w:r>
    </w:p>
    <w:p>
      <w:pPr>
        <w:pStyle w:val="Heading2"/>
      </w:pPr>
      <w:r>
        <w:t>6 2 Local language model and grounded answers</w:t>
      </w:r>
    </w:p>
    <w:p>
      <w:pPr>
        <w:widowControl/>
      </w:pPr>
      <w:r>
        <w:t>The default model is qwen2.5:3b, served through Ollama at /api/chat. It assists profile priority selection and Ask Scout course selection. Trend extraction, retrieval and numerical recommendation scores remain deterministic. A missing model, timeout or invalid response causes a visible fallback with llm_used set to false.</w:t>
      </w:r>
    </w:p>
    <w:p>
      <w:pPr>
        <w:widowControl/>
      </w:pPr>
      <w:r>
        <w:t>Ask Scout retrieves course records before consulting the model. The model may select only valid retrieved course identifiers and an allowed answer focus. Course names, prices, URLs and explanations are rendered from stored records and templates. This is a constrained, retrieval-grounded answering design that reduces opportunities to invent course details.</w:t>
      </w:r>
    </w:p>
    <w:p>
      <w:pPr>
        <w:widowControl/>
      </w:pPr>
      <w:r>
        <w:t>An LLM is still used even though no paid API key is purchased. A reachable Ollama server alone is not proof of a successful model-assisted run: the per-run llm_used flag is the relevant evidence. Local-only configuration and deployment choices are described in the Ollama documentation [5].</w:t>
      </w:r>
    </w:p>
    <w:p>
      <w:pPr>
        <w:pStyle w:val="Heading1"/>
        <w:pageBreakBefore/>
      </w:pPr>
      <w:r>
        <w:t>7 Application implementation and user workflow</w:t>
      </w:r>
    </w:p>
    <w:p>
      <w:pPr>
        <w:pStyle w:val="Heading2"/>
      </w:pPr>
      <w:r>
        <w:t>7 1 Technology choices</w:t>
      </w:r>
    </w:p>
    <w:p>
      <w:pPr>
        <w:widowControl/>
      </w:pPr>
      <w:r>
        <w:t>The frontend uses React and TypeScript, with Vite for development and production builds. FastAPI provides the gateway and worker endpoints. Pydantic models define accepted inputs. SQLite keeps the local state together, and Ollama supplies optional inference. The development launcher starts the services so the project can be demonstrated from one VS Code terminal.</w:t>
      </w:r>
    </w:p>
    <w:p>
      <w:pPr>
        <w:pStyle w:val="Heading2"/>
      </w:pPr>
      <w:r>
        <w:t>7 2 Employee journey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272"/>
      </w:tblGrid>
      <w:tr>
        <w:trPr>
          <w:tblHeader/>
          <w:cantSplit/>
        </w:trPr>
        <w:tc>
          <w:tcPr>
            <w:tcW w:type="dxa" w:w="2232"/>
            <w:vAlign w:val="center"/>
            <w:tcMar>
              <w:top w:w="95" w:type="dxa"/>
              <w:bottom w:w="95" w:type="dxa"/>
              <w:left w:w="95" w:type="dxa"/>
              <w:right w:w="95" w:type="dxa"/>
            </w:tcMar>
            <w:shd w:fill="333C43"/>
          </w:tcPr>
          <w:p>
            <w:pPr>
              <w:spacing w:after="40" w:before="40" w:line="247" w:lineRule="auto"/>
            </w:pPr>
            <w:r>
              <w:rPr>
                <w:b/>
                <w:color w:val="FFFFFF"/>
                <w:sz w:val="19"/>
              </w:rPr>
              <w:t>Step</w:t>
            </w:r>
          </w:p>
        </w:tc>
        <w:tc>
          <w:tcPr>
            <w:tcW w:type="dxa" w:w="7272"/>
            <w:vAlign w:val="center"/>
            <w:tcMar>
              <w:top w:w="95" w:type="dxa"/>
              <w:bottom w:w="95" w:type="dxa"/>
              <w:left w:w="95" w:type="dxa"/>
              <w:right w:w="95" w:type="dxa"/>
            </w:tcMar>
            <w:shd w:fill="333C43"/>
          </w:tcPr>
          <w:p>
            <w:pPr>
              <w:spacing w:after="40" w:before="40" w:line="247" w:lineRule="auto"/>
            </w:pPr>
            <w:r>
              <w:rPr>
                <w:b/>
                <w:color w:val="FFFFFF"/>
                <w:sz w:val="19"/>
              </w:rPr>
              <w:t>What happens</w:t>
            </w:r>
          </w:p>
        </w:tc>
      </w:tr>
      <w:tr>
        <w:trPr>
          <w:cantSplit/>
        </w:trPr>
        <w:tc>
          <w:tcPr>
            <w:tcW w:type="dxa" w:w="2232"/>
            <w:vAlign w:val="center"/>
            <w:tcMar>
              <w:top w:w="95" w:type="dxa"/>
              <w:bottom w:w="95" w:type="dxa"/>
              <w:left w:w="95" w:type="dxa"/>
              <w:right w:w="95" w:type="dxa"/>
            </w:tcMar>
            <w:shd w:fill="FFFFFF"/>
          </w:tcPr>
          <w:p>
            <w:pPr>
              <w:spacing w:after="40" w:before="40" w:line="247" w:lineRule="auto"/>
            </w:pPr>
            <w:r>
              <w:rPr>
                <w:b w:val="0"/>
                <w:color w:val="000000"/>
                <w:sz w:val="19"/>
              </w:rPr>
              <w:t>1  Register and sign in</w:t>
            </w:r>
          </w:p>
        </w:tc>
        <w:tc>
          <w:tcPr>
            <w:tcW w:type="dxa" w:w="7272"/>
            <w:vAlign w:val="center"/>
            <w:tcMar>
              <w:top w:w="95" w:type="dxa"/>
              <w:bottom w:w="95" w:type="dxa"/>
              <w:left w:w="95" w:type="dxa"/>
              <w:right w:w="95" w:type="dxa"/>
            </w:tcMar>
            <w:shd w:fill="FFFFFF"/>
          </w:tcPr>
          <w:p>
            <w:pPr>
              <w:spacing w:after="40" w:before="40" w:line="247" w:lineRule="auto"/>
            </w:pPr>
            <w:r>
              <w:rPr>
                <w:b w:val="0"/>
                <w:color w:val="000000"/>
                <w:sz w:val="19"/>
              </w:rPr>
              <w:t>A new employee account starts without analysis consent.</w:t>
            </w:r>
          </w:p>
        </w:tc>
      </w:tr>
      <w:tr>
        <w:trPr>
          <w:cantSplit/>
        </w:trPr>
        <w:tc>
          <w:tcPr>
            <w:tcW w:type="dxa" w:w="2232"/>
            <w:vAlign w:val="center"/>
            <w:tcMar>
              <w:top w:w="95" w:type="dxa"/>
              <w:bottom w:w="95" w:type="dxa"/>
              <w:left w:w="95" w:type="dxa"/>
              <w:right w:w="95" w:type="dxa"/>
            </w:tcMar>
            <w:shd w:fill="F4F6F7"/>
          </w:tcPr>
          <w:p>
            <w:pPr>
              <w:spacing w:after="40" w:before="40" w:line="247" w:lineRule="auto"/>
            </w:pPr>
            <w:r>
              <w:rPr>
                <w:b w:val="0"/>
                <w:color w:val="000000"/>
                <w:sz w:val="19"/>
              </w:rPr>
              <w:t>2  Complete the profile</w:t>
            </w:r>
          </w:p>
        </w:tc>
        <w:tc>
          <w:tcPr>
            <w:tcW w:type="dxa" w:w="7272"/>
            <w:vAlign w:val="center"/>
            <w:tcMar>
              <w:top w:w="95" w:type="dxa"/>
              <w:bottom w:w="95" w:type="dxa"/>
              <w:left w:w="95" w:type="dxa"/>
              <w:right w:w="95" w:type="dxa"/>
            </w:tcMar>
            <w:shd w:fill="F4F6F7"/>
          </w:tcPr>
          <w:p>
            <w:pPr>
              <w:spacing w:after="40" w:before="40" w:line="247" w:lineRule="auto"/>
            </w:pPr>
            <w:r>
              <w:rPr>
                <w:b w:val="0"/>
                <w:color w:val="000000"/>
                <w:sz w:val="19"/>
              </w:rPr>
              <w:t>The employee enters role, skills, career goal, experience and learning preferences, then enables analysis.</w:t>
            </w:r>
          </w:p>
        </w:tc>
      </w:tr>
      <w:tr>
        <w:trPr>
          <w:cantSplit/>
        </w:trPr>
        <w:tc>
          <w:tcPr>
            <w:tcW w:type="dxa" w:w="2232"/>
            <w:vAlign w:val="center"/>
            <w:tcMar>
              <w:top w:w="95" w:type="dxa"/>
              <w:bottom w:w="95" w:type="dxa"/>
              <w:left w:w="95" w:type="dxa"/>
              <w:right w:w="95" w:type="dxa"/>
            </w:tcMar>
            <w:shd w:fill="FFFFFF"/>
          </w:tcPr>
          <w:p>
            <w:pPr>
              <w:spacing w:after="40" w:before="40" w:line="247" w:lineRule="auto"/>
            </w:pPr>
            <w:r>
              <w:rPr>
                <w:b w:val="0"/>
                <w:color w:val="000000"/>
                <w:sz w:val="19"/>
              </w:rPr>
              <w:t>3  Find opportunities</w:t>
            </w:r>
          </w:p>
        </w:tc>
        <w:tc>
          <w:tcPr>
            <w:tcW w:type="dxa" w:w="7272"/>
            <w:vAlign w:val="center"/>
            <w:tcMar>
              <w:top w:w="95" w:type="dxa"/>
              <w:bottom w:w="95" w:type="dxa"/>
              <w:left w:w="95" w:type="dxa"/>
              <w:right w:w="95" w:type="dxa"/>
            </w:tcMar>
            <w:shd w:fill="FFFFFF"/>
          </w:tcPr>
          <w:p>
            <w:pPr>
              <w:spacing w:after="40" w:before="40" w:line="247" w:lineRule="auto"/>
            </w:pPr>
            <w:r>
              <w:rPr>
                <w:b w:val="0"/>
                <w:color w:val="000000"/>
                <w:sz w:val="19"/>
              </w:rPr>
              <w:t>The gateway runs the four agents and records their outputs and timings.</w:t>
            </w:r>
          </w:p>
        </w:tc>
      </w:tr>
      <w:tr>
        <w:trPr>
          <w:cantSplit/>
        </w:trPr>
        <w:tc>
          <w:tcPr>
            <w:tcW w:type="dxa" w:w="2232"/>
            <w:vAlign w:val="center"/>
            <w:tcMar>
              <w:top w:w="95" w:type="dxa"/>
              <w:bottom w:w="95" w:type="dxa"/>
              <w:left w:w="95" w:type="dxa"/>
              <w:right w:w="95" w:type="dxa"/>
            </w:tcMar>
            <w:shd w:fill="F4F6F7"/>
          </w:tcPr>
          <w:p>
            <w:pPr>
              <w:spacing w:after="40" w:before="40" w:line="247" w:lineRule="auto"/>
            </w:pPr>
            <w:r>
              <w:rPr>
                <w:b w:val="0"/>
                <w:color w:val="000000"/>
                <w:sz w:val="19"/>
              </w:rPr>
              <w:t>4  Review recommendations</w:t>
            </w:r>
          </w:p>
        </w:tc>
        <w:tc>
          <w:tcPr>
            <w:tcW w:type="dxa" w:w="7272"/>
            <w:vAlign w:val="center"/>
            <w:tcMar>
              <w:top w:w="95" w:type="dxa"/>
              <w:bottom w:w="95" w:type="dxa"/>
              <w:left w:w="95" w:type="dxa"/>
              <w:right w:w="95" w:type="dxa"/>
            </w:tcMar>
            <w:shd w:fill="F4F6F7"/>
          </w:tcPr>
          <w:p>
            <w:pPr>
              <w:spacing w:after="40" w:before="40" w:line="247" w:lineRule="auto"/>
            </w:pPr>
            <w:r>
              <w:rPr>
                <w:b w:val="0"/>
                <w:color w:val="000000"/>
                <w:sz w:val="19"/>
              </w:rPr>
              <w:t>The employee sees matched skills, score factors, prices, source links and explanations.</w:t>
            </w:r>
          </w:p>
        </w:tc>
      </w:tr>
      <w:tr>
        <w:trPr>
          <w:cantSplit/>
        </w:trPr>
        <w:tc>
          <w:tcPr>
            <w:tcW w:type="dxa" w:w="2232"/>
            <w:vAlign w:val="center"/>
            <w:tcMar>
              <w:top w:w="95" w:type="dxa"/>
              <w:bottom w:w="95" w:type="dxa"/>
              <w:left w:w="95" w:type="dxa"/>
              <w:right w:w="95" w:type="dxa"/>
            </w:tcMar>
            <w:shd w:fill="FFFFFF"/>
          </w:tcPr>
          <w:p>
            <w:pPr>
              <w:spacing w:after="40" w:before="40" w:line="247" w:lineRule="auto"/>
            </w:pPr>
            <w:r>
              <w:rPr>
                <w:b w:val="0"/>
                <w:color w:val="000000"/>
                <w:sz w:val="19"/>
              </w:rPr>
              <w:t>5  Make a learning plan</w:t>
            </w:r>
          </w:p>
        </w:tc>
        <w:tc>
          <w:tcPr>
            <w:tcW w:type="dxa" w:w="7272"/>
            <w:vAlign w:val="center"/>
            <w:tcMar>
              <w:top w:w="95" w:type="dxa"/>
              <w:bottom w:w="95" w:type="dxa"/>
              <w:left w:w="95" w:type="dxa"/>
              <w:right w:w="95" w:type="dxa"/>
            </w:tcMar>
            <w:shd w:fill="FFFFFF"/>
          </w:tcPr>
          <w:p>
            <w:pPr>
              <w:spacing w:after="40" w:before="40" w:line="247" w:lineRule="auto"/>
            </w:pPr>
            <w:r>
              <w:rPr>
                <w:b w:val="0"/>
                <w:color w:val="000000"/>
                <w:sz w:val="19"/>
              </w:rPr>
              <w:t>Courses can be saved, started and marked complete. Completion changes local learning history.</w:t>
            </w:r>
          </w:p>
        </w:tc>
      </w:tr>
      <w:tr>
        <w:trPr>
          <w:cantSplit/>
        </w:trPr>
        <w:tc>
          <w:tcPr>
            <w:tcW w:type="dxa" w:w="2232"/>
            <w:vAlign w:val="center"/>
            <w:tcMar>
              <w:top w:w="95" w:type="dxa"/>
              <w:bottom w:w="95" w:type="dxa"/>
              <w:left w:w="95" w:type="dxa"/>
              <w:right w:w="95" w:type="dxa"/>
            </w:tcMar>
            <w:shd w:fill="F4F6F7"/>
          </w:tcPr>
          <w:p>
            <w:pPr>
              <w:spacing w:after="40" w:before="40" w:line="247" w:lineRule="auto"/>
            </w:pPr>
            <w:r>
              <w:rPr>
                <w:b w:val="0"/>
                <w:color w:val="000000"/>
                <w:sz w:val="19"/>
              </w:rPr>
              <w:t>6  Refresh the analysis</w:t>
            </w:r>
          </w:p>
        </w:tc>
        <w:tc>
          <w:tcPr>
            <w:tcW w:type="dxa" w:w="7272"/>
            <w:vAlign w:val="center"/>
            <w:tcMar>
              <w:top w:w="95" w:type="dxa"/>
              <w:bottom w:w="95" w:type="dxa"/>
              <w:left w:w="95" w:type="dxa"/>
              <w:right w:w="95" w:type="dxa"/>
            </w:tcMar>
            <w:shd w:fill="F4F6F7"/>
          </w:tcPr>
          <w:p>
            <w:pPr>
              <w:spacing w:after="40" w:before="40" w:line="247" w:lineRule="auto"/>
            </w:pPr>
            <w:r>
              <w:rPr>
                <w:b w:val="0"/>
                <w:color w:val="000000"/>
                <w:sz w:val="19"/>
              </w:rPr>
              <w:t>Profile or completion changes invalidate old analysis so the next run reflects updated information.</w:t>
            </w:r>
          </w:p>
        </w:tc>
      </w:tr>
    </w:tbl>
    <w:p>
      <w:pPr>
        <w:widowControl/>
        <w:spacing w:line="20" w:lineRule="exact" w:after="100"/>
      </w:pPr>
    </w:p>
    <w:p>
      <w:pPr>
        <w:widowControl/>
      </w:pPr>
      <w:r>
        <w:t>The main navigation includes Overview, Courses, Learning plan, Learning trends, Agent activity and Profile and settings. Ask Scout supports questions about the available catalogue. The interface uses short labels and exposes detailed evidence when the employee needs it.</w:t>
      </w:r>
    </w:p>
    <w:p>
      <w:pPr>
        <w:pStyle w:val="Heading2"/>
      </w:pPr>
      <w:r>
        <w:t>7 3 HR and administrator functions</w:t>
      </w:r>
    </w:p>
    <w:p>
      <w:pPr>
        <w:widowControl/>
      </w:pPr>
      <w:r>
        <w:t>HR and administrators can view aggregate learning information. Administrators can add courses and learning posts. These permissions are enforced at the API layer; hiding a button alone would not be sufficient protection. An employee cannot grant themselves a higher role through registration.</w:t>
      </w:r>
    </w:p>
    <w:p>
      <w:pPr>
        <w:pStyle w:val="Heading2"/>
      </w:pPr>
      <w:r>
        <w:t>7 4 Proactive behaviour and human control</w:t>
      </w:r>
    </w:p>
    <w:p>
      <w:pPr>
        <w:widowControl/>
      </w:pPr>
      <w:r>
        <w:t>The optional scheduler runs discovery for eligible opted-in employees while the gateway is running. It examines stored content; it does not crawl new external offers. Notifications appear inside the application. Email, Teams and LMS delivery are proposed integrations. Saving a course does not enrol the employee or spend money, and marking a course complete is self-reported rather than independent certification.</w:t>
      </w:r>
    </w:p>
    <w:p>
      <w:pPr>
        <w:pStyle w:val="Heading1"/>
        <w:pageBreakBefore/>
      </w:pPr>
      <w:r>
        <w:t>8 Security implementation</w:t>
      </w:r>
    </w:p>
    <w:p>
      <w:pPr>
        <w:pStyle w:val="Heading2"/>
      </w:pPr>
      <w:r>
        <w:t>8 1 Authentication and authorisation</w:t>
      </w:r>
    </w:p>
    <w:p>
      <w:pPr>
        <w:widowControl/>
      </w:pPr>
      <w:r>
        <w:t>Passwords are processed using PBKDF2-HMAC-SHA256 with 310,000 iterations and a random per-password salt. Random session tokens are stored as SHA256 digests. Sessions use 24-hour HttpOnly, SameSite=Lax cookies. The Secure flag is configurable and is false by default for the local HTTP demonstration.</w:t>
      </w:r>
    </w:p>
    <w:p>
      <w:pPr>
        <w:widowControl/>
      </w:pPr>
      <w:r>
        <w:t>The API checks the authenticated role and record ownership. Employees can access their own private records; HR and administrators receive aggregate views, and only administrators can import catalogue content. Account deletion requires password confirmation, and the last administrator is protected from accidental removal.</w:t>
      </w:r>
    </w:p>
    <w:p>
      <w:pPr>
        <w:pStyle w:val="Heading2"/>
      </w:pPr>
      <w:r>
        <w:t>8 2 Requests and service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128"/>
      </w:tblGrid>
      <w:tr>
        <w:trPr>
          <w:tblHeader/>
          <w:cantSplit/>
        </w:trPr>
        <w:tc>
          <w:tcPr>
            <w:tcW w:type="dxa" w:w="2376"/>
            <w:vAlign w:val="center"/>
            <w:tcMar>
              <w:top w:w="95" w:type="dxa"/>
              <w:bottom w:w="95" w:type="dxa"/>
              <w:left w:w="95" w:type="dxa"/>
              <w:right w:w="95" w:type="dxa"/>
            </w:tcMar>
            <w:shd w:fill="333C43"/>
          </w:tcPr>
          <w:p>
            <w:pPr>
              <w:spacing w:after="40" w:before="40" w:line="247" w:lineRule="auto"/>
            </w:pPr>
            <w:r>
              <w:rPr>
                <w:b/>
                <w:color w:val="FFFFFF"/>
                <w:sz w:val="19"/>
              </w:rPr>
              <w:t>Control</w:t>
            </w:r>
          </w:p>
        </w:tc>
        <w:tc>
          <w:tcPr>
            <w:tcW w:type="dxa" w:w="7128"/>
            <w:vAlign w:val="center"/>
            <w:tcMar>
              <w:top w:w="95" w:type="dxa"/>
              <w:bottom w:w="95" w:type="dxa"/>
              <w:left w:w="95" w:type="dxa"/>
              <w:right w:w="95" w:type="dxa"/>
            </w:tcMar>
            <w:shd w:fill="333C43"/>
          </w:tcPr>
          <w:p>
            <w:pPr>
              <w:spacing w:after="40" w:before="40" w:line="247" w:lineRule="auto"/>
            </w:pPr>
            <w:r>
              <w:rPr>
                <w:b/>
                <w:color w:val="FFFFFF"/>
                <w:sz w:val="19"/>
              </w:rPr>
              <w:t>Implemented behaviour</w:t>
            </w:r>
          </w:p>
        </w:tc>
      </w:tr>
      <w:tr>
        <w:trPr>
          <w:cantSplit/>
        </w:trPr>
        <w:tc>
          <w:tcPr>
            <w:tcW w:type="dxa" w:w="2376"/>
            <w:vAlign w:val="center"/>
            <w:tcMar>
              <w:top w:w="95" w:type="dxa"/>
              <w:bottom w:w="95" w:type="dxa"/>
              <w:left w:w="95" w:type="dxa"/>
              <w:right w:w="95" w:type="dxa"/>
            </w:tcMar>
            <w:shd w:fill="FFFFFF"/>
          </w:tcPr>
          <w:p>
            <w:pPr>
              <w:spacing w:after="40" w:before="40" w:line="247" w:lineRule="auto"/>
            </w:pPr>
            <w:r>
              <w:rPr>
                <w:b w:val="0"/>
                <w:color w:val="000000"/>
                <w:sz w:val="19"/>
              </w:rPr>
              <w:t>CSRF protection</w:t>
            </w:r>
          </w:p>
        </w:tc>
        <w:tc>
          <w:tcPr>
            <w:tcW w:type="dxa" w:w="7128"/>
            <w:vAlign w:val="center"/>
            <w:tcMar>
              <w:top w:w="95" w:type="dxa"/>
              <w:bottom w:w="95" w:type="dxa"/>
              <w:left w:w="95" w:type="dxa"/>
              <w:right w:w="95" w:type="dxa"/>
            </w:tcMar>
            <w:shd w:fill="FFFFFF"/>
          </w:tcPr>
          <w:p>
            <w:pPr>
              <w:spacing w:after="40" w:before="40" w:line="247" w:lineRule="auto"/>
            </w:pPr>
            <w:r>
              <w:rPr>
                <w:b w:val="0"/>
                <w:color w:val="000000"/>
                <w:sz w:val="19"/>
              </w:rPr>
              <w:t>Authenticated writes require X-CSRF-Token. CSRF is an attempt to make a signed-in browser perform an unwanted action.</w:t>
            </w:r>
          </w:p>
        </w:tc>
      </w:tr>
      <w:tr>
        <w:trPr>
          <w:cantSplit/>
        </w:trPr>
        <w:tc>
          <w:tcPr>
            <w:tcW w:type="dxa" w:w="2376"/>
            <w:vAlign w:val="center"/>
            <w:tcMar>
              <w:top w:w="95" w:type="dxa"/>
              <w:bottom w:w="95" w:type="dxa"/>
              <w:left w:w="95" w:type="dxa"/>
              <w:right w:w="95" w:type="dxa"/>
            </w:tcMar>
            <w:shd w:fill="F4F6F7"/>
          </w:tcPr>
          <w:p>
            <w:pPr>
              <w:spacing w:after="40" w:before="40" w:line="247" w:lineRule="auto"/>
            </w:pPr>
            <w:r>
              <w:rPr>
                <w:b w:val="0"/>
                <w:color w:val="000000"/>
                <w:sz w:val="19"/>
              </w:rPr>
              <w:t>Origin checks</w:t>
            </w:r>
          </w:p>
        </w:tc>
        <w:tc>
          <w:tcPr>
            <w:tcW w:type="dxa" w:w="7128"/>
            <w:vAlign w:val="center"/>
            <w:tcMar>
              <w:top w:w="95" w:type="dxa"/>
              <w:bottom w:w="95" w:type="dxa"/>
              <w:left w:w="95" w:type="dxa"/>
              <w:right w:w="95" w:type="dxa"/>
            </w:tcMar>
            <w:shd w:fill="F4F6F7"/>
          </w:tcPr>
          <w:p>
            <w:pPr>
              <w:spacing w:after="40" w:before="40" w:line="247" w:lineRule="auto"/>
            </w:pPr>
            <w:r>
              <w:rPr>
                <w:b w:val="0"/>
                <w:color w:val="000000"/>
                <w:sz w:val="19"/>
              </w:rPr>
              <w:t>Write requests with a disallowed Origin are rejected. A missing Origin is not rejected by this check alone.</w:t>
            </w:r>
          </w:p>
        </w:tc>
      </w:tr>
      <w:tr>
        <w:trPr>
          <w:cantSplit/>
        </w:trPr>
        <w:tc>
          <w:tcPr>
            <w:tcW w:type="dxa" w:w="2376"/>
            <w:vAlign w:val="center"/>
            <w:tcMar>
              <w:top w:w="95" w:type="dxa"/>
              <w:bottom w:w="95" w:type="dxa"/>
              <w:left w:w="95" w:type="dxa"/>
              <w:right w:w="95" w:type="dxa"/>
            </w:tcMar>
            <w:shd w:fill="FFFFFF"/>
          </w:tcPr>
          <w:p>
            <w:pPr>
              <w:spacing w:after="40" w:before="40" w:line="247" w:lineRule="auto"/>
            </w:pPr>
            <w:r>
              <w:rPr>
                <w:b w:val="0"/>
                <w:color w:val="000000"/>
                <w:sz w:val="19"/>
              </w:rPr>
              <w:t>Input validation</w:t>
            </w:r>
          </w:p>
        </w:tc>
        <w:tc>
          <w:tcPr>
            <w:tcW w:type="dxa" w:w="7128"/>
            <w:vAlign w:val="center"/>
            <w:tcMar>
              <w:top w:w="95" w:type="dxa"/>
              <w:bottom w:w="95" w:type="dxa"/>
              <w:left w:w="95" w:type="dxa"/>
              <w:right w:w="95" w:type="dxa"/>
            </w:tcMar>
            <w:shd w:fill="FFFFFF"/>
          </w:tcPr>
          <w:p>
            <w:pPr>
              <w:spacing w:after="40" w:before="40" w:line="247" w:lineRule="auto"/>
            </w:pPr>
            <w:r>
              <w:rPr>
                <w:b w:val="0"/>
                <w:color w:val="000000"/>
                <w:sz w:val="19"/>
              </w:rPr>
              <w:t>Strict schemas, bounded text and lists, request-size limits and validated price and expiry relationships.</w:t>
            </w:r>
          </w:p>
        </w:tc>
      </w:tr>
      <w:tr>
        <w:trPr>
          <w:cantSplit/>
        </w:trPr>
        <w:tc>
          <w:tcPr>
            <w:tcW w:type="dxa" w:w="2376"/>
            <w:vAlign w:val="center"/>
            <w:tcMar>
              <w:top w:w="95" w:type="dxa"/>
              <w:bottom w:w="95" w:type="dxa"/>
              <w:left w:w="95" w:type="dxa"/>
              <w:right w:w="95" w:type="dxa"/>
            </w:tcMar>
            <w:shd w:fill="F4F6F7"/>
          </w:tcPr>
          <w:p>
            <w:pPr>
              <w:spacing w:after="40" w:before="40" w:line="247" w:lineRule="auto"/>
            </w:pPr>
            <w:r>
              <w:rPr>
                <w:b w:val="0"/>
                <w:color w:val="000000"/>
                <w:sz w:val="19"/>
              </w:rPr>
              <w:t>Worker authentication</w:t>
            </w:r>
          </w:p>
        </w:tc>
        <w:tc>
          <w:tcPr>
            <w:tcW w:type="dxa" w:w="7128"/>
            <w:vAlign w:val="center"/>
            <w:tcMar>
              <w:top w:w="95" w:type="dxa"/>
              <w:bottom w:w="95" w:type="dxa"/>
              <w:left w:w="95" w:type="dxa"/>
              <w:right w:w="95" w:type="dxa"/>
            </w:tcMar>
            <w:shd w:fill="F4F6F7"/>
          </w:tcPr>
          <w:p>
            <w:pPr>
              <w:spacing w:after="40" w:before="40" w:line="247" w:lineRule="auto"/>
            </w:pPr>
            <w:r>
              <w:rPr>
                <w:b w:val="0"/>
                <w:color w:val="000000"/>
                <w:sz w:val="19"/>
              </w:rPr>
              <w:t>X-Agent-Key checked using constant-time comparison; worker envelopes and agent payloads are validated.</w:t>
            </w:r>
          </w:p>
        </w:tc>
      </w:tr>
      <w:tr>
        <w:trPr>
          <w:cantSplit/>
        </w:trPr>
        <w:tc>
          <w:tcPr>
            <w:tcW w:type="dxa" w:w="2376"/>
            <w:vAlign w:val="center"/>
            <w:tcMar>
              <w:top w:w="95" w:type="dxa"/>
              <w:bottom w:w="95" w:type="dxa"/>
              <w:left w:w="95" w:type="dxa"/>
              <w:right w:w="95" w:type="dxa"/>
            </w:tcMar>
            <w:shd w:fill="FFFFFF"/>
          </w:tcPr>
          <w:p>
            <w:pPr>
              <w:spacing w:after="40" w:before="40" w:line="247" w:lineRule="auto"/>
            </w:pPr>
            <w:r>
              <w:rPr>
                <w:b w:val="0"/>
                <w:color w:val="000000"/>
                <w:sz w:val="19"/>
              </w:rPr>
              <w:t>Abuse limits</w:t>
            </w:r>
          </w:p>
        </w:tc>
        <w:tc>
          <w:tcPr>
            <w:tcW w:type="dxa" w:w="7128"/>
            <w:vAlign w:val="center"/>
            <w:tcMar>
              <w:top w:w="95" w:type="dxa"/>
              <w:bottom w:w="95" w:type="dxa"/>
              <w:left w:w="95" w:type="dxa"/>
              <w:right w:w="95" w:type="dxa"/>
            </w:tcMar>
            <w:shd w:fill="FFFFFF"/>
          </w:tcPr>
          <w:p>
            <w:pPr>
              <w:spacing w:after="40" w:before="40" w:line="247" w:lineRule="auto"/>
            </w:pPr>
            <w:r>
              <w:rPr>
                <w:b w:val="0"/>
                <w:color w:val="000000"/>
                <w:sz w:val="19"/>
              </w:rPr>
              <w:t>Login 8 per minute per IP; registration 5 per hour per IP; analysis 6 and chat 12 per minute per user.</w:t>
            </w:r>
          </w:p>
        </w:tc>
      </w:tr>
    </w:tbl>
    <w:p>
      <w:pPr>
        <w:widowControl/>
        <w:spacing w:line="20" w:lineRule="exact" w:after="100"/>
      </w:pPr>
    </w:p>
    <w:p>
      <w:pPr>
        <w:pStyle w:val="Heading2"/>
      </w:pPr>
      <w:r>
        <w:t>8 3 Data protection and remaining work</w:t>
      </w:r>
    </w:p>
    <w:p>
      <w:pPr>
        <w:widowControl/>
      </w:pPr>
      <w:r>
        <w:t>Database queries use parameterised values. The main SQLite file has restricted file permissions, but its profile data is not encrypted at rest. The local services use loopback HTTP, without TLS. File permissions, hashing and transport encryption solve different problems and should not be presented as interchangeable.</w:t>
      </w:r>
    </w:p>
    <w:p>
      <w:pPr>
        <w:widowControl/>
      </w:pPr>
      <w:r>
        <w:t>Exports omit password and session secrets. Account deletion removes related application records, but does not erase external copies, screenshots, backups or every log. Rate limits are in memory and reset when the process restarts. A commercial deployment needs TLS, managed secrets, encrypted backups, SSO or MFA where appropriate, tenant isolation, monitored access and independent security testing.</w:t>
      </w:r>
    </w:p>
    <w:p>
      <w:pPr>
        <w:pStyle w:val="Heading1"/>
        <w:pageBreakBefore/>
      </w:pPr>
      <w:r>
        <w:t>9 Responsible AI and individual assessments</w:t>
      </w:r>
    </w:p>
    <w:p>
      <w:pPr>
        <w:pStyle w:val="Heading2"/>
      </w:pPr>
      <w:r>
        <w:t>9 1 Fairness and understandable decisions</w:t>
      </w:r>
    </w:p>
    <w:p>
      <w:pPr>
        <w:widowControl/>
      </w:pPr>
      <w:r>
        <w:t>The scoring inputs are professional factors such as skills, role, experience and goals. Protected personal characteristics are not explicit scoring inputs. This does not prove fairness: a narrow taxonomy, English terminology, budget constraints or an uneven catalogue can still disadvantage some users. The 15 role mappings are a project-maintained knowledge base and need broader validation before company adoption.</w:t>
      </w:r>
    </w:p>
    <w:p>
      <w:pPr>
        <w:widowControl/>
      </w:pPr>
      <w:r>
        <w:t>Each recommendation includes a reason and component scores. Employees can inspect trend evidence, update their profile and choose whether to follow a recommendation. The system supports learning decisions and must not be repurposed as an automatic promotion, hiring, termination or performance-evaluation tool.</w:t>
      </w:r>
    </w:p>
    <w:p>
      <w:pPr>
        <w:pStyle w:val="Heading2"/>
      </w:pPr>
      <w:r>
        <w:t>9 2 Privacy and model reliability</w:t>
      </w:r>
    </w:p>
    <w:p>
      <w:pPr>
        <w:widowControl/>
      </w:pPr>
      <w:r>
        <w:t>Analysis and chat require explicit consent. The gateway checks consent and the profile version again before committing an in-flight result. Local model execution reduces the need to send employee text to an external model service. Deployment settings still matter: the launcher disables cloud features for locally started Ollama, while an already-running server keeps its own configuration.</w:t>
      </w:r>
    </w:p>
    <w:p>
      <w:pPr>
        <w:widowControl/>
      </w:pPr>
      <w:r>
        <w:t>Hallucination means an AI response includes unsupported information. Restricting model choices to known skills and retrieved course IDs reduces this risk. Treating catalogue and post content as data also helps limit prompt injection, where text tries to redirect the model. These controls reduce risk; they do not establish immunity to every attack.</w:t>
      </w:r>
    </w:p>
    <w:p>
      <w:pPr>
        <w:pStyle w:val="Heading2"/>
      </w:pPr>
      <w:r>
        <w:t>9 3 Relationship to Assignment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408"/>
      </w:tblGrid>
      <w:tr>
        <w:trPr>
          <w:tblHeader/>
          <w:cantSplit/>
        </w:trPr>
        <w:tc>
          <w:tcPr>
            <w:tcW w:type="dxa" w:w="3096"/>
            <w:vAlign w:val="center"/>
            <w:tcMar>
              <w:top w:w="95" w:type="dxa"/>
              <w:bottom w:w="95" w:type="dxa"/>
              <w:left w:w="95" w:type="dxa"/>
              <w:right w:w="95" w:type="dxa"/>
            </w:tcMar>
            <w:shd w:fill="333C43"/>
          </w:tcPr>
          <w:p>
            <w:pPr>
              <w:spacing w:after="40" w:before="40" w:line="247" w:lineRule="auto"/>
            </w:pPr>
            <w:r>
              <w:rPr>
                <w:b/>
                <w:color w:val="FFFFFF"/>
                <w:sz w:val="19"/>
              </w:rPr>
              <w:t>Member</w:t>
            </w:r>
          </w:p>
        </w:tc>
        <w:tc>
          <w:tcPr>
            <w:tcW w:type="dxa" w:w="6408"/>
            <w:vAlign w:val="center"/>
            <w:tcMar>
              <w:top w:w="95" w:type="dxa"/>
              <w:bottom w:w="95" w:type="dxa"/>
              <w:left w:w="95" w:type="dxa"/>
              <w:right w:w="95" w:type="dxa"/>
            </w:tcMar>
            <w:shd w:fill="333C43"/>
          </w:tcPr>
          <w:p>
            <w:pPr>
              <w:spacing w:after="40" w:before="40" w:line="247" w:lineRule="auto"/>
            </w:pPr>
            <w:r>
              <w:rPr>
                <w:b/>
                <w:color w:val="FFFFFF"/>
                <w:sz w:val="19"/>
              </w:rPr>
              <w:t>Individual assessment focus</w:t>
            </w:r>
          </w:p>
        </w:tc>
      </w:tr>
      <w:tr>
        <w:trPr>
          <w:cantSplit/>
        </w:trPr>
        <w:tc>
          <w:tcPr>
            <w:tcW w:type="dxa" w:w="3096"/>
            <w:vAlign w:val="center"/>
            <w:tcMar>
              <w:top w:w="95" w:type="dxa"/>
              <w:bottom w:w="95" w:type="dxa"/>
              <w:left w:w="95" w:type="dxa"/>
              <w:right w:w="95" w:type="dxa"/>
            </w:tcMar>
            <w:shd w:fill="FFFFFF"/>
          </w:tcPr>
          <w:p>
            <w:pPr>
              <w:spacing w:after="40" w:before="40" w:line="247" w:lineRule="auto"/>
            </w:pPr>
            <w:r>
              <w:rPr>
                <w:b w:val="0"/>
                <w:color w:val="000000"/>
                <w:sz w:val="19"/>
              </w:rPr>
              <w:t>C N Wijesekara</w:t>
            </w:r>
          </w:p>
        </w:tc>
        <w:tc>
          <w:tcPr>
            <w:tcW w:type="dxa" w:w="6408"/>
            <w:vAlign w:val="center"/>
            <w:tcMar>
              <w:top w:w="95" w:type="dxa"/>
              <w:bottom w:w="95" w:type="dxa"/>
              <w:left w:w="95" w:type="dxa"/>
              <w:right w:w="95" w:type="dxa"/>
            </w:tcMar>
            <w:shd w:fill="FFFFFF"/>
          </w:tcPr>
          <w:p>
            <w:pPr>
              <w:spacing w:after="40" w:before="40" w:line="247" w:lineRule="auto"/>
            </w:pPr>
            <w:r>
              <w:rPr>
                <w:b w:val="0"/>
                <w:color w:val="000000"/>
                <w:sz w:val="19"/>
              </w:rPr>
              <w:t>Responsible AI and bias assessment</w:t>
            </w:r>
          </w:p>
        </w:tc>
      </w:tr>
      <w:tr>
        <w:trPr>
          <w:cantSplit/>
        </w:trPr>
        <w:tc>
          <w:tcPr>
            <w:tcW w:type="dxa" w:w="3096"/>
            <w:vAlign w:val="center"/>
            <w:tcMar>
              <w:top w:w="95" w:type="dxa"/>
              <w:bottom w:w="95" w:type="dxa"/>
              <w:left w:w="95" w:type="dxa"/>
              <w:right w:w="95" w:type="dxa"/>
            </w:tcMar>
            <w:shd w:fill="F4F6F7"/>
          </w:tcPr>
          <w:p>
            <w:pPr>
              <w:spacing w:after="40" w:before="40" w:line="247" w:lineRule="auto"/>
            </w:pPr>
            <w:r>
              <w:rPr>
                <w:b w:val="0"/>
                <w:color w:val="000000"/>
                <w:sz w:val="19"/>
              </w:rPr>
              <w:t>K N Weerakkody</w:t>
            </w:r>
          </w:p>
        </w:tc>
        <w:tc>
          <w:tcPr>
            <w:tcW w:type="dxa" w:w="6408"/>
            <w:vAlign w:val="center"/>
            <w:tcMar>
              <w:top w:w="95" w:type="dxa"/>
              <w:bottom w:w="95" w:type="dxa"/>
              <w:left w:w="95" w:type="dxa"/>
              <w:right w:w="95" w:type="dxa"/>
            </w:tcMar>
            <w:shd w:fill="F4F6F7"/>
          </w:tcPr>
          <w:p>
            <w:pPr>
              <w:spacing w:after="40" w:before="40" w:line="247" w:lineRule="auto"/>
            </w:pPr>
            <w:r>
              <w:rPr>
                <w:b w:val="0"/>
                <w:color w:val="000000"/>
                <w:sz w:val="19"/>
              </w:rPr>
              <w:t>Privacy and data leakage assessment</w:t>
            </w:r>
          </w:p>
        </w:tc>
      </w:tr>
      <w:tr>
        <w:trPr>
          <w:cantSplit/>
        </w:trPr>
        <w:tc>
          <w:tcPr>
            <w:tcW w:type="dxa" w:w="3096"/>
            <w:vAlign w:val="center"/>
            <w:tcMar>
              <w:top w:w="95" w:type="dxa"/>
              <w:bottom w:w="95" w:type="dxa"/>
              <w:left w:w="95" w:type="dxa"/>
              <w:right w:w="95" w:type="dxa"/>
            </w:tcMar>
            <w:shd w:fill="FFFFFF"/>
          </w:tcPr>
          <w:p>
            <w:pPr>
              <w:spacing w:after="40" w:before="40" w:line="247" w:lineRule="auto"/>
            </w:pPr>
            <w:r>
              <w:rPr>
                <w:b w:val="0"/>
                <w:color w:val="000000"/>
                <w:sz w:val="19"/>
              </w:rPr>
              <w:t>Dinadi Jayathilake</w:t>
            </w:r>
          </w:p>
        </w:tc>
        <w:tc>
          <w:tcPr>
            <w:tcW w:type="dxa" w:w="6408"/>
            <w:vAlign w:val="center"/>
            <w:tcMar>
              <w:top w:w="95" w:type="dxa"/>
              <w:bottom w:w="95" w:type="dxa"/>
              <w:left w:w="95" w:type="dxa"/>
              <w:right w:w="95" w:type="dxa"/>
            </w:tcMar>
            <w:shd w:fill="FFFFFF"/>
          </w:tcPr>
          <w:p>
            <w:pPr>
              <w:spacing w:after="40" w:before="40" w:line="247" w:lineRule="auto"/>
            </w:pPr>
            <w:r>
              <w:rPr>
                <w:b w:val="0"/>
                <w:color w:val="000000"/>
                <w:sz w:val="19"/>
              </w:rPr>
              <w:t>Prompt injection and jailbreak analysis</w:t>
            </w:r>
          </w:p>
        </w:tc>
      </w:tr>
      <w:tr>
        <w:trPr>
          <w:cantSplit/>
        </w:trPr>
        <w:tc>
          <w:tcPr>
            <w:tcW w:type="dxa" w:w="3096"/>
            <w:vAlign w:val="center"/>
            <w:tcMar>
              <w:top w:w="95" w:type="dxa"/>
              <w:bottom w:w="95" w:type="dxa"/>
              <w:left w:w="95" w:type="dxa"/>
              <w:right w:w="95" w:type="dxa"/>
            </w:tcMar>
            <w:shd w:fill="F4F6F7"/>
          </w:tcPr>
          <w:p>
            <w:pPr>
              <w:spacing w:after="40" w:before="40" w:line="247" w:lineRule="auto"/>
            </w:pPr>
            <w:r>
              <w:rPr>
                <w:b w:val="0"/>
                <w:color w:val="000000"/>
                <w:sz w:val="19"/>
              </w:rPr>
              <w:t>Sanali Sudugodage</w:t>
            </w:r>
          </w:p>
        </w:tc>
        <w:tc>
          <w:tcPr>
            <w:tcW w:type="dxa" w:w="6408"/>
            <w:vAlign w:val="center"/>
            <w:tcMar>
              <w:top w:w="95" w:type="dxa"/>
              <w:bottom w:w="95" w:type="dxa"/>
              <w:left w:w="95" w:type="dxa"/>
              <w:right w:w="95" w:type="dxa"/>
            </w:tcMar>
            <w:shd w:fill="F4F6F7"/>
          </w:tcPr>
          <w:p>
            <w:pPr>
              <w:spacing w:after="40" w:before="40" w:line="247" w:lineRule="auto"/>
            </w:pPr>
            <w:r>
              <w:rPr>
                <w:b w:val="0"/>
                <w:color w:val="000000"/>
                <w:sz w:val="19"/>
              </w:rPr>
              <w:t>Information retrieval and security assessment</w:t>
            </w:r>
          </w:p>
        </w:tc>
      </w:tr>
    </w:tbl>
    <w:p>
      <w:pPr>
        <w:widowControl/>
        <w:spacing w:line="20" w:lineRule="exact" w:after="100"/>
      </w:pPr>
    </w:p>
    <w:p>
      <w:pPr>
        <w:widowControl/>
      </w:pPr>
      <w:r>
        <w:t>Each individual document contains 15 planned cases, giving 60 planned cases across the team. The supplied reports mark actual outcomes as NOT RUN, evidence as NOT COLLECTED and conclusions as PENDING. Their risk analysis supports the assessment design, but it cannot be used as proof that those attacks or fairness experiments have already been executed.</w:t>
      </w:r>
    </w:p>
    <w:p>
      <w:pPr>
        <w:widowControl/>
      </w:pPr>
      <w:r>
        <w:t>The next assessment step is to run the cases, preserve requests and responses, record expected versus observed behaviour, and repeat relevant cases after mitigation. The 53 automated project tests provide separate regression evidence and do not replace those individual assessments.</w:t>
      </w:r>
    </w:p>
    <w:p>
      <w:pPr>
        <w:pStyle w:val="Heading1"/>
        <w:pageBreakBefore/>
      </w:pPr>
      <w:r>
        <w:t>10 Evaluation results</w:t>
      </w:r>
    </w:p>
    <w:p>
      <w:pPr>
        <w:pStyle w:val="Heading2"/>
      </w:pPr>
      <w:r>
        <w:t>10 1 Fresh verification on 28 September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552"/>
      </w:tblGrid>
      <w:tr>
        <w:trPr>
          <w:tblHeader/>
          <w:cantSplit/>
        </w:trPr>
        <w:tc>
          <w:tcPr>
            <w:tcW w:type="dxa" w:w="2952"/>
            <w:vAlign w:val="center"/>
            <w:tcMar>
              <w:top w:w="95" w:type="dxa"/>
              <w:bottom w:w="95" w:type="dxa"/>
              <w:left w:w="95" w:type="dxa"/>
              <w:right w:w="95" w:type="dxa"/>
            </w:tcMar>
            <w:shd w:fill="333C43"/>
          </w:tcPr>
          <w:p>
            <w:pPr>
              <w:spacing w:after="40" w:before="40" w:line="247" w:lineRule="auto"/>
            </w:pPr>
            <w:r>
              <w:rPr>
                <w:b/>
                <w:color w:val="FFFFFF"/>
                <w:sz w:val="19"/>
              </w:rPr>
              <w:t>Check</w:t>
            </w:r>
          </w:p>
        </w:tc>
        <w:tc>
          <w:tcPr>
            <w:tcW w:type="dxa" w:w="6552"/>
            <w:vAlign w:val="center"/>
            <w:tcMar>
              <w:top w:w="95" w:type="dxa"/>
              <w:bottom w:w="95" w:type="dxa"/>
              <w:left w:w="95" w:type="dxa"/>
              <w:right w:w="95" w:type="dxa"/>
            </w:tcMar>
            <w:shd w:fill="333C43"/>
          </w:tcPr>
          <w:p>
            <w:pPr>
              <w:spacing w:after="40" w:before="40" w:line="247" w:lineRule="auto"/>
            </w:pPr>
            <w:r>
              <w:rPr>
                <w:b/>
                <w:color w:val="FFFFFF"/>
                <w:sz w:val="19"/>
              </w:rPr>
              <w:t>Result and scope</w:t>
            </w:r>
          </w:p>
        </w:tc>
      </w:tr>
      <w:tr>
        <w:trPr>
          <w:cantSplit/>
        </w:trPr>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Automated Python tests</w:t>
            </w:r>
          </w:p>
        </w:tc>
        <w:tc>
          <w:tcPr>
            <w:tcW w:type="dxa" w:w="6552"/>
            <w:vAlign w:val="center"/>
            <w:tcMar>
              <w:top w:w="95" w:type="dxa"/>
              <w:bottom w:w="95" w:type="dxa"/>
              <w:left w:w="95" w:type="dxa"/>
              <w:right w:w="95" w:type="dxa"/>
            </w:tcMar>
            <w:shd w:fill="FFFFFF"/>
          </w:tcPr>
          <w:p>
            <w:pPr>
              <w:spacing w:after="40" w:before="40" w:line="247" w:lineRule="auto"/>
            </w:pPr>
            <w:r>
              <w:rPr>
                <w:b w:val="0"/>
                <w:color w:val="000000"/>
                <w:sz w:val="19"/>
              </w:rPr>
              <w:t>53 passed in 7.03 seconds; two third-party deprecation warnings. Python 3.14.0 on macOS.</w:t>
            </w:r>
          </w:p>
        </w:tc>
      </w:tr>
      <w:tr>
        <w:trPr>
          <w:cantSplit/>
        </w:trPr>
        <w:tc>
          <w:tcPr>
            <w:tcW w:type="dxa" w:w="2952"/>
            <w:vAlign w:val="center"/>
            <w:tcMar>
              <w:top w:w="95" w:type="dxa"/>
              <w:bottom w:w="95" w:type="dxa"/>
              <w:left w:w="95" w:type="dxa"/>
              <w:right w:w="95" w:type="dxa"/>
            </w:tcMar>
            <w:shd w:fill="F4F6F7"/>
          </w:tcPr>
          <w:p>
            <w:pPr>
              <w:spacing w:after="40" w:before="40" w:line="247" w:lineRule="auto"/>
            </w:pPr>
            <w:r>
              <w:rPr>
                <w:b w:val="0"/>
                <w:color w:val="000000"/>
                <w:sz w:val="19"/>
              </w:rPr>
              <w:t>Frontend production build</w:t>
            </w:r>
          </w:p>
        </w:tc>
        <w:tc>
          <w:tcPr>
            <w:tcW w:type="dxa" w:w="6552"/>
            <w:vAlign w:val="center"/>
            <w:tcMar>
              <w:top w:w="95" w:type="dxa"/>
              <w:bottom w:w="95" w:type="dxa"/>
              <w:left w:w="95" w:type="dxa"/>
              <w:right w:w="95" w:type="dxa"/>
            </w:tcMar>
            <w:shd w:fill="F4F6F7"/>
          </w:tcPr>
          <w:p>
            <w:pPr>
              <w:spacing w:after="40" w:before="40" w:line="247" w:lineRule="auto"/>
            </w:pPr>
            <w:r>
              <w:rPr>
                <w:b w:val="0"/>
                <w:color w:val="000000"/>
                <w:sz w:val="19"/>
              </w:rPr>
              <w:t>Passed TypeScript checking and Vite build after removing an obsolete TypeScript suppression comment.</w:t>
            </w:r>
          </w:p>
        </w:tc>
      </w:tr>
      <w:tr>
        <w:trPr>
          <w:cantSplit/>
        </w:trPr>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Retrieval evaluation</w:t>
            </w:r>
          </w:p>
        </w:tc>
        <w:tc>
          <w:tcPr>
            <w:tcW w:type="dxa" w:w="6552"/>
            <w:vAlign w:val="center"/>
            <w:tcMar>
              <w:top w:w="95" w:type="dxa"/>
              <w:bottom w:w="95" w:type="dxa"/>
              <w:left w:w="95" w:type="dxa"/>
              <w:right w:w="95" w:type="dxa"/>
            </w:tcMar>
            <w:shd w:fill="FFFFFF"/>
          </w:tcPr>
          <w:p>
            <w:pPr>
              <w:spacing w:after="40" w:before="40" w:line="247" w:lineRule="auto"/>
            </w:pPr>
            <w:r>
              <w:rPr>
                <w:b w:val="0"/>
                <w:color w:val="000000"/>
                <w:sz w:val="19"/>
              </w:rPr>
              <w:t>Repeated over the 32-course seed catalogue, with seven author-labelled queries and k = 5.</w:t>
            </w:r>
          </w:p>
        </w:tc>
      </w:tr>
    </w:tbl>
    <w:p>
      <w:pPr>
        <w:widowControl/>
        <w:spacing w:line="20" w:lineRule="exact" w:after="100"/>
      </w:pPr>
    </w:p>
    <w:p>
      <w:pPr>
        <w:widowControl/>
      </w:pPr>
      <w:r>
        <w:t>API tests use temporary SQLite databases, synthetic accounts and mocked model and worker transports. The agent algorithms execute, but this run does not independently verify live networking or real Ollama inference. Existing employee records were not used as the test database.</w:t>
      </w:r>
    </w:p>
    <w:p>
      <w:pPr>
        <w:pStyle w:val="Heading2"/>
      </w:pPr>
      <w:r>
        <w:t>10 2 Retrieval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008"/>
        <w:gridCol w:w="6336"/>
      </w:tblGrid>
      <w:tr>
        <w:trPr>
          <w:tblHeader/>
          <w:cantSplit/>
        </w:trPr>
        <w:tc>
          <w:tcPr>
            <w:tcW w:type="dxa" w:w="2160"/>
            <w:vAlign w:val="center"/>
            <w:tcMar>
              <w:top w:w="95" w:type="dxa"/>
              <w:bottom w:w="95" w:type="dxa"/>
              <w:left w:w="95" w:type="dxa"/>
              <w:right w:w="95" w:type="dxa"/>
            </w:tcMar>
            <w:shd w:fill="333C43"/>
          </w:tcPr>
          <w:p>
            <w:pPr>
              <w:spacing w:after="40" w:before="40" w:line="247" w:lineRule="auto"/>
            </w:pPr>
            <w:r>
              <w:rPr>
                <w:b/>
                <w:color w:val="FFFFFF"/>
                <w:sz w:val="19"/>
              </w:rPr>
              <w:t>Metric</w:t>
            </w:r>
          </w:p>
        </w:tc>
        <w:tc>
          <w:tcPr>
            <w:tcW w:type="dxa" w:w="1008"/>
            <w:vAlign w:val="center"/>
            <w:tcMar>
              <w:top w:w="95" w:type="dxa"/>
              <w:bottom w:w="95" w:type="dxa"/>
              <w:left w:w="95" w:type="dxa"/>
              <w:right w:w="95" w:type="dxa"/>
            </w:tcMar>
            <w:shd w:fill="333C43"/>
          </w:tcPr>
          <w:p>
            <w:pPr>
              <w:spacing w:after="40" w:before="40" w:line="247" w:lineRule="auto"/>
            </w:pPr>
            <w:r>
              <w:rPr>
                <w:b/>
                <w:color w:val="FFFFFF"/>
                <w:sz w:val="19"/>
              </w:rPr>
              <w:t>Value</w:t>
            </w:r>
          </w:p>
        </w:tc>
        <w:tc>
          <w:tcPr>
            <w:tcW w:type="dxa" w:w="6336"/>
            <w:vAlign w:val="center"/>
            <w:tcMar>
              <w:top w:w="95" w:type="dxa"/>
              <w:bottom w:w="95" w:type="dxa"/>
              <w:left w:w="95" w:type="dxa"/>
              <w:right w:w="95" w:type="dxa"/>
            </w:tcMar>
            <w:shd w:fill="333C43"/>
          </w:tcPr>
          <w:p>
            <w:pPr>
              <w:spacing w:after="40" w:before="40" w:line="247" w:lineRule="auto"/>
            </w:pPr>
            <w:r>
              <w:rPr>
                <w:b/>
                <w:color w:val="FFFFFF"/>
                <w:sz w:val="19"/>
              </w:rPr>
              <w:t>Meaning</w:t>
            </w:r>
          </w:p>
        </w:tc>
      </w:tr>
      <w:tr>
        <w:trPr>
          <w:cantSplit/>
        </w:trPr>
        <w:tc>
          <w:tcPr>
            <w:tcW w:type="dxa" w:w="2160"/>
            <w:vAlign w:val="center"/>
            <w:tcMar>
              <w:top w:w="95" w:type="dxa"/>
              <w:bottom w:w="95" w:type="dxa"/>
              <w:left w:w="95" w:type="dxa"/>
              <w:right w:w="95" w:type="dxa"/>
            </w:tcMar>
            <w:shd w:fill="FFFFFF"/>
          </w:tcPr>
          <w:p>
            <w:pPr>
              <w:spacing w:after="40" w:before="40" w:line="247" w:lineRule="auto"/>
            </w:pPr>
            <w:r>
              <w:rPr>
                <w:b w:val="0"/>
                <w:color w:val="000000"/>
                <w:sz w:val="19"/>
              </w:rPr>
              <w:t>Precision at 5</w:t>
            </w:r>
          </w:p>
        </w:tc>
        <w:tc>
          <w:tcPr>
            <w:tcW w:type="dxa" w:w="1008"/>
            <w:vAlign w:val="center"/>
            <w:tcMar>
              <w:top w:w="95" w:type="dxa"/>
              <w:bottom w:w="95" w:type="dxa"/>
              <w:left w:w="95" w:type="dxa"/>
              <w:right w:w="95" w:type="dxa"/>
            </w:tcMar>
            <w:shd w:fill="FFFFFF"/>
          </w:tcPr>
          <w:p>
            <w:pPr>
              <w:spacing w:after="40" w:before="40" w:line="247" w:lineRule="auto"/>
            </w:pPr>
            <w:r>
              <w:rPr>
                <w:b w:val="0"/>
                <w:color w:val="000000"/>
                <w:sz w:val="19"/>
              </w:rPr>
              <w:t>0.657</w:t>
            </w:r>
          </w:p>
        </w:tc>
        <w:tc>
          <w:tcPr>
            <w:tcW w:type="dxa" w:w="6336"/>
            <w:vAlign w:val="center"/>
            <w:tcMar>
              <w:top w:w="95" w:type="dxa"/>
              <w:bottom w:w="95" w:type="dxa"/>
              <w:left w:w="95" w:type="dxa"/>
              <w:right w:w="95" w:type="dxa"/>
            </w:tcMar>
            <w:shd w:fill="FFFFFF"/>
          </w:tcPr>
          <w:p>
            <w:pPr>
              <w:spacing w:after="40" w:before="40" w:line="247" w:lineRule="auto"/>
            </w:pPr>
            <w:r>
              <w:rPr>
                <w:b w:val="0"/>
                <w:color w:val="000000"/>
                <w:sz w:val="19"/>
              </w:rPr>
              <w:t>Fraction of the first five result positions judged relevant.</w:t>
            </w:r>
          </w:p>
        </w:tc>
      </w:tr>
      <w:tr>
        <w:trPr>
          <w:cantSplit/>
        </w:trPr>
        <w:tc>
          <w:tcPr>
            <w:tcW w:type="dxa" w:w="2160"/>
            <w:vAlign w:val="center"/>
            <w:tcMar>
              <w:top w:w="95" w:type="dxa"/>
              <w:bottom w:w="95" w:type="dxa"/>
              <w:left w:w="95" w:type="dxa"/>
              <w:right w:w="95" w:type="dxa"/>
            </w:tcMar>
            <w:shd w:fill="F4F6F7"/>
          </w:tcPr>
          <w:p>
            <w:pPr>
              <w:spacing w:after="40" w:before="40" w:line="247" w:lineRule="auto"/>
            </w:pPr>
            <w:r>
              <w:rPr>
                <w:b w:val="0"/>
                <w:color w:val="000000"/>
                <w:sz w:val="19"/>
              </w:rPr>
              <w:t>Recall at 5</w:t>
            </w:r>
          </w:p>
        </w:tc>
        <w:tc>
          <w:tcPr>
            <w:tcW w:type="dxa" w:w="1008"/>
            <w:vAlign w:val="center"/>
            <w:tcMar>
              <w:top w:w="95" w:type="dxa"/>
              <w:bottom w:w="95" w:type="dxa"/>
              <w:left w:w="95" w:type="dxa"/>
              <w:right w:w="95" w:type="dxa"/>
            </w:tcMar>
            <w:shd w:fill="F4F6F7"/>
          </w:tcPr>
          <w:p>
            <w:pPr>
              <w:spacing w:after="40" w:before="40" w:line="247" w:lineRule="auto"/>
            </w:pPr>
            <w:r>
              <w:rPr>
                <w:b w:val="0"/>
                <w:color w:val="000000"/>
                <w:sz w:val="19"/>
              </w:rPr>
              <w:t>0.833</w:t>
            </w:r>
          </w:p>
        </w:tc>
        <w:tc>
          <w:tcPr>
            <w:tcW w:type="dxa" w:w="6336"/>
            <w:vAlign w:val="center"/>
            <w:tcMar>
              <w:top w:w="95" w:type="dxa"/>
              <w:bottom w:w="95" w:type="dxa"/>
              <w:left w:w="95" w:type="dxa"/>
              <w:right w:w="95" w:type="dxa"/>
            </w:tcMar>
            <w:shd w:fill="F4F6F7"/>
          </w:tcPr>
          <w:p>
            <w:pPr>
              <w:spacing w:after="40" w:before="40" w:line="247" w:lineRule="auto"/>
            </w:pPr>
            <w:r>
              <w:rPr>
                <w:b w:val="0"/>
                <w:color w:val="000000"/>
                <w:sz w:val="19"/>
              </w:rPr>
              <w:t>Fraction of labelled relevant courses found in the first five.</w:t>
            </w:r>
          </w:p>
        </w:tc>
      </w:tr>
      <w:tr>
        <w:trPr>
          <w:cantSplit/>
        </w:trPr>
        <w:tc>
          <w:tcPr>
            <w:tcW w:type="dxa" w:w="2160"/>
            <w:vAlign w:val="center"/>
            <w:tcMar>
              <w:top w:w="95" w:type="dxa"/>
              <w:bottom w:w="95" w:type="dxa"/>
              <w:left w:w="95" w:type="dxa"/>
              <w:right w:w="95" w:type="dxa"/>
            </w:tcMar>
            <w:shd w:fill="FFFFFF"/>
          </w:tcPr>
          <w:p>
            <w:pPr>
              <w:spacing w:after="40" w:before="40" w:line="247" w:lineRule="auto"/>
            </w:pPr>
            <w:r>
              <w:rPr>
                <w:b w:val="0"/>
                <w:color w:val="000000"/>
                <w:sz w:val="19"/>
              </w:rPr>
              <w:t>MRR</w:t>
            </w:r>
          </w:p>
        </w:tc>
        <w:tc>
          <w:tcPr>
            <w:tcW w:type="dxa" w:w="1008"/>
            <w:vAlign w:val="center"/>
            <w:tcMar>
              <w:top w:w="95" w:type="dxa"/>
              <w:bottom w:w="95" w:type="dxa"/>
              <w:left w:w="95" w:type="dxa"/>
              <w:right w:w="95" w:type="dxa"/>
            </w:tcMar>
            <w:shd w:fill="FFFFFF"/>
          </w:tcPr>
          <w:p>
            <w:pPr>
              <w:spacing w:after="40" w:before="40" w:line="247" w:lineRule="auto"/>
            </w:pPr>
            <w:r>
              <w:rPr>
                <w:b w:val="0"/>
                <w:color w:val="000000"/>
                <w:sz w:val="19"/>
              </w:rPr>
              <w:t>1.000</w:t>
            </w:r>
          </w:p>
        </w:tc>
        <w:tc>
          <w:tcPr>
            <w:tcW w:type="dxa" w:w="6336"/>
            <w:vAlign w:val="center"/>
            <w:tcMar>
              <w:top w:w="95" w:type="dxa"/>
              <w:bottom w:w="95" w:type="dxa"/>
              <w:left w:w="95" w:type="dxa"/>
              <w:right w:w="95" w:type="dxa"/>
            </w:tcMar>
            <w:shd w:fill="FFFFFF"/>
          </w:tcPr>
          <w:p>
            <w:pPr>
              <w:spacing w:after="40" w:before="40" w:line="247" w:lineRule="auto"/>
            </w:pPr>
            <w:r>
              <w:rPr>
                <w:b w:val="0"/>
                <w:color w:val="000000"/>
                <w:sz w:val="19"/>
              </w:rPr>
              <w:t>Average reciprocal rank of the first relevant result.</w:t>
            </w:r>
          </w:p>
        </w:tc>
      </w:tr>
      <w:tr>
        <w:trPr>
          <w:cantSplit/>
        </w:trPr>
        <w:tc>
          <w:tcPr>
            <w:tcW w:type="dxa" w:w="2160"/>
            <w:vAlign w:val="center"/>
            <w:tcMar>
              <w:top w:w="95" w:type="dxa"/>
              <w:bottom w:w="95" w:type="dxa"/>
              <w:left w:w="95" w:type="dxa"/>
              <w:right w:w="95" w:type="dxa"/>
            </w:tcMar>
            <w:shd w:fill="F4F6F7"/>
          </w:tcPr>
          <w:p>
            <w:pPr>
              <w:spacing w:after="40" w:before="40" w:line="247" w:lineRule="auto"/>
            </w:pPr>
            <w:r>
              <w:rPr>
                <w:b w:val="0"/>
                <w:color w:val="000000"/>
                <w:sz w:val="19"/>
              </w:rPr>
              <w:t>NDCG at 5</w:t>
            </w:r>
          </w:p>
        </w:tc>
        <w:tc>
          <w:tcPr>
            <w:tcW w:type="dxa" w:w="1008"/>
            <w:vAlign w:val="center"/>
            <w:tcMar>
              <w:top w:w="95" w:type="dxa"/>
              <w:bottom w:w="95" w:type="dxa"/>
              <w:left w:w="95" w:type="dxa"/>
              <w:right w:w="95" w:type="dxa"/>
            </w:tcMar>
            <w:shd w:fill="F4F6F7"/>
          </w:tcPr>
          <w:p>
            <w:pPr>
              <w:spacing w:after="40" w:before="40" w:line="247" w:lineRule="auto"/>
            </w:pPr>
            <w:r>
              <w:rPr>
                <w:b w:val="0"/>
                <w:color w:val="000000"/>
                <w:sz w:val="19"/>
              </w:rPr>
              <w:t>0.885</w:t>
            </w:r>
          </w:p>
        </w:tc>
        <w:tc>
          <w:tcPr>
            <w:tcW w:type="dxa" w:w="6336"/>
            <w:vAlign w:val="center"/>
            <w:tcMar>
              <w:top w:w="95" w:type="dxa"/>
              <w:bottom w:w="95" w:type="dxa"/>
              <w:left w:w="95" w:type="dxa"/>
              <w:right w:w="95" w:type="dxa"/>
            </w:tcMar>
            <w:shd w:fill="F4F6F7"/>
          </w:tcPr>
          <w:p>
            <w:pPr>
              <w:spacing w:after="40" w:before="40" w:line="247" w:lineRule="auto"/>
            </w:pPr>
            <w:r>
              <w:rPr>
                <w:b w:val="0"/>
                <w:color w:val="000000"/>
                <w:sz w:val="19"/>
              </w:rPr>
              <w:t>Ranking quality after rewarding relevant items near the top.</w:t>
            </w:r>
          </w:p>
        </w:tc>
      </w:tr>
    </w:tbl>
    <w:p>
      <w:pPr>
        <w:widowControl/>
        <w:spacing w:line="20" w:lineRule="exact" w:after="10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1181"/>
        <w:gridCol w:w="1181"/>
        <w:gridCol w:w="1238"/>
      </w:tblGrid>
      <w:tr>
        <w:trPr>
          <w:tblHeader/>
          <w:cantSplit/>
        </w:trPr>
        <w:tc>
          <w:tcPr>
            <w:tcW w:type="dxa" w:w="5904"/>
            <w:vAlign w:val="center"/>
            <w:tcMar>
              <w:top w:w="95" w:type="dxa"/>
              <w:bottom w:w="95" w:type="dxa"/>
              <w:left w:w="95" w:type="dxa"/>
              <w:right w:w="95" w:type="dxa"/>
            </w:tcMar>
            <w:shd w:fill="333C43"/>
          </w:tcPr>
          <w:p>
            <w:pPr>
              <w:spacing w:after="40" w:before="40" w:line="247" w:lineRule="auto"/>
            </w:pPr>
            <w:r>
              <w:rPr>
                <w:b/>
                <w:color w:val="FFFFFF"/>
                <w:sz w:val="19"/>
              </w:rPr>
              <w:t>Development query</w:t>
            </w:r>
          </w:p>
        </w:tc>
        <w:tc>
          <w:tcPr>
            <w:tcW w:type="dxa" w:w="1181"/>
            <w:vAlign w:val="center"/>
            <w:tcMar>
              <w:top w:w="95" w:type="dxa"/>
              <w:bottom w:w="95" w:type="dxa"/>
              <w:left w:w="95" w:type="dxa"/>
              <w:right w:w="95" w:type="dxa"/>
            </w:tcMar>
            <w:shd w:fill="333C43"/>
          </w:tcPr>
          <w:p>
            <w:pPr>
              <w:spacing w:after="40" w:before="40" w:line="247" w:lineRule="auto"/>
            </w:pPr>
            <w:r>
              <w:rPr>
                <w:b/>
                <w:color w:val="FFFFFF"/>
                <w:sz w:val="19"/>
              </w:rPr>
              <w:t>P at 5</w:t>
            </w:r>
          </w:p>
        </w:tc>
        <w:tc>
          <w:tcPr>
            <w:tcW w:type="dxa" w:w="1181"/>
            <w:vAlign w:val="center"/>
            <w:tcMar>
              <w:top w:w="95" w:type="dxa"/>
              <w:bottom w:w="95" w:type="dxa"/>
              <w:left w:w="95" w:type="dxa"/>
              <w:right w:w="95" w:type="dxa"/>
            </w:tcMar>
            <w:shd w:fill="333C43"/>
          </w:tcPr>
          <w:p>
            <w:pPr>
              <w:spacing w:after="40" w:before="40" w:line="247" w:lineRule="auto"/>
            </w:pPr>
            <w:r>
              <w:rPr>
                <w:b/>
                <w:color w:val="FFFFFF"/>
                <w:sz w:val="19"/>
              </w:rPr>
              <w:t>R at 5</w:t>
            </w:r>
          </w:p>
        </w:tc>
        <w:tc>
          <w:tcPr>
            <w:tcW w:type="dxa" w:w="1238"/>
            <w:vAlign w:val="center"/>
            <w:tcMar>
              <w:top w:w="95" w:type="dxa"/>
              <w:bottom w:w="95" w:type="dxa"/>
              <w:left w:w="95" w:type="dxa"/>
              <w:right w:w="95" w:type="dxa"/>
            </w:tcMar>
            <w:shd w:fill="333C43"/>
          </w:tcPr>
          <w:p>
            <w:pPr>
              <w:spacing w:after="40" w:before="40" w:line="247" w:lineRule="auto"/>
            </w:pPr>
            <w:r>
              <w:rPr>
                <w:b/>
                <w:color w:val="FFFFFF"/>
                <w:sz w:val="19"/>
              </w:rPr>
              <w:t>NDCG</w:t>
            </w:r>
          </w:p>
        </w:tc>
      </w:tr>
      <w:tr>
        <w:trPr>
          <w:cantSplit/>
        </w:trPr>
        <w:tc>
          <w:tcPr>
            <w:tcW w:type="dxa" w:w="5904"/>
            <w:vAlign w:val="center"/>
            <w:tcMar>
              <w:top w:w="95" w:type="dxa"/>
              <w:bottom w:w="95" w:type="dxa"/>
              <w:left w:w="95" w:type="dxa"/>
              <w:right w:w="95" w:type="dxa"/>
            </w:tcMar>
            <w:shd w:fill="FFFFFF"/>
          </w:tcPr>
          <w:p>
            <w:pPr>
              <w:spacing w:after="40" w:before="40" w:line="247" w:lineRule="auto"/>
            </w:pPr>
            <w:r>
              <w:rPr>
                <w:b w:val="0"/>
                <w:color w:val="000000"/>
                <w:sz w:val="19"/>
              </w:rPr>
              <w:t>Python data science pandas beginner</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.600</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.750</w:t>
            </w:r>
          </w:p>
        </w:tc>
        <w:tc>
          <w:tcPr>
            <w:tcW w:type="dxa" w:w="1238"/>
            <w:vAlign w:val="center"/>
            <w:tcMar>
              <w:top w:w="95" w:type="dxa"/>
              <w:bottom w:w="95" w:type="dxa"/>
              <w:left w:w="95" w:type="dxa"/>
              <w:right w:w="95" w:type="dxa"/>
            </w:tcMar>
            <w:shd w:fill="FFFFFF"/>
          </w:tcPr>
          <w:p>
            <w:pPr>
              <w:spacing w:after="40" w:before="40" w:line="247" w:lineRule="auto"/>
            </w:pPr>
            <w:r>
              <w:rPr>
                <w:b w:val="0"/>
                <w:color w:val="000000"/>
                <w:sz w:val="19"/>
              </w:rPr>
              <w:t>.832</w:t>
            </w:r>
          </w:p>
        </w:tc>
      </w:tr>
      <w:tr>
        <w:trPr>
          <w:cantSplit/>
        </w:trPr>
        <w:tc>
          <w:tcPr>
            <w:tcW w:type="dxa" w:w="5904"/>
            <w:vAlign w:val="center"/>
            <w:tcMar>
              <w:top w:w="95" w:type="dxa"/>
              <w:bottom w:w="95" w:type="dxa"/>
              <w:left w:w="95" w:type="dxa"/>
              <w:right w:w="95" w:type="dxa"/>
            </w:tcMar>
            <w:shd w:fill="F4F6F7"/>
          </w:tcPr>
          <w:p>
            <w:pPr>
              <w:spacing w:after="40" w:before="40" w:line="247" w:lineRule="auto"/>
            </w:pPr>
            <w:r>
              <w:rPr>
                <w:b w:val="0"/>
                <w:color w:val="000000"/>
                <w:sz w:val="19"/>
              </w:rPr>
              <w:t>Machine learning statistics data scientist</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.600</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.750</w:t>
            </w:r>
          </w:p>
        </w:tc>
        <w:tc>
          <w:tcPr>
            <w:tcW w:type="dxa" w:w="1238"/>
            <w:vAlign w:val="center"/>
            <w:tcMar>
              <w:top w:w="95" w:type="dxa"/>
              <w:bottom w:w="95" w:type="dxa"/>
              <w:left w:w="95" w:type="dxa"/>
              <w:right w:w="95" w:type="dxa"/>
            </w:tcMar>
            <w:shd w:fill="F4F6F7"/>
          </w:tcPr>
          <w:p>
            <w:pPr>
              <w:spacing w:after="40" w:before="40" w:line="247" w:lineRule="auto"/>
            </w:pPr>
            <w:r>
              <w:rPr>
                <w:b w:val="0"/>
                <w:color w:val="000000"/>
                <w:sz w:val="19"/>
              </w:rPr>
              <w:t>.832</w:t>
            </w:r>
          </w:p>
        </w:tc>
      </w:tr>
      <w:tr>
        <w:trPr>
          <w:cantSplit/>
        </w:trPr>
        <w:tc>
          <w:tcPr>
            <w:tcW w:type="dxa" w:w="5904"/>
            <w:vAlign w:val="center"/>
            <w:tcMar>
              <w:top w:w="95" w:type="dxa"/>
              <w:bottom w:w="95" w:type="dxa"/>
              <w:left w:w="95" w:type="dxa"/>
              <w:right w:w="95" w:type="dxa"/>
            </w:tcMar>
            <w:shd w:fill="FFFFFF"/>
          </w:tcPr>
          <w:p>
            <w:pPr>
              <w:spacing w:after="40" w:before="40" w:line="247" w:lineRule="auto"/>
            </w:pPr>
            <w:r>
              <w:rPr>
                <w:b w:val="0"/>
                <w:color w:val="000000"/>
                <w:sz w:val="19"/>
              </w:rPr>
              <w:t>React JavaScript frontend</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.800</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1.000</w:t>
            </w:r>
          </w:p>
        </w:tc>
        <w:tc>
          <w:tcPr>
            <w:tcW w:type="dxa" w:w="1238"/>
            <w:vAlign w:val="center"/>
            <w:tcMar>
              <w:top w:w="95" w:type="dxa"/>
              <w:bottom w:w="95" w:type="dxa"/>
              <w:left w:w="95" w:type="dxa"/>
              <w:right w:w="95" w:type="dxa"/>
            </w:tcMar>
            <w:shd w:fill="FFFFFF"/>
          </w:tcPr>
          <w:p>
            <w:pPr>
              <w:spacing w:after="40" w:before="40" w:line="247" w:lineRule="auto"/>
            </w:pPr>
            <w:r>
              <w:rPr>
                <w:b w:val="0"/>
                <w:color w:val="000000"/>
                <w:sz w:val="19"/>
              </w:rPr>
              <w:t>1.000</w:t>
            </w:r>
          </w:p>
        </w:tc>
      </w:tr>
      <w:tr>
        <w:trPr>
          <w:cantSplit/>
        </w:trPr>
        <w:tc>
          <w:tcPr>
            <w:tcW w:type="dxa" w:w="5904"/>
            <w:vAlign w:val="center"/>
            <w:tcMar>
              <w:top w:w="95" w:type="dxa"/>
              <w:bottom w:w="95" w:type="dxa"/>
              <w:left w:w="95" w:type="dxa"/>
              <w:right w:w="95" w:type="dxa"/>
            </w:tcMar>
            <w:shd w:fill="F4F6F7"/>
          </w:tcPr>
          <w:p>
            <w:pPr>
              <w:spacing w:after="40" w:before="40" w:line="247" w:lineRule="auto"/>
            </w:pPr>
            <w:r>
              <w:rPr>
                <w:b w:val="0"/>
                <w:color w:val="000000"/>
                <w:sz w:val="19"/>
              </w:rPr>
              <w:t>Azure cloud fundamentals certification</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.400</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.667</w:t>
            </w:r>
          </w:p>
        </w:tc>
        <w:tc>
          <w:tcPr>
            <w:tcW w:type="dxa" w:w="1238"/>
            <w:vAlign w:val="center"/>
            <w:tcMar>
              <w:top w:w="95" w:type="dxa"/>
              <w:bottom w:w="95" w:type="dxa"/>
              <w:left w:w="95" w:type="dxa"/>
              <w:right w:w="95" w:type="dxa"/>
            </w:tcMar>
            <w:shd w:fill="F4F6F7"/>
          </w:tcPr>
          <w:p>
            <w:pPr>
              <w:spacing w:after="40" w:before="40" w:line="247" w:lineRule="auto"/>
            </w:pPr>
            <w:r>
              <w:rPr>
                <w:b w:val="0"/>
                <w:color w:val="000000"/>
                <w:sz w:val="19"/>
              </w:rPr>
              <w:t>.765</w:t>
            </w:r>
          </w:p>
        </w:tc>
      </w:tr>
      <w:tr>
        <w:trPr>
          <w:cantSplit/>
        </w:trPr>
        <w:tc>
          <w:tcPr>
            <w:tcW w:type="dxa" w:w="5904"/>
            <w:vAlign w:val="center"/>
            <w:tcMar>
              <w:top w:w="95" w:type="dxa"/>
              <w:bottom w:w="95" w:type="dxa"/>
              <w:left w:w="95" w:type="dxa"/>
              <w:right w:w="95" w:type="dxa"/>
            </w:tcMar>
            <w:shd w:fill="FFFFFF"/>
          </w:tcPr>
          <w:p>
            <w:pPr>
              <w:spacing w:after="40" w:before="40" w:line="247" w:lineRule="auto"/>
            </w:pPr>
            <w:r>
              <w:rPr>
                <w:b w:val="0"/>
                <w:color w:val="000000"/>
                <w:sz w:val="19"/>
              </w:rPr>
              <w:t>Cybersecurity networking Linux</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1.000</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1.000</w:t>
            </w:r>
          </w:p>
        </w:tc>
        <w:tc>
          <w:tcPr>
            <w:tcW w:type="dxa" w:w="1238"/>
            <w:vAlign w:val="center"/>
            <w:tcMar>
              <w:top w:w="95" w:type="dxa"/>
              <w:bottom w:w="95" w:type="dxa"/>
              <w:left w:w="95" w:type="dxa"/>
              <w:right w:w="95" w:type="dxa"/>
            </w:tcMar>
            <w:shd w:fill="FFFFFF"/>
          </w:tcPr>
          <w:p>
            <w:pPr>
              <w:spacing w:after="40" w:before="40" w:line="247" w:lineRule="auto"/>
            </w:pPr>
            <w:r>
              <w:rPr>
                <w:b w:val="0"/>
                <w:color w:val="000000"/>
                <w:sz w:val="19"/>
              </w:rPr>
              <w:t>1.000</w:t>
            </w:r>
          </w:p>
        </w:tc>
      </w:tr>
      <w:tr>
        <w:trPr>
          <w:cantSplit/>
        </w:trPr>
        <w:tc>
          <w:tcPr>
            <w:tcW w:type="dxa" w:w="5904"/>
            <w:vAlign w:val="center"/>
            <w:tcMar>
              <w:top w:w="95" w:type="dxa"/>
              <w:bottom w:w="95" w:type="dxa"/>
              <w:left w:w="95" w:type="dxa"/>
              <w:right w:w="95" w:type="dxa"/>
            </w:tcMar>
            <w:shd w:fill="F4F6F7"/>
          </w:tcPr>
          <w:p>
            <w:pPr>
              <w:spacing w:after="40" w:before="40" w:line="247" w:lineRule="auto"/>
            </w:pPr>
            <w:r>
              <w:rPr>
                <w:b w:val="0"/>
                <w:color w:val="000000"/>
                <w:sz w:val="19"/>
              </w:rPr>
              <w:t>Docker Kubernetes DevOps</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.800</w:t>
            </w:r>
          </w:p>
        </w:tc>
        <w:tc>
          <w:tcPr>
            <w:tcW w:type="dxa" w:w="1181"/>
            <w:vAlign w:val="center"/>
            <w:tcMar>
              <w:top w:w="95" w:type="dxa"/>
              <w:bottom w:w="95" w:type="dxa"/>
              <w:left w:w="95" w:type="dxa"/>
              <w:right w:w="95" w:type="dxa"/>
            </w:tcMar>
            <w:shd w:fill="F4F6F7"/>
          </w:tcPr>
          <w:p>
            <w:pPr>
              <w:spacing w:after="40" w:before="40" w:line="247" w:lineRule="auto"/>
            </w:pPr>
            <w:r>
              <w:rPr>
                <w:b w:val="0"/>
                <w:color w:val="000000"/>
                <w:sz w:val="19"/>
              </w:rPr>
              <w:t>1.000</w:t>
            </w:r>
          </w:p>
        </w:tc>
        <w:tc>
          <w:tcPr>
            <w:tcW w:type="dxa" w:w="1238"/>
            <w:vAlign w:val="center"/>
            <w:tcMar>
              <w:top w:w="95" w:type="dxa"/>
              <w:bottom w:w="95" w:type="dxa"/>
              <w:left w:w="95" w:type="dxa"/>
              <w:right w:w="95" w:type="dxa"/>
            </w:tcMar>
            <w:shd w:fill="F4F6F7"/>
          </w:tcPr>
          <w:p>
            <w:pPr>
              <w:spacing w:after="40" w:before="40" w:line="247" w:lineRule="auto"/>
            </w:pPr>
            <w:r>
              <w:rPr>
                <w:b w:val="0"/>
                <w:color w:val="000000"/>
                <w:sz w:val="19"/>
              </w:rPr>
              <w:t>1.000</w:t>
            </w:r>
          </w:p>
        </w:tc>
      </w:tr>
      <w:tr>
        <w:trPr>
          <w:cantSplit/>
        </w:trPr>
        <w:tc>
          <w:tcPr>
            <w:tcW w:type="dxa" w:w="5904"/>
            <w:vAlign w:val="center"/>
            <w:tcMar>
              <w:top w:w="95" w:type="dxa"/>
              <w:bottom w:w="95" w:type="dxa"/>
              <w:left w:w="95" w:type="dxa"/>
              <w:right w:w="95" w:type="dxa"/>
            </w:tcMar>
            <w:shd w:fill="FFFFFF"/>
          </w:tcPr>
          <w:p>
            <w:pPr>
              <w:spacing w:after="40" w:before="40" w:line="247" w:lineRule="auto"/>
            </w:pPr>
            <w:r>
              <w:rPr>
                <w:b w:val="0"/>
                <w:color w:val="000000"/>
                <w:sz w:val="19"/>
              </w:rPr>
              <w:t>Power BI SQL Excel analyst</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.400</w:t>
            </w:r>
          </w:p>
        </w:tc>
        <w:tc>
          <w:tcPr>
            <w:tcW w:type="dxa" w:w="1181"/>
            <w:vAlign w:val="center"/>
            <w:tcMar>
              <w:top w:w="95" w:type="dxa"/>
              <w:bottom w:w="95" w:type="dxa"/>
              <w:left w:w="95" w:type="dxa"/>
              <w:right w:w="95" w:type="dxa"/>
            </w:tcMar>
            <w:shd w:fill="FFFFFF"/>
          </w:tcPr>
          <w:p>
            <w:pPr>
              <w:spacing w:after="40" w:before="40" w:line="247" w:lineRule="auto"/>
            </w:pPr>
            <w:r>
              <w:rPr>
                <w:b w:val="0"/>
                <w:color w:val="000000"/>
                <w:sz w:val="19"/>
              </w:rPr>
              <w:t>.667</w:t>
            </w:r>
          </w:p>
        </w:tc>
        <w:tc>
          <w:tcPr>
            <w:tcW w:type="dxa" w:w="1238"/>
            <w:vAlign w:val="center"/>
            <w:tcMar>
              <w:top w:w="95" w:type="dxa"/>
              <w:bottom w:w="95" w:type="dxa"/>
              <w:left w:w="95" w:type="dxa"/>
              <w:right w:w="95" w:type="dxa"/>
            </w:tcMar>
            <w:shd w:fill="FFFFFF"/>
          </w:tcPr>
          <w:p>
            <w:pPr>
              <w:spacing w:after="40" w:before="40" w:line="247" w:lineRule="auto"/>
            </w:pPr>
            <w:r>
              <w:rPr>
                <w:b w:val="0"/>
                <w:color w:val="000000"/>
                <w:sz w:val="19"/>
              </w:rPr>
              <w:t>.765</w:t>
            </w:r>
          </w:p>
        </w:tc>
      </w:tr>
    </w:tbl>
    <w:p>
      <w:pPr>
        <w:widowControl/>
        <w:spacing w:line="20" w:lineRule="exact" w:after="100"/>
      </w:pPr>
    </w:p>
    <w:p>
      <w:pPr>
        <w:widowControl/>
      </w:pPr>
      <w:r>
        <w:t>MRR is 1.000 for every query because the first returned course is labelled relevant. Precision still decreases when later results are irrelevant or fewer than five items are returned. The implementation always divides Precision at 5 by five, making that behaviour explicit.</w:t>
      </w:r>
    </w:p>
    <w:p>
      <w:pPr>
        <w:pStyle w:val="Heading1"/>
        <w:pageBreakBefore/>
      </w:pPr>
      <w:r>
        <w:t>11 Evaluation interpretation and limitations</w:t>
      </w:r>
    </w:p>
    <w:p>
      <w:pPr>
        <w:pStyle w:val="Heading2"/>
      </w:pPr>
      <w:r>
        <w:t>11 1 What the tests establish</w:t>
      </w:r>
    </w:p>
    <w:p>
      <w:pPr>
        <w:widowControl/>
      </w:pPr>
      <w:r>
        <w:t>The regression suite covers authentication, role restrictions, user isolation, consent handling, request validation, worker handoff identity, failure traces, offer expiry, prerequisite guidance, notification deduplication and validated model fallback. A passing suite shows that the tested cases behave as expected. It is not a general security certification or a measure of employee learning success.</w:t>
      </w:r>
    </w:p>
    <w:p>
      <w:pPr>
        <w:widowControl/>
      </w:pPr>
      <w:r>
        <w:t>The fresh frontend check initially failed because a stylesheet import carried an unused @ts-expect-error comment. Removing the obsolete comment restored the build without changing application behaviour. Recording this correction makes the validation reproducible rather than hiding a build issue behind an older success record.</w:t>
      </w:r>
    </w:p>
    <w:p>
      <w:pPr>
        <w:pStyle w:val="Heading2"/>
      </w:pPr>
      <w:r>
        <w:t>11 2 Earlier integration evidence</w:t>
      </w:r>
    </w:p>
    <w:p>
      <w:pPr>
        <w:widowControl/>
      </w:pPr>
      <w:r>
        <w:t>The project validation record dated 16 September 2026 reports a successful real HTTP smoke test against the gateway and all four workers. It records llm_used as true for profile analysis and grounded chat, along with a 2.81-second warm-model smoke duration. Those are historical local observations, not a newly measured service-level guarantee. Cold starts, different machines and larger catalogues can change performance.</w:t>
      </w:r>
    </w:p>
    <w:p>
      <w:pPr>
        <w:widowControl/>
      </w:pPr>
      <w:r>
        <w:t>The same record describes browser checks of discovery, course search, learning-plan progress, chat, trend evidence, settings and administrator forms. The fresh report verification repeated automated tests, retrieval evaluation and the production build; it did not repeat the full browser and live-model smoke exercise.</w:t>
      </w:r>
    </w:p>
    <w:p>
      <w:pPr>
        <w:pStyle w:val="Heading2"/>
      </w:pPr>
      <w:r>
        <w:t>11 3 Threats to validity</w:t>
      </w:r>
    </w:p>
    <w:p>
      <w:pPr>
        <w:widowControl/>
      </w:pPr>
      <w:r>
        <w:t>The retrieval benchmark has only seven queries and uses relevance labels chosen by the project authors. It is a development set, not a held-out or independently annotated test set. No ablation comparing BM25 alone, cosine alone and the combined method was completed, so the results do not prove that the chosen weights are optimal.</w:t>
      </w:r>
    </w:p>
    <w:p>
      <w:pPr>
        <w:widowControl/>
      </w:pPr>
      <w:r>
        <w:t>The benchmark measures explicit-query retrieval rather than personalised recommendation quality. It does not assess explanations, employee satisfaction, course completion or skill improvement. Synthetic posts also prevent a meaningful claim about actual industry trends. No completed independent penetration test, load test or company pilot is reported.</w:t>
      </w:r>
    </w:p>
    <w:p>
      <w:pPr>
        <w:pStyle w:val="Heading2"/>
      </w:pPr>
      <w:r>
        <w:t>11 4 Next evaluation cycle</w:t>
      </w:r>
    </w:p>
    <w:p>
      <w:pPr>
        <w:widowControl/>
      </w:pPr>
      <w:r>
        <w:t>Before a paid pilot, we would expand the role and course coverage, obtain permissioned real data, ask independent reviewers to label unseen queries and compare retrieval variants. Employees would rate relevance and explanation usefulness. We would then execute the 60 individual assessment cases, investigate group differences and measure failure rates and latency on the intended deployment hardware.</w:t>
      </w:r>
    </w:p>
    <w:p>
      <w:pPr>
        <w:pStyle w:val="Heading1"/>
        <w:pageBreakBefore/>
      </w:pPr>
      <w:r>
        <w:t>12 Commercial model and pricing</w:t>
      </w:r>
    </w:p>
    <w:p>
      <w:pPr>
        <w:pStyle w:val="Heading2"/>
      </w:pPr>
      <w:r>
        <w:t>12 1 Customer and value proposition</w:t>
      </w:r>
    </w:p>
    <w:p>
      <w:pPr>
        <w:widowControl/>
      </w:pPr>
      <w:r>
        <w:t>The proposed customer is an organisation’s HR or Learning and Development department; employees are the end users. An initial market would be small and medium IT organisations that already spend on courses but have limited time for individual learning guidance. The pilot would test whether relevant recommendations reduce discovery effort and improve use of existing training resources.</w:t>
      </w:r>
    </w:p>
    <w:p>
      <w:pPr>
        <w:widowControl/>
      </w:pPr>
      <w:r>
        <w:t>A subscription would pay for the recommendation service, catalogue maintenance, support and agreed integrations. Course purchases, external provider subscriptions and paid model usage would be separately identified. Commercial success depends on useful data and adoption, not simply on displaying an AI assistant.</w:t>
      </w:r>
    </w:p>
    <w:p>
      <w:pPr>
        <w:pStyle w:val="Heading2"/>
      </w:pPr>
      <w:r>
        <w:t>12 2 Proposed subscription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08"/>
        <w:gridCol w:w="5112"/>
      </w:tblGrid>
      <w:tr>
        <w:trPr>
          <w:tblHeader/>
          <w:cantSplit/>
        </w:trPr>
        <w:tc>
          <w:tcPr>
            <w:tcW w:type="dxa" w:w="1584"/>
            <w:vAlign w:val="center"/>
            <w:tcMar>
              <w:top w:w="95" w:type="dxa"/>
              <w:bottom w:w="95" w:type="dxa"/>
              <w:left w:w="95" w:type="dxa"/>
              <w:right w:w="95" w:type="dxa"/>
            </w:tcMar>
            <w:shd w:fill="333C43"/>
          </w:tcPr>
          <w:p>
            <w:pPr>
              <w:spacing w:after="40" w:before="40" w:line="247" w:lineRule="auto"/>
            </w:pPr>
            <w:r>
              <w:rPr>
                <w:b/>
                <w:color w:val="FFFFFF"/>
                <w:sz w:val="19"/>
              </w:rPr>
              <w:t>Plan</w:t>
            </w:r>
          </w:p>
        </w:tc>
        <w:tc>
          <w:tcPr>
            <w:tcW w:type="dxa" w:w="2808"/>
            <w:vAlign w:val="center"/>
            <w:tcMar>
              <w:top w:w="95" w:type="dxa"/>
              <w:bottom w:w="95" w:type="dxa"/>
              <w:left w:w="95" w:type="dxa"/>
              <w:right w:w="95" w:type="dxa"/>
            </w:tcMar>
            <w:shd w:fill="333C43"/>
          </w:tcPr>
          <w:p>
            <w:pPr>
              <w:spacing w:after="40" w:before="40" w:line="247" w:lineRule="auto"/>
            </w:pPr>
            <w:r>
              <w:rPr>
                <w:b/>
                <w:color w:val="FFFFFF"/>
                <w:sz w:val="19"/>
              </w:rPr>
              <w:t>LKR per active employee per month</w:t>
            </w:r>
          </w:p>
        </w:tc>
        <w:tc>
          <w:tcPr>
            <w:tcW w:type="dxa" w:w="5112"/>
            <w:vAlign w:val="center"/>
            <w:tcMar>
              <w:top w:w="95" w:type="dxa"/>
              <w:bottom w:w="95" w:type="dxa"/>
              <w:left w:w="95" w:type="dxa"/>
              <w:right w:w="95" w:type="dxa"/>
            </w:tcMar>
            <w:shd w:fill="333C43"/>
          </w:tcPr>
          <w:p>
            <w:pPr>
              <w:spacing w:after="40" w:before="40" w:line="247" w:lineRule="auto"/>
            </w:pPr>
            <w:r>
              <w:rPr>
                <w:b/>
                <w:color w:val="FFFFFF"/>
                <w:sz w:val="19"/>
              </w:rPr>
              <w:t>Proposed scope</w:t>
            </w:r>
          </w:p>
        </w:tc>
      </w:tr>
      <w:tr>
        <w:trPr>
          <w:cantSplit/>
        </w:trPr>
        <w:tc>
          <w:tcPr>
            <w:tcW w:type="dxa" w:w="1584"/>
            <w:vAlign w:val="center"/>
            <w:tcMar>
              <w:top w:w="95" w:type="dxa"/>
              <w:bottom w:w="95" w:type="dxa"/>
              <w:left w:w="95" w:type="dxa"/>
              <w:right w:w="95" w:type="dxa"/>
            </w:tcMar>
            <w:shd w:fill="FFFFFF"/>
          </w:tcPr>
          <w:p>
            <w:pPr>
              <w:spacing w:after="40" w:before="40" w:line="247" w:lineRule="auto"/>
            </w:pPr>
            <w:r>
              <w:rPr>
                <w:b w:val="0"/>
                <w:color w:val="000000"/>
                <w:sz w:val="19"/>
              </w:rPr>
              <w:t>Starter</w:t>
            </w:r>
          </w:p>
        </w:tc>
        <w:tc>
          <w:tcPr>
            <w:tcW w:type="dxa" w:w="2808"/>
            <w:vAlign w:val="center"/>
            <w:tcMar>
              <w:top w:w="95" w:type="dxa"/>
              <w:bottom w:w="95" w:type="dxa"/>
              <w:left w:w="95" w:type="dxa"/>
              <w:right w:w="95" w:type="dxa"/>
            </w:tcMar>
            <w:shd w:fill="FFFFFF"/>
          </w:tcPr>
          <w:p>
            <w:pPr>
              <w:spacing w:after="40" w:before="40" w:line="247" w:lineRule="auto"/>
            </w:pPr>
            <w:r>
              <w:rPr>
                <w:b w:val="0"/>
                <w:color w:val="000000"/>
                <w:sz w:val="19"/>
              </w:rPr>
              <w:t>300</w:t>
            </w:r>
          </w:p>
        </w:tc>
        <w:tc>
          <w:tcPr>
            <w:tcW w:type="dxa" w:w="5112"/>
            <w:vAlign w:val="center"/>
            <w:tcMar>
              <w:top w:w="95" w:type="dxa"/>
              <w:bottom w:w="95" w:type="dxa"/>
              <w:left w:w="95" w:type="dxa"/>
              <w:right w:w="95" w:type="dxa"/>
            </w:tcMar>
            <w:shd w:fill="FFFFFF"/>
          </w:tcPr>
          <w:p>
            <w:pPr>
              <w:spacing w:after="40" w:before="40" w:line="247" w:lineRule="auto"/>
            </w:pPr>
            <w:r>
              <w:rPr>
                <w:b w:val="0"/>
                <w:color w:val="000000"/>
                <w:sz w:val="19"/>
              </w:rPr>
              <w:t>Profile analysis, internal catalogue, learning plan and in-app notices.</w:t>
            </w:r>
          </w:p>
        </w:tc>
      </w:tr>
      <w:tr>
        <w:trPr>
          <w:cantSplit/>
        </w:trPr>
        <w:tc>
          <w:tcPr>
            <w:tcW w:type="dxa" w:w="1584"/>
            <w:vAlign w:val="center"/>
            <w:tcMar>
              <w:top w:w="95" w:type="dxa"/>
              <w:bottom w:w="95" w:type="dxa"/>
              <w:left w:w="95" w:type="dxa"/>
              <w:right w:w="95" w:type="dxa"/>
            </w:tcMar>
            <w:shd w:fill="F4F6F7"/>
          </w:tcPr>
          <w:p>
            <w:pPr>
              <w:spacing w:after="40" w:before="40" w:line="247" w:lineRule="auto"/>
            </w:pPr>
            <w:r>
              <w:rPr>
                <w:b w:val="0"/>
                <w:color w:val="000000"/>
                <w:sz w:val="19"/>
              </w:rPr>
              <w:t>Professional</w:t>
            </w:r>
          </w:p>
        </w:tc>
        <w:tc>
          <w:tcPr>
            <w:tcW w:type="dxa" w:w="2808"/>
            <w:vAlign w:val="center"/>
            <w:tcMar>
              <w:top w:w="95" w:type="dxa"/>
              <w:bottom w:w="95" w:type="dxa"/>
              <w:left w:w="95" w:type="dxa"/>
              <w:right w:w="95" w:type="dxa"/>
            </w:tcMar>
            <w:shd w:fill="F4F6F7"/>
          </w:tcPr>
          <w:p>
            <w:pPr>
              <w:spacing w:after="40" w:before="40" w:line="247" w:lineRule="auto"/>
            </w:pPr>
            <w:r>
              <w:rPr>
                <w:b w:val="0"/>
                <w:color w:val="000000"/>
                <w:sz w:val="19"/>
              </w:rPr>
              <w:t>550</w:t>
            </w:r>
          </w:p>
        </w:tc>
        <w:tc>
          <w:tcPr>
            <w:tcW w:type="dxa" w:w="5112"/>
            <w:vAlign w:val="center"/>
            <w:tcMar>
              <w:top w:w="95" w:type="dxa"/>
              <w:bottom w:w="95" w:type="dxa"/>
              <w:left w:w="95" w:type="dxa"/>
              <w:right w:w="95" w:type="dxa"/>
            </w:tcMar>
            <w:shd w:fill="F4F6F7"/>
          </w:tcPr>
          <w:p>
            <w:pPr>
              <w:spacing w:after="40" w:before="40" w:line="247" w:lineRule="auto"/>
            </w:pPr>
            <w:r>
              <w:rPr>
                <w:b w:val="0"/>
                <w:color w:val="000000"/>
                <w:sz w:val="19"/>
              </w:rPr>
              <w:t>Starter scope plus HR analytics, organisation catalogue management and agreed support.</w:t>
            </w:r>
          </w:p>
        </w:tc>
      </w:tr>
      <w:tr>
        <w:trPr>
          <w:cantSplit/>
        </w:trPr>
        <w:tc>
          <w:tcPr>
            <w:tcW w:type="dxa" w:w="1584"/>
            <w:vAlign w:val="center"/>
            <w:tcMar>
              <w:top w:w="95" w:type="dxa"/>
              <w:bottom w:w="95" w:type="dxa"/>
              <w:left w:w="95" w:type="dxa"/>
              <w:right w:w="95" w:type="dxa"/>
            </w:tcMar>
            <w:shd w:fill="FFFFFF"/>
          </w:tcPr>
          <w:p>
            <w:pPr>
              <w:spacing w:after="40" w:before="40" w:line="247" w:lineRule="auto"/>
            </w:pPr>
            <w:r>
              <w:rPr>
                <w:b w:val="0"/>
                <w:color w:val="000000"/>
                <w:sz w:val="19"/>
              </w:rPr>
              <w:t>Enterprise</w:t>
            </w:r>
          </w:p>
        </w:tc>
        <w:tc>
          <w:tcPr>
            <w:tcW w:type="dxa" w:w="2808"/>
            <w:vAlign w:val="center"/>
            <w:tcMar>
              <w:top w:w="95" w:type="dxa"/>
              <w:bottom w:w="95" w:type="dxa"/>
              <w:left w:w="95" w:type="dxa"/>
              <w:right w:w="95" w:type="dxa"/>
            </w:tcMar>
            <w:shd w:fill="FFFFFF"/>
          </w:tcPr>
          <w:p>
            <w:pPr>
              <w:spacing w:after="40" w:before="40" w:line="247" w:lineRule="auto"/>
            </w:pPr>
            <w:r>
              <w:rPr>
                <w:b w:val="0"/>
                <w:color w:val="000000"/>
                <w:sz w:val="19"/>
              </w:rPr>
              <w:t>From 800</w:t>
            </w:r>
          </w:p>
        </w:tc>
        <w:tc>
          <w:tcPr>
            <w:tcW w:type="dxa" w:w="5112"/>
            <w:vAlign w:val="center"/>
            <w:tcMar>
              <w:top w:w="95" w:type="dxa"/>
              <w:bottom w:w="95" w:type="dxa"/>
              <w:left w:w="95" w:type="dxa"/>
              <w:right w:w="95" w:type="dxa"/>
            </w:tcMar>
            <w:shd w:fill="FFFFFF"/>
          </w:tcPr>
          <w:p>
            <w:pPr>
              <w:spacing w:after="40" w:before="40" w:line="247" w:lineRule="auto"/>
            </w:pPr>
            <w:r>
              <w:rPr>
                <w:b w:val="0"/>
                <w:color w:val="000000"/>
                <w:sz w:val="19"/>
              </w:rPr>
              <w:t>Contracted deployment, identity and LMS integrations, security review and support terms.</w:t>
            </w:r>
          </w:p>
        </w:tc>
      </w:tr>
    </w:tbl>
    <w:p>
      <w:pPr>
        <w:widowControl/>
        <w:spacing w:line="20" w:lineRule="exact" w:after="100"/>
      </w:pPr>
    </w:p>
    <w:p>
      <w:pPr>
        <w:widowControl/>
      </w:pPr>
      <w:r>
        <w:t>These are proposed prices for testing with customers, not established market rates. An active employee would be defined contractually as one who signs in or receives an opted-in analysis during the billing month. Enterprise features in this table are delivery commitments to scope and build, not claims that they are already implemented. Onboarding, custom connectors, course licences and taxes would be quoted separately.</w:t>
      </w:r>
    </w:p>
    <w:p>
      <w:pPr>
        <w:pStyle w:val="Heading2"/>
      </w:pPr>
      <w:r>
        <w:t>12 3 Illustrative monthly economics</w:t>
      </w:r>
    </w:p>
    <w:p>
      <w:pPr>
        <w:widowControl/>
      </w:pPr>
      <w:r>
        <w:t>For planning, assume a Professional price of LKR 550, variable service cost of LKR 100 per active employee and shared monthly operating provision of LKR 45,000. The provision could cover hosting, monitoring and basic support; it is an internal assumption, not a supplier quotation. Development, sales, taxes and separately funded external licences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160"/>
        <w:gridCol w:w="2952"/>
        <w:gridCol w:w="2448"/>
      </w:tblGrid>
      <w:tr>
        <w:trPr>
          <w:tblHeader/>
          <w:cantSplit/>
        </w:trPr>
        <w:tc>
          <w:tcPr>
            <w:tcW w:type="dxa" w:w="1944"/>
            <w:vAlign w:val="center"/>
            <w:tcMar>
              <w:top w:w="95" w:type="dxa"/>
              <w:bottom w:w="95" w:type="dxa"/>
              <w:left w:w="95" w:type="dxa"/>
              <w:right w:w="95" w:type="dxa"/>
            </w:tcMar>
            <w:shd w:fill="333C43"/>
          </w:tcPr>
          <w:p>
            <w:pPr>
              <w:spacing w:after="40" w:before="40" w:line="247" w:lineRule="auto"/>
            </w:pPr>
            <w:r>
              <w:rPr>
                <w:b/>
                <w:color w:val="FFFFFF"/>
                <w:sz w:val="19"/>
              </w:rPr>
              <w:t>Active employees</w:t>
            </w:r>
          </w:p>
        </w:tc>
        <w:tc>
          <w:tcPr>
            <w:tcW w:type="dxa" w:w="2160"/>
            <w:vAlign w:val="center"/>
            <w:tcMar>
              <w:top w:w="95" w:type="dxa"/>
              <w:bottom w:w="95" w:type="dxa"/>
              <w:left w:w="95" w:type="dxa"/>
              <w:right w:w="95" w:type="dxa"/>
            </w:tcMar>
            <w:shd w:fill="333C43"/>
          </w:tcPr>
          <w:p>
            <w:pPr>
              <w:spacing w:after="40" w:before="40" w:line="247" w:lineRule="auto"/>
            </w:pPr>
            <w:r>
              <w:rPr>
                <w:b/>
                <w:color w:val="FFFFFF"/>
                <w:sz w:val="19"/>
              </w:rPr>
              <w:t>Revenue LKR</w:t>
            </w:r>
          </w:p>
        </w:tc>
        <w:tc>
          <w:tcPr>
            <w:tcW w:type="dxa" w:w="2952"/>
            <w:vAlign w:val="center"/>
            <w:tcMar>
              <w:top w:w="95" w:type="dxa"/>
              <w:bottom w:w="95" w:type="dxa"/>
              <w:left w:w="95" w:type="dxa"/>
              <w:right w:w="95" w:type="dxa"/>
            </w:tcMar>
            <w:shd w:fill="333C43"/>
          </w:tcPr>
          <w:p>
            <w:pPr>
              <w:spacing w:after="40" w:before="40" w:line="247" w:lineRule="auto"/>
            </w:pPr>
            <w:r>
              <w:rPr>
                <w:b/>
                <w:color w:val="FFFFFF"/>
                <w:sz w:val="19"/>
              </w:rPr>
              <w:t>Illustrative costs LKR</w:t>
            </w:r>
          </w:p>
        </w:tc>
        <w:tc>
          <w:tcPr>
            <w:tcW w:type="dxa" w:w="2448"/>
            <w:vAlign w:val="center"/>
            <w:tcMar>
              <w:top w:w="95" w:type="dxa"/>
              <w:bottom w:w="95" w:type="dxa"/>
              <w:left w:w="95" w:type="dxa"/>
              <w:right w:w="95" w:type="dxa"/>
            </w:tcMar>
            <w:shd w:fill="333C43"/>
          </w:tcPr>
          <w:p>
            <w:pPr>
              <w:spacing w:after="40" w:before="40" w:line="247" w:lineRule="auto"/>
            </w:pPr>
            <w:r>
              <w:rPr>
                <w:b/>
                <w:color w:val="FFFFFF"/>
                <w:sz w:val="19"/>
              </w:rPr>
              <w:t>Balance LKR</w:t>
            </w:r>
          </w:p>
        </w:tc>
      </w:tr>
      <w:tr>
        <w:trPr>
          <w:cantSplit/>
        </w:trPr>
        <w:tc>
          <w:tcPr>
            <w:tcW w:type="dxa" w:w="1944"/>
            <w:vAlign w:val="center"/>
            <w:tcMar>
              <w:top w:w="95" w:type="dxa"/>
              <w:bottom w:w="95" w:type="dxa"/>
              <w:left w:w="95" w:type="dxa"/>
              <w:right w:w="95" w:type="dxa"/>
            </w:tcMar>
            <w:shd w:fill="FFFFFF"/>
          </w:tcPr>
          <w:p>
            <w:pPr>
              <w:spacing w:after="40" w:before="40" w:line="247" w:lineRule="auto"/>
            </w:pPr>
            <w:r>
              <w:rPr>
                <w:b w:val="0"/>
                <w:color w:val="000000"/>
                <w:sz w:val="19"/>
              </w:rPr>
              <w:t>50</w:t>
            </w:r>
          </w:p>
        </w:tc>
        <w:tc>
          <w:tcPr>
            <w:tcW w:type="dxa" w:w="2160"/>
            <w:vAlign w:val="center"/>
            <w:tcMar>
              <w:top w:w="95" w:type="dxa"/>
              <w:bottom w:w="95" w:type="dxa"/>
              <w:left w:w="95" w:type="dxa"/>
              <w:right w:w="95" w:type="dxa"/>
            </w:tcMar>
            <w:shd w:fill="FFFFFF"/>
          </w:tcPr>
          <w:p>
            <w:pPr>
              <w:spacing w:after="40" w:before="40" w:line="247" w:lineRule="auto"/>
            </w:pPr>
            <w:r>
              <w:rPr>
                <w:b w:val="0"/>
                <w:color w:val="000000"/>
                <w:sz w:val="19"/>
              </w:rPr>
              <w:t>27,500</w:t>
            </w:r>
          </w:p>
        </w:tc>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50,000</w:t>
            </w:r>
          </w:p>
        </w:tc>
        <w:tc>
          <w:tcPr>
            <w:tcW w:type="dxa" w:w="2448"/>
            <w:vAlign w:val="center"/>
            <w:tcMar>
              <w:top w:w="95" w:type="dxa"/>
              <w:bottom w:w="95" w:type="dxa"/>
              <w:left w:w="95" w:type="dxa"/>
              <w:right w:w="95" w:type="dxa"/>
            </w:tcMar>
            <w:shd w:fill="FFFFFF"/>
          </w:tcPr>
          <w:p>
            <w:pPr>
              <w:spacing w:after="40" w:before="40" w:line="247" w:lineRule="auto"/>
            </w:pPr>
            <w:r>
              <w:rPr>
                <w:b w:val="0"/>
                <w:color w:val="000000"/>
                <w:sz w:val="19"/>
              </w:rPr>
              <w:t>−22,500</w:t>
            </w:r>
          </w:p>
        </w:tc>
      </w:tr>
      <w:tr>
        <w:trPr>
          <w:cantSplit/>
        </w:trPr>
        <w:tc>
          <w:tcPr>
            <w:tcW w:type="dxa" w:w="1944"/>
            <w:vAlign w:val="center"/>
            <w:tcMar>
              <w:top w:w="95" w:type="dxa"/>
              <w:bottom w:w="95" w:type="dxa"/>
              <w:left w:w="95" w:type="dxa"/>
              <w:right w:w="95" w:type="dxa"/>
            </w:tcMar>
            <w:shd w:fill="F4F6F7"/>
          </w:tcPr>
          <w:p>
            <w:pPr>
              <w:spacing w:after="40" w:before="40" w:line="247" w:lineRule="auto"/>
            </w:pPr>
            <w:r>
              <w:rPr>
                <w:b w:val="0"/>
                <w:color w:val="000000"/>
                <w:sz w:val="19"/>
              </w:rPr>
              <w:t>100</w:t>
            </w:r>
          </w:p>
        </w:tc>
        <w:tc>
          <w:tcPr>
            <w:tcW w:type="dxa" w:w="2160"/>
            <w:vAlign w:val="center"/>
            <w:tcMar>
              <w:top w:w="95" w:type="dxa"/>
              <w:bottom w:w="95" w:type="dxa"/>
              <w:left w:w="95" w:type="dxa"/>
              <w:right w:w="95" w:type="dxa"/>
            </w:tcMar>
            <w:shd w:fill="F4F6F7"/>
          </w:tcPr>
          <w:p>
            <w:pPr>
              <w:spacing w:after="40" w:before="40" w:line="247" w:lineRule="auto"/>
            </w:pPr>
            <w:r>
              <w:rPr>
                <w:b w:val="0"/>
                <w:color w:val="000000"/>
                <w:sz w:val="19"/>
              </w:rPr>
              <w:t>55,000</w:t>
            </w:r>
          </w:p>
        </w:tc>
        <w:tc>
          <w:tcPr>
            <w:tcW w:type="dxa" w:w="2952"/>
            <w:vAlign w:val="center"/>
            <w:tcMar>
              <w:top w:w="95" w:type="dxa"/>
              <w:bottom w:w="95" w:type="dxa"/>
              <w:left w:w="95" w:type="dxa"/>
              <w:right w:w="95" w:type="dxa"/>
            </w:tcMar>
            <w:shd w:fill="F4F6F7"/>
          </w:tcPr>
          <w:p>
            <w:pPr>
              <w:spacing w:after="40" w:before="40" w:line="247" w:lineRule="auto"/>
            </w:pPr>
            <w:r>
              <w:rPr>
                <w:b w:val="0"/>
                <w:color w:val="000000"/>
                <w:sz w:val="19"/>
              </w:rPr>
              <w:t>55,000</w:t>
            </w:r>
          </w:p>
        </w:tc>
        <w:tc>
          <w:tcPr>
            <w:tcW w:type="dxa" w:w="2448"/>
            <w:vAlign w:val="center"/>
            <w:tcMar>
              <w:top w:w="95" w:type="dxa"/>
              <w:bottom w:w="95" w:type="dxa"/>
              <w:left w:w="95" w:type="dxa"/>
              <w:right w:w="95" w:type="dxa"/>
            </w:tcMar>
            <w:shd w:fill="F4F6F7"/>
          </w:tcPr>
          <w:p>
            <w:pPr>
              <w:spacing w:after="40" w:before="40" w:line="247" w:lineRule="auto"/>
            </w:pPr>
            <w:r>
              <w:rPr>
                <w:b w:val="0"/>
                <w:color w:val="000000"/>
                <w:sz w:val="19"/>
              </w:rPr>
              <w:t>0</w:t>
            </w:r>
          </w:p>
        </w:tc>
      </w:tr>
      <w:tr>
        <w:trPr>
          <w:cantSplit/>
        </w:trPr>
        <w:tc>
          <w:tcPr>
            <w:tcW w:type="dxa" w:w="1944"/>
            <w:vAlign w:val="center"/>
            <w:tcMar>
              <w:top w:w="95" w:type="dxa"/>
              <w:bottom w:w="95" w:type="dxa"/>
              <w:left w:w="95" w:type="dxa"/>
              <w:right w:w="95" w:type="dxa"/>
            </w:tcMar>
            <w:shd w:fill="FFFFFF"/>
          </w:tcPr>
          <w:p>
            <w:pPr>
              <w:spacing w:after="40" w:before="40" w:line="247" w:lineRule="auto"/>
            </w:pPr>
            <w:r>
              <w:rPr>
                <w:b w:val="0"/>
                <w:color w:val="000000"/>
                <w:sz w:val="19"/>
              </w:rPr>
              <w:t>250</w:t>
            </w:r>
          </w:p>
        </w:tc>
        <w:tc>
          <w:tcPr>
            <w:tcW w:type="dxa" w:w="2160"/>
            <w:vAlign w:val="center"/>
            <w:tcMar>
              <w:top w:w="95" w:type="dxa"/>
              <w:bottom w:w="95" w:type="dxa"/>
              <w:left w:w="95" w:type="dxa"/>
              <w:right w:w="95" w:type="dxa"/>
            </w:tcMar>
            <w:shd w:fill="FFFFFF"/>
          </w:tcPr>
          <w:p>
            <w:pPr>
              <w:spacing w:after="40" w:before="40" w:line="247" w:lineRule="auto"/>
            </w:pPr>
            <w:r>
              <w:rPr>
                <w:b w:val="0"/>
                <w:color w:val="000000"/>
                <w:sz w:val="19"/>
              </w:rPr>
              <w:t>137,500</w:t>
            </w:r>
          </w:p>
        </w:tc>
        <w:tc>
          <w:tcPr>
            <w:tcW w:type="dxa" w:w="2952"/>
            <w:vAlign w:val="center"/>
            <w:tcMar>
              <w:top w:w="95" w:type="dxa"/>
              <w:bottom w:w="95" w:type="dxa"/>
              <w:left w:w="95" w:type="dxa"/>
              <w:right w:w="95" w:type="dxa"/>
            </w:tcMar>
            <w:shd w:fill="FFFFFF"/>
          </w:tcPr>
          <w:p>
            <w:pPr>
              <w:spacing w:after="40" w:before="40" w:line="247" w:lineRule="auto"/>
            </w:pPr>
            <w:r>
              <w:rPr>
                <w:b w:val="0"/>
                <w:color w:val="000000"/>
                <w:sz w:val="19"/>
              </w:rPr>
              <w:t>70,000</w:t>
            </w:r>
          </w:p>
        </w:tc>
        <w:tc>
          <w:tcPr>
            <w:tcW w:type="dxa" w:w="2448"/>
            <w:vAlign w:val="center"/>
            <w:tcMar>
              <w:top w:w="95" w:type="dxa"/>
              <w:bottom w:w="95" w:type="dxa"/>
              <w:left w:w="95" w:type="dxa"/>
              <w:right w:w="95" w:type="dxa"/>
            </w:tcMar>
            <w:shd w:fill="FFFFFF"/>
          </w:tcPr>
          <w:p>
            <w:pPr>
              <w:spacing w:after="40" w:before="40" w:line="247" w:lineRule="auto"/>
            </w:pPr>
            <w:r>
              <w:rPr>
                <w:b w:val="0"/>
                <w:color w:val="000000"/>
                <w:sz w:val="19"/>
              </w:rPr>
              <w:t>67,500</w:t>
            </w:r>
          </w:p>
        </w:tc>
      </w:tr>
    </w:tbl>
    <w:p>
      <w:pPr>
        <w:widowControl/>
        <w:spacing w:line="20" w:lineRule="exact" w:after="100"/>
      </w:pPr>
    </w:p>
    <w:p>
      <w:pPr>
        <w:widowControl/>
      </w:pPr>
      <w:r>
        <w:t>At these assumptions, operating break-even is 45,000 / (550 − 100) = 100 active employees. Paid model usage or higher support demand would move that point. We would measure those costs in a pilot before fixing a commercial price or claiming profitability.</w:t>
      </w:r>
    </w:p>
    <w:p>
      <w:pPr>
        <w:pStyle w:val="Heading1"/>
        <w:pageBreakBefore/>
      </w:pPr>
      <w:r>
        <w:t>13 Enterprise integration and delivery plan</w:t>
      </w:r>
    </w:p>
    <w:p>
      <w:pPr>
        <w:pStyle w:val="Heading2"/>
      </w:pPr>
      <w:r>
        <w:t>13 1 Company funded external services</w:t>
      </w:r>
    </w:p>
    <w:p>
      <w:pPr>
        <w:widowControl/>
      </w:pPr>
      <w:r>
        <w:t>An organisation could fund appropriate data subscriptions and model services, subject to provider permission and the agreed deployment model. The four-agent structure allows approved sources to feed the trend and retrieval stages, while a model adapter can support a different inference provider. Adding credentials alone is not sufficient: authentication, data mapping, retries, expiry handling and validation must be implemented.</w:t>
      </w:r>
    </w:p>
    <w:p>
      <w:pPr>
        <w:widowControl/>
      </w:pPr>
      <w:r>
        <w:t>LinkedIn access needs particular care. Most LinkedIn permissions require approval and OAuth authorisation [3]. LinkedIn Learning APIs are available through qualifying partnerships or organisation site licences [4]. Access to a learning catalogue is not a general right to collect every member’s posts. The integration must be limited to data the chosen product and permissions actually expose.</w:t>
      </w:r>
    </w:p>
    <w:p>
      <w:pPr>
        <w:widowControl/>
      </w:pPr>
      <w:r>
        <w:t>If the required professional-post access is unavailable, the system can use company learning feeds, permissioned provider content, approved exports or administrator-supplied material. We would not base the business model on unrestricted LinkedIn scraping.</w:t>
      </w:r>
    </w:p>
    <w:p>
      <w:pPr>
        <w:pStyle w:val="Heading2"/>
      </w:pPr>
      <w:r>
        <w:t>13 2 Integration work packages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056"/>
      </w:tblGrid>
      <w:tr>
        <w:trPr>
          <w:tblHeader/>
          <w:cantSplit/>
        </w:trPr>
        <w:tc>
          <w:tcPr>
            <w:tcW w:type="dxa" w:w="2448"/>
            <w:vAlign w:val="center"/>
            <w:tcMar>
              <w:top w:w="95" w:type="dxa"/>
              <w:bottom w:w="95" w:type="dxa"/>
              <w:left w:w="95" w:type="dxa"/>
              <w:right w:w="95" w:type="dxa"/>
            </w:tcMar>
            <w:shd w:fill="333C43"/>
          </w:tcPr>
          <w:p>
            <w:pPr>
              <w:spacing w:after="40" w:before="40" w:line="247" w:lineRule="auto"/>
            </w:pPr>
            <w:r>
              <w:rPr>
                <w:b/>
                <w:color w:val="FFFFFF"/>
                <w:sz w:val="19"/>
              </w:rPr>
              <w:t>Work package</w:t>
            </w:r>
          </w:p>
        </w:tc>
        <w:tc>
          <w:tcPr>
            <w:tcW w:type="dxa" w:w="7056"/>
            <w:vAlign w:val="center"/>
            <w:tcMar>
              <w:top w:w="95" w:type="dxa"/>
              <w:bottom w:w="95" w:type="dxa"/>
              <w:left w:w="95" w:type="dxa"/>
              <w:right w:w="95" w:type="dxa"/>
            </w:tcMar>
            <w:shd w:fill="333C43"/>
          </w:tcPr>
          <w:p>
            <w:pPr>
              <w:spacing w:after="40" w:before="40" w:line="247" w:lineRule="auto"/>
            </w:pPr>
            <w:r>
              <w:rPr>
                <w:b/>
                <w:color w:val="FFFFFF"/>
                <w:sz w:val="19"/>
              </w:rPr>
              <w:t>Required delivery</w:t>
            </w:r>
          </w:p>
        </w:tc>
      </w:tr>
      <w:tr>
        <w:trPr>
          <w:cantSplit/>
        </w:trPr>
        <w:tc>
          <w:tcPr>
            <w:tcW w:type="dxa" w:w="2448"/>
            <w:vAlign w:val="center"/>
            <w:tcMar>
              <w:top w:w="95" w:type="dxa"/>
              <w:bottom w:w="95" w:type="dxa"/>
              <w:left w:w="95" w:type="dxa"/>
              <w:right w:w="95" w:type="dxa"/>
            </w:tcMar>
            <w:shd w:fill="FFFFFF"/>
          </w:tcPr>
          <w:p>
            <w:pPr>
              <w:spacing w:after="40" w:before="40" w:line="247" w:lineRule="auto"/>
            </w:pPr>
            <w:r>
              <w:rPr>
                <w:b w:val="0"/>
                <w:color w:val="000000"/>
                <w:sz w:val="19"/>
              </w:rPr>
              <w:t>Data adapters</w:t>
            </w:r>
          </w:p>
        </w:tc>
        <w:tc>
          <w:tcPr>
            <w:tcW w:type="dxa" w:w="7056"/>
            <w:vAlign w:val="center"/>
            <w:tcMar>
              <w:top w:w="95" w:type="dxa"/>
              <w:bottom w:w="95" w:type="dxa"/>
              <w:left w:w="95" w:type="dxa"/>
              <w:right w:w="95" w:type="dxa"/>
            </w:tcMar>
            <w:shd w:fill="FFFFFF"/>
          </w:tcPr>
          <w:p>
            <w:pPr>
              <w:spacing w:after="40" w:before="40" w:line="247" w:lineRule="auto"/>
            </w:pPr>
            <w:r>
              <w:rPr>
                <w:b w:val="0"/>
                <w:color w:val="000000"/>
                <w:sz w:val="19"/>
              </w:rPr>
              <w:t>Approved API access, secure tokens, schema mapping, deduplication, source timestamps, refresh and revocation.</w:t>
            </w:r>
          </w:p>
        </w:tc>
      </w:tr>
      <w:tr>
        <w:trPr>
          <w:cantSplit/>
        </w:trPr>
        <w:tc>
          <w:tcPr>
            <w:tcW w:type="dxa" w:w="2448"/>
            <w:vAlign w:val="center"/>
            <w:tcMar>
              <w:top w:w="95" w:type="dxa"/>
              <w:bottom w:w="95" w:type="dxa"/>
              <w:left w:w="95" w:type="dxa"/>
              <w:right w:w="95" w:type="dxa"/>
            </w:tcMar>
            <w:shd w:fill="F4F6F7"/>
          </w:tcPr>
          <w:p>
            <w:pPr>
              <w:spacing w:after="40" w:before="40" w:line="247" w:lineRule="auto"/>
            </w:pPr>
            <w:r>
              <w:rPr>
                <w:b w:val="0"/>
                <w:color w:val="000000"/>
                <w:sz w:val="19"/>
              </w:rPr>
              <w:t>Model provider</w:t>
            </w:r>
          </w:p>
        </w:tc>
        <w:tc>
          <w:tcPr>
            <w:tcW w:type="dxa" w:w="7056"/>
            <w:vAlign w:val="center"/>
            <w:tcMar>
              <w:top w:w="95" w:type="dxa"/>
              <w:bottom w:w="95" w:type="dxa"/>
              <w:left w:w="95" w:type="dxa"/>
              <w:right w:w="95" w:type="dxa"/>
            </w:tcMar>
            <w:shd w:fill="F4F6F7"/>
          </w:tcPr>
          <w:p>
            <w:pPr>
              <w:spacing w:after="40" w:before="40" w:line="247" w:lineRule="auto"/>
            </w:pPr>
            <w:r>
              <w:rPr>
                <w:b w:val="0"/>
                <w:color w:val="000000"/>
                <w:sz w:val="19"/>
              </w:rPr>
              <w:t>Authenticated client, usage limits, timeouts, privacy settings, cost monitoring and grounded output validation.</w:t>
            </w:r>
          </w:p>
        </w:tc>
      </w:tr>
      <w:tr>
        <w:trPr>
          <w:cantSplit/>
        </w:trPr>
        <w:tc>
          <w:tcPr>
            <w:tcW w:type="dxa" w:w="2448"/>
            <w:vAlign w:val="center"/>
            <w:tcMar>
              <w:top w:w="95" w:type="dxa"/>
              <w:bottom w:w="95" w:type="dxa"/>
              <w:left w:w="95" w:type="dxa"/>
              <w:right w:w="95" w:type="dxa"/>
            </w:tcMar>
            <w:shd w:fill="FFFFFF"/>
          </w:tcPr>
          <w:p>
            <w:pPr>
              <w:spacing w:after="40" w:before="40" w:line="247" w:lineRule="auto"/>
            </w:pPr>
            <w:r>
              <w:rPr>
                <w:b w:val="0"/>
                <w:color w:val="000000"/>
                <w:sz w:val="19"/>
              </w:rPr>
              <w:t>Company systems</w:t>
            </w:r>
          </w:p>
        </w:tc>
        <w:tc>
          <w:tcPr>
            <w:tcW w:type="dxa" w:w="7056"/>
            <w:vAlign w:val="center"/>
            <w:tcMar>
              <w:top w:w="95" w:type="dxa"/>
              <w:bottom w:w="95" w:type="dxa"/>
              <w:left w:w="95" w:type="dxa"/>
              <w:right w:w="95" w:type="dxa"/>
            </w:tcMar>
            <w:shd w:fill="FFFFFF"/>
          </w:tcPr>
          <w:p>
            <w:pPr>
              <w:spacing w:after="40" w:before="40" w:line="247" w:lineRule="auto"/>
            </w:pPr>
            <w:r>
              <w:rPr>
                <w:b w:val="0"/>
                <w:color w:val="000000"/>
                <w:sz w:val="19"/>
              </w:rPr>
              <w:t>SSO, HR profile synchronisation, LMS catalogue or completion links and consent-aware notifications.</w:t>
            </w:r>
          </w:p>
        </w:tc>
      </w:tr>
      <w:tr>
        <w:trPr>
          <w:cantSplit/>
        </w:trPr>
        <w:tc>
          <w:tcPr>
            <w:tcW w:type="dxa" w:w="2448"/>
            <w:vAlign w:val="center"/>
            <w:tcMar>
              <w:top w:w="95" w:type="dxa"/>
              <w:bottom w:w="95" w:type="dxa"/>
              <w:left w:w="95" w:type="dxa"/>
              <w:right w:w="95" w:type="dxa"/>
            </w:tcMar>
            <w:shd w:fill="F4F6F7"/>
          </w:tcPr>
          <w:p>
            <w:pPr>
              <w:spacing w:after="40" w:before="40" w:line="247" w:lineRule="auto"/>
            </w:pPr>
            <w:r>
              <w:rPr>
                <w:b w:val="0"/>
                <w:color w:val="000000"/>
                <w:sz w:val="19"/>
              </w:rPr>
              <w:t>Production platform</w:t>
            </w:r>
          </w:p>
        </w:tc>
        <w:tc>
          <w:tcPr>
            <w:tcW w:type="dxa" w:w="7056"/>
            <w:vAlign w:val="center"/>
            <w:tcMar>
              <w:top w:w="95" w:type="dxa"/>
              <w:bottom w:w="95" w:type="dxa"/>
              <w:left w:w="95" w:type="dxa"/>
              <w:right w:w="95" w:type="dxa"/>
            </w:tcMar>
            <w:shd w:fill="F4F6F7"/>
          </w:tcPr>
          <w:p>
            <w:pPr>
              <w:spacing w:after="40" w:before="40" w:line="247" w:lineRule="auto"/>
            </w:pPr>
            <w:r>
              <w:rPr>
                <w:b w:val="0"/>
                <w:color w:val="000000"/>
                <w:sz w:val="19"/>
              </w:rPr>
              <w:t>Tenant isolation, suitable database, TLS, secret storage, encrypted backups, monitoring and recovery tests.</w:t>
            </w:r>
          </w:p>
        </w:tc>
      </w:tr>
    </w:tbl>
    <w:p>
      <w:pPr>
        <w:widowControl/>
        <w:spacing w:line="20" w:lineRule="exact" w:after="100"/>
      </w:pPr>
    </w:p>
    <w:p>
      <w:pPr>
        <w:pStyle w:val="Heading2"/>
      </w:pPr>
      <w:r>
        <w:t>13 3 Proposed staged rollout</w:t>
      </w:r>
    </w:p>
    <w:p>
      <w:pPr>
        <w:widowControl/>
      </w:pPr>
      <w:r>
        <w:t>Weeks 1–2 would establish a customer’s roles, permitted data sources, model licence and privacy expectations. Weeks 3–6 would build the agreed connectors and hardening controls. A four-week pilot with 25–50 consenting employees would then measure relevance, time saved, response time and support workload. These are planning estimates, dependent on access approvals and scope.</w:t>
      </w:r>
    </w:p>
    <w:p>
      <w:pPr>
        <w:widowControl/>
      </w:pPr>
      <w:r>
        <w:t>A paid launch would require an agreed security review, restored-backup test, verified data-refresh process, clear support responsibility and customer acceptance. Any cloud-model contract would be priced separately from the current local prototype. The default qwen2.5:3b package identifies a Qwen research licence, so model rights must be reviewed or an approved alternative selected before commercial use [6].</w:t>
      </w:r>
    </w:p>
    <w:p>
      <w:pPr>
        <w:pStyle w:val="Heading1"/>
        <w:pageBreakBefore/>
      </w:pPr>
      <w:r>
        <w:t>14 Deployment and maintenance</w:t>
      </w:r>
    </w:p>
    <w:p>
      <w:pPr>
        <w:pStyle w:val="Heading2"/>
      </w:pPr>
      <w:r>
        <w:t>14 1 Running the submitted project</w:t>
      </w:r>
    </w:p>
    <w:p>
      <w:pPr>
        <w:widowControl/>
      </w:pPr>
      <w:r>
        <w:t>Open the complete repository folder in VS Code. On a fresh machine, install Python 3.12 or later, Node.js 22.12 or later with npm, and Ollama. Then run the setup, model and development scripts from the project root. The setup script creates the virtual environment and installs the pinned dependencies.</w:t>
      </w:r>
    </w:p>
    <w:p>
      <w:pPr>
        <w:widowControl/>
        <w:spacing w:before="80" w:after="180"/>
      </w:pPr>
      <w:r>
        <w:rPr>
          <w:rFonts w:ascii="Menlo" w:hAnsi="Menlo"/>
          <w:sz w:val="18"/>
        </w:rPr>
        <w:t>python3 scripts/setup.py</w:t>
        <w:br/>
        <w:t>python3 scripts/model.py --pull</w:t>
        <w:br/>
        <w:t>python3 scripts/dev.py</w:t>
      </w:r>
    </w:p>
    <w:p>
      <w:pPr>
        <w:widowControl/>
      </w:pPr>
      <w:r>
        <w:t>Use http://127.0.0.1:5173 for the development interface. Keep the launcher running and stop it with Ctrl+C. If a port is already occupied, stop the previous launcher rather than starting a second copy. On Windows, use python where the platform does not provide python3; the Windows path support exists but has not been independently validated in this report.</w:t>
      </w:r>
    </w:p>
    <w:p>
      <w:pPr>
        <w:pStyle w:val="Heading2"/>
      </w:pPr>
      <w:r>
        <w:t>14 2 Configuration and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336"/>
      </w:tblGrid>
      <w:tr>
        <w:trPr>
          <w:tblHeader/>
          <w:cantSplit/>
        </w:trPr>
        <w:tc>
          <w:tcPr>
            <w:tcW w:type="dxa" w:w="3168"/>
            <w:vAlign w:val="center"/>
            <w:tcMar>
              <w:top w:w="95" w:type="dxa"/>
              <w:bottom w:w="95" w:type="dxa"/>
              <w:left w:w="95" w:type="dxa"/>
              <w:right w:w="95" w:type="dxa"/>
            </w:tcMar>
            <w:shd w:fill="333C43"/>
          </w:tcPr>
          <w:p>
            <w:pPr>
              <w:spacing w:after="40" w:before="40" w:line="247" w:lineRule="auto"/>
            </w:pPr>
            <w:r>
              <w:rPr>
                <w:b/>
                <w:color w:val="FFFFFF"/>
                <w:sz w:val="19"/>
              </w:rPr>
              <w:t>Location</w:t>
            </w:r>
          </w:p>
        </w:tc>
        <w:tc>
          <w:tcPr>
            <w:tcW w:type="dxa" w:w="6336"/>
            <w:vAlign w:val="center"/>
            <w:tcMar>
              <w:top w:w="95" w:type="dxa"/>
              <w:bottom w:w="95" w:type="dxa"/>
              <w:left w:w="95" w:type="dxa"/>
              <w:right w:w="95" w:type="dxa"/>
            </w:tcMar>
            <w:shd w:fill="333C43"/>
          </w:tcPr>
          <w:p>
            <w:pPr>
              <w:spacing w:after="40" w:before="40" w:line="247" w:lineRule="auto"/>
            </w:pPr>
            <w:r>
              <w:rPr>
                <w:b/>
                <w:color w:val="FFFFFF"/>
                <w:sz w:val="19"/>
              </w:rPr>
              <w:t>Purpose</w:t>
            </w:r>
          </w:p>
        </w:tc>
      </w:tr>
      <w:tr>
        <w:trPr>
          <w:cantSplit/>
        </w:trPr>
        <w:tc>
          <w:tcPr>
            <w:tcW w:type="dxa" w:w="3168"/>
            <w:vAlign w:val="center"/>
            <w:tcMar>
              <w:top w:w="95" w:type="dxa"/>
              <w:bottom w:w="95" w:type="dxa"/>
              <w:left w:w="95" w:type="dxa"/>
              <w:right w:w="95" w:type="dxa"/>
            </w:tcMar>
            <w:shd w:fill="FFFFFF"/>
          </w:tcPr>
          <w:p>
            <w:pPr>
              <w:spacing w:after="40" w:before="40" w:line="247" w:lineRule="auto"/>
            </w:pPr>
            <w:r>
              <w:rPr>
                <w:b w:val="0"/>
                <w:color w:val="000000"/>
                <w:sz w:val="19"/>
              </w:rPr>
              <w:t>.env</w:t>
            </w:r>
          </w:p>
        </w:tc>
        <w:tc>
          <w:tcPr>
            <w:tcW w:type="dxa" w:w="6336"/>
            <w:vAlign w:val="center"/>
            <w:tcMar>
              <w:top w:w="95" w:type="dxa"/>
              <w:bottom w:w="95" w:type="dxa"/>
              <w:left w:w="95" w:type="dxa"/>
              <w:right w:w="95" w:type="dxa"/>
            </w:tcMar>
            <w:shd w:fill="FFFFFF"/>
          </w:tcPr>
          <w:p>
            <w:pPr>
              <w:spacing w:after="40" w:before="40" w:line="247" w:lineRule="auto"/>
            </w:pPr>
            <w:r>
              <w:rPr>
                <w:b w:val="0"/>
                <w:color w:val="000000"/>
                <w:sz w:val="19"/>
              </w:rPr>
              <w:t>Local settings such as model selection, database path and scheduler options.</w:t>
            </w:r>
          </w:p>
        </w:tc>
      </w:tr>
      <w:tr>
        <w:trPr>
          <w:cantSplit/>
        </w:trPr>
        <w:tc>
          <w:tcPr>
            <w:tcW w:type="dxa" w:w="3168"/>
            <w:vAlign w:val="center"/>
            <w:tcMar>
              <w:top w:w="95" w:type="dxa"/>
              <w:bottom w:w="95" w:type="dxa"/>
              <w:left w:w="95" w:type="dxa"/>
              <w:right w:w="95" w:type="dxa"/>
            </w:tcMar>
            <w:shd w:fill="F4F6F7"/>
          </w:tcPr>
          <w:p>
            <w:pPr>
              <w:spacing w:after="40" w:before="40" w:line="247" w:lineRule="auto"/>
            </w:pPr>
            <w:r>
              <w:rPr>
                <w:b w:val="0"/>
                <w:color w:val="000000"/>
                <w:sz w:val="19"/>
              </w:rPr>
              <w:t>data/skillscout.db</w:t>
            </w:r>
          </w:p>
        </w:tc>
        <w:tc>
          <w:tcPr>
            <w:tcW w:type="dxa" w:w="6336"/>
            <w:vAlign w:val="center"/>
            <w:tcMar>
              <w:top w:w="95" w:type="dxa"/>
              <w:bottom w:w="95" w:type="dxa"/>
              <w:left w:w="95" w:type="dxa"/>
              <w:right w:w="95" w:type="dxa"/>
            </w:tcMar>
            <w:shd w:fill="F4F6F7"/>
          </w:tcPr>
          <w:p>
            <w:pPr>
              <w:spacing w:after="40" w:before="40" w:line="247" w:lineRule="auto"/>
            </w:pPr>
            <w:r>
              <w:rPr>
                <w:b w:val="0"/>
                <w:color w:val="000000"/>
                <w:sz w:val="19"/>
              </w:rPr>
              <w:t>Default SQLite database containing local accounts and application state.</w:t>
            </w:r>
          </w:p>
        </w:tc>
      </w:tr>
      <w:tr>
        <w:trPr>
          <w:cantSplit/>
        </w:trPr>
        <w:tc>
          <w:tcPr>
            <w:tcW w:type="dxa" w:w="3168"/>
            <w:vAlign w:val="center"/>
            <w:tcMar>
              <w:top w:w="95" w:type="dxa"/>
              <w:bottom w:w="95" w:type="dxa"/>
              <w:left w:w="95" w:type="dxa"/>
              <w:right w:w="95" w:type="dxa"/>
            </w:tcMar>
            <w:shd w:fill="FFFFFF"/>
          </w:tcPr>
          <w:p>
            <w:pPr>
              <w:spacing w:after="40" w:before="40" w:line="247" w:lineRule="auto"/>
            </w:pPr>
            <w:r>
              <w:rPr>
                <w:b w:val="0"/>
                <w:color w:val="000000"/>
                <w:sz w:val="19"/>
              </w:rPr>
              <w:t>.local/agent.key</w:t>
            </w:r>
          </w:p>
        </w:tc>
        <w:tc>
          <w:tcPr>
            <w:tcW w:type="dxa" w:w="6336"/>
            <w:vAlign w:val="center"/>
            <w:tcMar>
              <w:top w:w="95" w:type="dxa"/>
              <w:bottom w:w="95" w:type="dxa"/>
              <w:left w:w="95" w:type="dxa"/>
              <w:right w:w="95" w:type="dxa"/>
            </w:tcMar>
            <w:shd w:fill="FFFFFF"/>
          </w:tcPr>
          <w:p>
            <w:pPr>
              <w:spacing w:after="40" w:before="40" w:line="247" w:lineRule="auto"/>
            </w:pPr>
            <w:r>
              <w:rPr>
                <w:b w:val="0"/>
                <w:color w:val="000000"/>
                <w:sz w:val="19"/>
              </w:rPr>
              <w:t>Generated shared key for worker authentication; keep it private.</w:t>
            </w:r>
          </w:p>
        </w:tc>
      </w:tr>
      <w:tr>
        <w:trPr>
          <w:cantSplit/>
        </w:trPr>
        <w:tc>
          <w:tcPr>
            <w:tcW w:type="dxa" w:w="3168"/>
            <w:vAlign w:val="center"/>
            <w:tcMar>
              <w:top w:w="95" w:type="dxa"/>
              <w:bottom w:w="95" w:type="dxa"/>
              <w:left w:w="95" w:type="dxa"/>
              <w:right w:w="95" w:type="dxa"/>
            </w:tcMar>
            <w:shd w:fill="F4F6F7"/>
          </w:tcPr>
          <w:p>
            <w:pPr>
              <w:spacing w:after="40" w:before="40" w:line="247" w:lineRule="auto"/>
            </w:pPr>
            <w:r>
              <w:rPr>
                <w:b w:val="0"/>
                <w:color w:val="000000"/>
                <w:sz w:val="19"/>
              </w:rPr>
              <w:t>.local/logs/</w:t>
            </w:r>
          </w:p>
        </w:tc>
        <w:tc>
          <w:tcPr>
            <w:tcW w:type="dxa" w:w="6336"/>
            <w:vAlign w:val="center"/>
            <w:tcMar>
              <w:top w:w="95" w:type="dxa"/>
              <w:bottom w:w="95" w:type="dxa"/>
              <w:left w:w="95" w:type="dxa"/>
              <w:right w:w="95" w:type="dxa"/>
            </w:tcMar>
            <w:shd w:fill="F4F6F7"/>
          </w:tcPr>
          <w:p>
            <w:pPr>
              <w:spacing w:after="40" w:before="40" w:line="247" w:lineRule="auto"/>
            </w:pPr>
            <w:r>
              <w:rPr>
                <w:b w:val="0"/>
                <w:color w:val="000000"/>
                <w:sz w:val="19"/>
              </w:rPr>
              <w:t>Gateway, agent, frontend and model logs for troubleshooting.</w:t>
            </w:r>
          </w:p>
        </w:tc>
      </w:tr>
      <w:tr>
        <w:trPr>
          <w:cantSplit/>
        </w:trPr>
        <w:tc>
          <w:tcPr>
            <w:tcW w:type="dxa" w:w="3168"/>
            <w:vAlign w:val="center"/>
            <w:tcMar>
              <w:top w:w="95" w:type="dxa"/>
              <w:bottom w:w="95" w:type="dxa"/>
              <w:left w:w="95" w:type="dxa"/>
              <w:right w:w="95" w:type="dxa"/>
            </w:tcMar>
            <w:shd w:fill="FFFFFF"/>
          </w:tcPr>
          <w:p>
            <w:pPr>
              <w:spacing w:after="40" w:before="40" w:line="247" w:lineRule="auto"/>
            </w:pPr>
            <w:r>
              <w:rPr>
                <w:b w:val="0"/>
                <w:color w:val="000000"/>
                <w:sz w:val="19"/>
              </w:rPr>
              <w:t>.local/models/</w:t>
            </w:r>
          </w:p>
        </w:tc>
        <w:tc>
          <w:tcPr>
            <w:tcW w:type="dxa" w:w="6336"/>
            <w:vAlign w:val="center"/>
            <w:tcMar>
              <w:top w:w="95" w:type="dxa"/>
              <w:bottom w:w="95" w:type="dxa"/>
              <w:left w:w="95" w:type="dxa"/>
              <w:right w:w="95" w:type="dxa"/>
            </w:tcMar>
            <w:shd w:fill="FFFFFF"/>
          </w:tcPr>
          <w:p>
            <w:pPr>
              <w:spacing w:after="40" w:before="40" w:line="247" w:lineRule="auto"/>
            </w:pPr>
            <w:r>
              <w:rPr>
                <w:b w:val="0"/>
                <w:color w:val="000000"/>
                <w:sz w:val="19"/>
              </w:rPr>
              <w:t>Project-local model files when the portable Ollama setup is used.</w:t>
            </w:r>
          </w:p>
        </w:tc>
      </w:tr>
    </w:tbl>
    <w:p>
      <w:pPr>
        <w:widowControl/>
        <w:spacing w:line="20" w:lineRule="exact" w:after="100"/>
      </w:pPr>
    </w:p>
    <w:p>
      <w:pPr>
        <w:widowControl/>
      </w:pPr>
      <w:r>
        <w:t>The repository ignore rules exclude secrets, databases, models and installed dependency directories. Team members should create their own environments after cloning. A copied virtual environment is not a reliable cross-machine installation method. Existing demo credentials must not be exposed as a public deployment.</w:t>
      </w:r>
    </w:p>
    <w:p>
      <w:pPr>
        <w:pStyle w:val="Heading2"/>
      </w:pPr>
      <w:r>
        <w:t>14 3 Repeatable validation</w:t>
      </w:r>
    </w:p>
    <w:p>
      <w:pPr>
        <w:widowControl/>
        <w:spacing w:before="80" w:after="180"/>
      </w:pPr>
      <w:r>
        <w:rPr>
          <w:rFonts w:ascii="Menlo" w:hAnsi="Menlo"/>
          <w:sz w:val="18"/>
        </w:rPr>
        <w:t>.venv/bin/python -m pytest -q</w:t>
        <w:br/>
        <w:t>.venv/bin/python -m backend.evaluation</w:t>
        <w:br/>
        <w:t>npm --prefix frontend run build</w:t>
        <w:br/>
        <w:t>.venv/bin/python scripts/smoke.py --require-llm</w:t>
      </w:r>
    </w:p>
    <w:p>
      <w:pPr>
        <w:widowControl/>
      </w:pPr>
      <w:r>
        <w:t>The final command requires the running gateway, workers and model. It creates and removes a disposable account and is the appropriate check for real model use. Serving the compiled interface with scripts/dev.py --production is a local serving option; enterprise readiness still depends on the controls and operations described in Section 13.</w:t>
      </w:r>
    </w:p>
    <w:p>
      <w:pPr>
        <w:pStyle w:val="Heading1"/>
        <w:pageBreakBefore/>
      </w:pPr>
      <w:r>
        <w:t>15 Conclusion and implementation index</w:t>
      </w:r>
    </w:p>
    <w:p>
      <w:pPr>
        <w:widowControl/>
      </w:pPr>
      <w:r>
        <w:t>SkillScout AI demonstrates a complete local workflow from an employee profile to explained course recommendations. Its four-agent design separates profile understanding, learning-content analysis, information retrieval and recommendation scoring. That separation makes the system easier to inspect, test and explain during the viva.</w:t>
      </w:r>
    </w:p>
    <w:p>
      <w:pPr>
        <w:widowControl/>
      </w:pPr>
      <w:r>
        <w:t>The project meets its central prototype objective without purchased API keys. Local Ollama provides language-model assistance, while deterministic methods keep course retrieval, scores and displayed facts traceable. The tests and development benchmark provide useful evidence that the implemented workflow behaves consistently within its limited catalogue.</w:t>
      </w:r>
    </w:p>
    <w:p>
      <w:pPr>
        <w:widowControl/>
      </w:pPr>
      <w:r>
        <w:t>The main limitations are the small taxonomy and dataset, synthetic trend content, heuristic scoring and incomplete independent security assessments. Commercialisation would therefore begin with a controlled company pilot, approved data access and production security work. Buying subscriptions would fund that expansion, but would not remove the need to build and validate the integrations.</w:t>
      </w:r>
    </w:p>
    <w:p>
      <w:pPr>
        <w:pStyle w:val="Heading2"/>
      </w:pPr>
      <w:r>
        <w:t>Implementation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264"/>
      </w:tblGrid>
      <w:tr>
        <w:trPr>
          <w:tblHeader/>
          <w:cantSplit/>
        </w:trPr>
        <w:tc>
          <w:tcPr>
            <w:tcW w:type="dxa" w:w="3240"/>
            <w:vAlign w:val="center"/>
            <w:tcMar>
              <w:top w:w="95" w:type="dxa"/>
              <w:bottom w:w="95" w:type="dxa"/>
              <w:left w:w="95" w:type="dxa"/>
              <w:right w:w="95" w:type="dxa"/>
            </w:tcMar>
            <w:shd w:fill="333C43"/>
          </w:tcPr>
          <w:p>
            <w:pPr>
              <w:spacing w:after="40" w:before="40" w:line="247" w:lineRule="auto"/>
            </w:pPr>
            <w:r>
              <w:rPr>
                <w:b/>
                <w:color w:val="FFFFFF"/>
                <w:sz w:val="19"/>
              </w:rPr>
              <w:t>Code area</w:t>
            </w:r>
          </w:p>
        </w:tc>
        <w:tc>
          <w:tcPr>
            <w:tcW w:type="dxa" w:w="6264"/>
            <w:vAlign w:val="center"/>
            <w:tcMar>
              <w:top w:w="95" w:type="dxa"/>
              <w:bottom w:w="95" w:type="dxa"/>
              <w:left w:w="95" w:type="dxa"/>
              <w:right w:w="95" w:type="dxa"/>
            </w:tcMar>
            <w:shd w:fill="333C43"/>
          </w:tcPr>
          <w:p>
            <w:pPr>
              <w:spacing w:after="40" w:before="40" w:line="247" w:lineRule="auto"/>
            </w:pPr>
            <w:r>
              <w:rPr>
                <w:b/>
                <w:color w:val="FFFFFF"/>
                <w:sz w:val="19"/>
              </w:rPr>
              <w:t>Main responsibility</w:t>
            </w:r>
          </w:p>
        </w:tc>
      </w:tr>
      <w:tr>
        <w:trPr>
          <w:cantSplit/>
        </w:trPr>
        <w:tc>
          <w:tcPr>
            <w:tcW w:type="dxa" w:w="3240"/>
            <w:vAlign w:val="center"/>
            <w:tcMar>
              <w:top w:w="95" w:type="dxa"/>
              <w:bottom w:w="95" w:type="dxa"/>
              <w:left w:w="95" w:type="dxa"/>
              <w:right w:w="95" w:type="dxa"/>
            </w:tcMar>
            <w:shd w:fill="FFFFFF"/>
          </w:tcPr>
          <w:p>
            <w:pPr>
              <w:spacing w:after="40" w:before="40" w:line="247" w:lineRule="auto"/>
            </w:pPr>
            <w:r>
              <w:rPr>
                <w:b w:val="0"/>
                <w:color w:val="000000"/>
                <w:sz w:val="19"/>
              </w:rPr>
              <w:t>backend/ai/engine.py</w:t>
            </w:r>
          </w:p>
        </w:tc>
        <w:tc>
          <w:tcPr>
            <w:tcW w:type="dxa" w:w="6264"/>
            <w:vAlign w:val="center"/>
            <w:tcMar>
              <w:top w:w="95" w:type="dxa"/>
              <w:bottom w:w="95" w:type="dxa"/>
              <w:left w:w="95" w:type="dxa"/>
              <w:right w:w="95" w:type="dxa"/>
            </w:tcMar>
            <w:shd w:fill="FFFFFF"/>
          </w:tcPr>
          <w:p>
            <w:pPr>
              <w:spacing w:after="40" w:before="40" w:line="247" w:lineRule="auto"/>
            </w:pPr>
            <w:r>
              <w:rPr>
                <w:b w:val="0"/>
                <w:color w:val="000000"/>
                <w:sz w:val="19"/>
              </w:rPr>
              <w:t>analyze_profile, discover_trends, HybridIndex, retrieve_courses, recommend and grounded chat.</w:t>
            </w:r>
          </w:p>
        </w:tc>
      </w:tr>
      <w:tr>
        <w:trPr>
          <w:cantSplit/>
        </w:trPr>
        <w:tc>
          <w:tcPr>
            <w:tcW w:type="dxa" w:w="3240"/>
            <w:vAlign w:val="center"/>
            <w:tcMar>
              <w:top w:w="95" w:type="dxa"/>
              <w:bottom w:w="95" w:type="dxa"/>
              <w:left w:w="95" w:type="dxa"/>
              <w:right w:w="95" w:type="dxa"/>
            </w:tcMar>
            <w:shd w:fill="F4F6F7"/>
          </w:tcPr>
          <w:p>
            <w:pPr>
              <w:spacing w:after="40" w:before="40" w:line="247" w:lineRule="auto"/>
            </w:pPr>
            <w:r>
              <w:rPr>
                <w:b w:val="0"/>
                <w:color w:val="000000"/>
                <w:sz w:val="19"/>
              </w:rPr>
              <w:t>backend/ai/taxonomy.py</w:t>
            </w:r>
          </w:p>
        </w:tc>
        <w:tc>
          <w:tcPr>
            <w:tcW w:type="dxa" w:w="6264"/>
            <w:vAlign w:val="center"/>
            <w:tcMar>
              <w:top w:w="95" w:type="dxa"/>
              <w:bottom w:w="95" w:type="dxa"/>
              <w:left w:w="95" w:type="dxa"/>
              <w:right w:w="95" w:type="dxa"/>
            </w:tcMar>
            <w:shd w:fill="F4F6F7"/>
          </w:tcPr>
          <w:p>
            <w:pPr>
              <w:spacing w:after="40" w:before="40" w:line="247" w:lineRule="auto"/>
            </w:pPr>
            <w:r>
              <w:rPr>
                <w:b w:val="0"/>
                <w:color w:val="000000"/>
                <w:sz w:val="19"/>
              </w:rPr>
              <w:t>Skill names, aliases, role mappings, prerequisite rules and extraction helpers.</w:t>
            </w:r>
          </w:p>
        </w:tc>
      </w:tr>
      <w:tr>
        <w:trPr>
          <w:cantSplit/>
        </w:trPr>
        <w:tc>
          <w:tcPr>
            <w:tcW w:type="dxa" w:w="3240"/>
            <w:vAlign w:val="center"/>
            <w:tcMar>
              <w:top w:w="95" w:type="dxa"/>
              <w:bottom w:w="95" w:type="dxa"/>
              <w:left w:w="95" w:type="dxa"/>
              <w:right w:w="95" w:type="dxa"/>
            </w:tcMar>
            <w:shd w:fill="FFFFFF"/>
          </w:tcPr>
          <w:p>
            <w:pPr>
              <w:spacing w:after="40" w:before="40" w:line="247" w:lineRule="auto"/>
            </w:pPr>
            <w:r>
              <w:rPr>
                <w:b w:val="0"/>
                <w:color w:val="000000"/>
                <w:sz w:val="19"/>
              </w:rPr>
              <w:t>backend/worker.py</w:t>
            </w:r>
          </w:p>
        </w:tc>
        <w:tc>
          <w:tcPr>
            <w:tcW w:type="dxa" w:w="6264"/>
            <w:vAlign w:val="center"/>
            <w:tcMar>
              <w:top w:w="95" w:type="dxa"/>
              <w:bottom w:w="95" w:type="dxa"/>
              <w:left w:w="95" w:type="dxa"/>
              <w:right w:w="95" w:type="dxa"/>
            </w:tcMar>
            <w:shd w:fill="FFFFFF"/>
          </w:tcPr>
          <w:p>
            <w:pPr>
              <w:spacing w:after="40" w:before="40" w:line="247" w:lineRule="auto"/>
            </w:pPr>
            <w:r>
              <w:rPr>
                <w:b w:val="0"/>
                <w:color w:val="000000"/>
                <w:sz w:val="19"/>
              </w:rPr>
              <w:t>Agent-specific handlers, authenticated /execute endpoint and payload validation.</w:t>
            </w:r>
          </w:p>
        </w:tc>
      </w:tr>
      <w:tr>
        <w:trPr>
          <w:cantSplit/>
        </w:trPr>
        <w:tc>
          <w:tcPr>
            <w:tcW w:type="dxa" w:w="3240"/>
            <w:vAlign w:val="center"/>
            <w:tcMar>
              <w:top w:w="95" w:type="dxa"/>
              <w:bottom w:w="95" w:type="dxa"/>
              <w:left w:w="95" w:type="dxa"/>
              <w:right w:w="95" w:type="dxa"/>
            </w:tcMar>
            <w:shd w:fill="F4F6F7"/>
          </w:tcPr>
          <w:p>
            <w:pPr>
              <w:spacing w:after="40" w:before="40" w:line="247" w:lineRule="auto"/>
            </w:pPr>
            <w:r>
              <w:rPr>
                <w:b w:val="0"/>
                <w:color w:val="000000"/>
                <w:sz w:val="19"/>
              </w:rPr>
              <w:t>backend/api.py</w:t>
            </w:r>
          </w:p>
        </w:tc>
        <w:tc>
          <w:tcPr>
            <w:tcW w:type="dxa" w:w="6264"/>
            <w:vAlign w:val="center"/>
            <w:tcMar>
              <w:top w:w="95" w:type="dxa"/>
              <w:bottom w:w="95" w:type="dxa"/>
              <w:left w:w="95" w:type="dxa"/>
              <w:right w:w="95" w:type="dxa"/>
            </w:tcMar>
            <w:shd w:fill="F4F6F7"/>
          </w:tcPr>
          <w:p>
            <w:pPr>
              <w:spacing w:after="40" w:before="40" w:line="247" w:lineRule="auto"/>
            </w:pPr>
            <w:r>
              <w:rPr>
                <w:b w:val="0"/>
                <w:color w:val="000000"/>
                <w:sz w:val="19"/>
              </w:rPr>
              <w:t>User APIs, workflow coordination, consent checks, notification persistence and scheduling.</w:t>
            </w:r>
          </w:p>
        </w:tc>
      </w:tr>
      <w:tr>
        <w:trPr>
          <w:cantSplit/>
        </w:trPr>
        <w:tc>
          <w:tcPr>
            <w:tcW w:type="dxa" w:w="3240"/>
            <w:vAlign w:val="center"/>
            <w:tcMar>
              <w:top w:w="95" w:type="dxa"/>
              <w:bottom w:w="95" w:type="dxa"/>
              <w:left w:w="95" w:type="dxa"/>
              <w:right w:w="95" w:type="dxa"/>
            </w:tcMar>
            <w:shd w:fill="FFFFFF"/>
          </w:tcPr>
          <w:p>
            <w:pPr>
              <w:spacing w:after="40" w:before="40" w:line="247" w:lineRule="auto"/>
            </w:pPr>
            <w:r>
              <w:rPr>
                <w:b w:val="0"/>
                <w:color w:val="000000"/>
                <w:sz w:val="19"/>
              </w:rPr>
              <w:t>backend/db.py and security.py</w:t>
            </w:r>
          </w:p>
        </w:tc>
        <w:tc>
          <w:tcPr>
            <w:tcW w:type="dxa" w:w="6264"/>
            <w:vAlign w:val="center"/>
            <w:tcMar>
              <w:top w:w="95" w:type="dxa"/>
              <w:bottom w:w="95" w:type="dxa"/>
              <w:left w:w="95" w:type="dxa"/>
              <w:right w:w="95" w:type="dxa"/>
            </w:tcMar>
            <w:shd w:fill="FFFFFF"/>
          </w:tcPr>
          <w:p>
            <w:pPr>
              <w:spacing w:after="40" w:before="40" w:line="247" w:lineRule="auto"/>
            </w:pPr>
            <w:r>
              <w:rPr>
                <w:b w:val="0"/>
                <w:color w:val="000000"/>
                <w:sz w:val="19"/>
              </w:rPr>
              <w:t>SQLite repository, account data, password hashing and session helpers.</w:t>
            </w:r>
          </w:p>
        </w:tc>
      </w:tr>
      <w:tr>
        <w:trPr>
          <w:cantSplit/>
        </w:trPr>
        <w:tc>
          <w:tcPr>
            <w:tcW w:type="dxa" w:w="3240"/>
            <w:vAlign w:val="center"/>
            <w:tcMar>
              <w:top w:w="95" w:type="dxa"/>
              <w:bottom w:w="95" w:type="dxa"/>
              <w:left w:w="95" w:type="dxa"/>
              <w:right w:w="95" w:type="dxa"/>
            </w:tcMar>
            <w:shd w:fill="F4F6F7"/>
          </w:tcPr>
          <w:p>
            <w:pPr>
              <w:spacing w:after="40" w:before="40" w:line="247" w:lineRule="auto"/>
            </w:pPr>
            <w:r>
              <w:rPr>
                <w:b w:val="0"/>
                <w:color w:val="000000"/>
                <w:sz w:val="19"/>
              </w:rPr>
              <w:t>backend/data/seed.py</w:t>
            </w:r>
          </w:p>
        </w:tc>
        <w:tc>
          <w:tcPr>
            <w:tcW w:type="dxa" w:w="6264"/>
            <w:vAlign w:val="center"/>
            <w:tcMar>
              <w:top w:w="95" w:type="dxa"/>
              <w:bottom w:w="95" w:type="dxa"/>
              <w:left w:w="95" w:type="dxa"/>
              <w:right w:w="95" w:type="dxa"/>
            </w:tcMar>
            <w:shd w:fill="F4F6F7"/>
          </w:tcPr>
          <w:p>
            <w:pPr>
              <w:spacing w:after="40" w:before="40" w:line="247" w:lineRule="auto"/>
            </w:pPr>
            <w:r>
              <w:rPr>
                <w:b w:val="0"/>
                <w:color w:val="000000"/>
                <w:sz w:val="19"/>
              </w:rPr>
              <w:t>Demonstration course catalogue and synthetic learning posts.</w:t>
            </w:r>
          </w:p>
        </w:tc>
      </w:tr>
      <w:tr>
        <w:trPr>
          <w:cantSplit/>
        </w:trPr>
        <w:tc>
          <w:tcPr>
            <w:tcW w:type="dxa" w:w="3240"/>
            <w:vAlign w:val="center"/>
            <w:tcMar>
              <w:top w:w="95" w:type="dxa"/>
              <w:bottom w:w="95" w:type="dxa"/>
              <w:left w:w="95" w:type="dxa"/>
              <w:right w:w="95" w:type="dxa"/>
            </w:tcMar>
            <w:shd w:fill="FFFFFF"/>
          </w:tcPr>
          <w:p>
            <w:pPr>
              <w:spacing w:after="40" w:before="40" w:line="247" w:lineRule="auto"/>
            </w:pPr>
            <w:r>
              <w:rPr>
                <w:b w:val="0"/>
                <w:color w:val="000000"/>
                <w:sz w:val="19"/>
              </w:rPr>
              <w:t>backend/evaluation.py</w:t>
            </w:r>
          </w:p>
        </w:tc>
        <w:tc>
          <w:tcPr>
            <w:tcW w:type="dxa" w:w="6264"/>
            <w:vAlign w:val="center"/>
            <w:tcMar>
              <w:top w:w="95" w:type="dxa"/>
              <w:bottom w:w="95" w:type="dxa"/>
              <w:left w:w="95" w:type="dxa"/>
              <w:right w:w="95" w:type="dxa"/>
            </w:tcMar>
            <w:shd w:fill="FFFFFF"/>
          </w:tcPr>
          <w:p>
            <w:pPr>
              <w:spacing w:after="40" w:before="40" w:line="247" w:lineRule="auto"/>
            </w:pPr>
            <w:r>
              <w:rPr>
                <w:b w:val="0"/>
                <w:color w:val="000000"/>
                <w:sz w:val="19"/>
              </w:rPr>
              <w:t>Repeatable explicit-query retrieval metrics.</w:t>
            </w:r>
          </w:p>
        </w:tc>
      </w:tr>
      <w:tr>
        <w:trPr>
          <w:cantSplit/>
        </w:trPr>
        <w:tc>
          <w:tcPr>
            <w:tcW w:type="dxa" w:w="3240"/>
            <w:vAlign w:val="center"/>
            <w:tcMar>
              <w:top w:w="95" w:type="dxa"/>
              <w:bottom w:w="95" w:type="dxa"/>
              <w:left w:w="95" w:type="dxa"/>
              <w:right w:w="95" w:type="dxa"/>
            </w:tcMar>
            <w:shd w:fill="F4F6F7"/>
          </w:tcPr>
          <w:p>
            <w:pPr>
              <w:spacing w:after="40" w:before="40" w:line="247" w:lineRule="auto"/>
            </w:pPr>
            <w:r>
              <w:rPr>
                <w:b w:val="0"/>
                <w:color w:val="000000"/>
                <w:sz w:val="19"/>
              </w:rPr>
              <w:t>frontend/src/</w:t>
            </w:r>
          </w:p>
        </w:tc>
        <w:tc>
          <w:tcPr>
            <w:tcW w:type="dxa" w:w="6264"/>
            <w:vAlign w:val="center"/>
            <w:tcMar>
              <w:top w:w="95" w:type="dxa"/>
              <w:bottom w:w="95" w:type="dxa"/>
              <w:left w:w="95" w:type="dxa"/>
              <w:right w:w="95" w:type="dxa"/>
            </w:tcMar>
            <w:shd w:fill="F4F6F7"/>
          </w:tcPr>
          <w:p>
            <w:pPr>
              <w:spacing w:after="40" w:before="40" w:line="247" w:lineRule="auto"/>
            </w:pPr>
            <w:r>
              <w:rPr>
                <w:b w:val="0"/>
                <w:color w:val="000000"/>
                <w:sz w:val="19"/>
              </w:rPr>
              <w:t>Authentication, workspace pages, profile editing, course views and API calls.</w:t>
            </w:r>
          </w:p>
        </w:tc>
      </w:tr>
      <w:tr>
        <w:trPr>
          <w:cantSplit/>
        </w:trPr>
        <w:tc>
          <w:tcPr>
            <w:tcW w:type="dxa" w:w="3240"/>
            <w:vAlign w:val="center"/>
            <w:tcMar>
              <w:top w:w="95" w:type="dxa"/>
              <w:bottom w:w="95" w:type="dxa"/>
              <w:left w:w="95" w:type="dxa"/>
              <w:right w:w="95" w:type="dxa"/>
            </w:tcMar>
            <w:shd w:fill="FFFFFF"/>
          </w:tcPr>
          <w:p>
            <w:pPr>
              <w:spacing w:after="40" w:before="40" w:line="247" w:lineRule="auto"/>
            </w:pPr>
            <w:r>
              <w:rPr>
                <w:b w:val="0"/>
                <w:color w:val="000000"/>
                <w:sz w:val="19"/>
              </w:rPr>
              <w:t>scripts/ and tests/</w:t>
            </w:r>
          </w:p>
        </w:tc>
        <w:tc>
          <w:tcPr>
            <w:tcW w:type="dxa" w:w="6264"/>
            <w:vAlign w:val="center"/>
            <w:tcMar>
              <w:top w:w="95" w:type="dxa"/>
              <w:bottom w:w="95" w:type="dxa"/>
              <w:left w:w="95" w:type="dxa"/>
              <w:right w:w="95" w:type="dxa"/>
            </w:tcMar>
            <w:shd w:fill="FFFFFF"/>
          </w:tcPr>
          <w:p>
            <w:pPr>
              <w:spacing w:after="40" w:before="40" w:line="247" w:lineRule="auto"/>
            </w:pPr>
            <w:r>
              <w:rPr>
                <w:b w:val="0"/>
                <w:color w:val="000000"/>
                <w:sz w:val="19"/>
              </w:rPr>
              <w:t>Setup and launch utilities, live smoke check and automated regression suite.</w:t>
            </w:r>
          </w:p>
        </w:tc>
      </w:tr>
    </w:tbl>
    <w:p>
      <w:pPr>
        <w:widowControl/>
        <w:spacing w:line="20" w:lineRule="exact" w:after="100"/>
      </w:pPr>
    </w:p>
    <w:p>
      <w:pPr>
        <w:widowControl/>
      </w:pPr>
      <w:r>
        <w:t>The four individual assessment documents complement this implementation index by examining fairness, privacy, prompt injection and retrieval security. Their responsibilities and evidence status are described in Section 9.</w:t>
      </w:r>
    </w:p>
    <w:p>
      <w:pPr>
        <w:pStyle w:val="Heading1"/>
        <w:pageBreakBefore/>
      </w:pPr>
      <w:r>
        <w:t>References</w:t>
      </w:r>
    </w:p>
    <w:p>
      <w:pPr>
        <w:widowControl/>
      </w:pPr>
      <w:r>
        <w:t>The implementation descriptions are based on the submitted project source. External documentation is used for provider access and deployment constraints. Online references were checked on 28 September 2026.</w:t>
      </w:r>
    </w:p>
    <w:p>
      <w:pPr>
        <w:pStyle w:val="Heading2"/>
      </w:pPr>
      <w:r>
        <w:t>1 Module assignment brief</w:t>
      </w:r>
    </w:p>
    <w:p>
      <w:pPr>
        <w:widowControl/>
      </w:pPr>
      <w:r>
        <w:t>Information Retrieval and Web Analytics IT3041. Assignment Brief: Agentic AI-Based System Development. Supplied Group Assignment Brief (2).pdf. Requirements for the final report, video, repository and viva.</w:t>
      </w:r>
    </w:p>
    <w:p>
      <w:pPr>
        <w:pStyle w:val="Heading2"/>
      </w:pPr>
      <w:r>
        <w:t>2 Project source and validation</w:t>
      </w:r>
    </w:p>
    <w:p>
      <w:pPr>
        <w:widowControl/>
      </w:pPr>
      <w:r>
        <w:t>SkillScout AI repository, README.md, backend/ai/engine.py, backend/ai/taxonomy.py, backend/api.py, backend/worker.py, backend/db.py, backend/security.py, backend/evaluation.py and docs/VALIDATION.md. Repository: https://github.com/CheNivain/Skillscout-AI. Historical validation is dated 16 September 2026; fresh test, build and retrieval results are dated 28 September 2026.</w:t>
      </w:r>
    </w:p>
    <w:p>
      <w:pPr>
        <w:pStyle w:val="Heading2"/>
      </w:pPr>
      <w:r>
        <w:t>3 LinkedIn API access</w:t>
      </w:r>
    </w:p>
    <w:p>
      <w:pPr>
        <w:widowControl/>
      </w:pPr>
      <w:r>
        <w:t>Microsoft Learn. Getting Access to LinkedIn APIs. https://learn.microsoft.com/en-us/linkedin/shared/authentication/getting-access</w:t>
      </w:r>
    </w:p>
    <w:p>
      <w:pPr>
        <w:pStyle w:val="Heading2"/>
      </w:pPr>
      <w:r>
        <w:t>4 LinkedIn Learning access</w:t>
      </w:r>
    </w:p>
    <w:p>
      <w:pPr>
        <w:widowControl/>
      </w:pPr>
      <w:r>
        <w:t>Microsoft Learn. LinkedIn Learning API: Request API Access. https://learn.microsoft.com/en-us/linkedin/learning/getting-started/request-access</w:t>
      </w:r>
    </w:p>
    <w:p>
      <w:pPr>
        <w:pStyle w:val="Heading2"/>
      </w:pPr>
      <w:r>
        <w:t>5 Local model deployment</w:t>
      </w:r>
    </w:p>
    <w:p>
      <w:pPr>
        <w:widowControl/>
      </w:pPr>
      <w:r>
        <w:t>Ollama. Frequently Asked Questions, including local execution and disabling cloud features. https://docs.ollama.com/faq</w:t>
      </w:r>
    </w:p>
    <w:p>
      <w:pPr>
        <w:pStyle w:val="Heading2"/>
      </w:pPr>
      <w:r>
        <w:t>6 Selected model package</w:t>
      </w:r>
    </w:p>
    <w:p>
      <w:pPr>
        <w:widowControl/>
      </w:pPr>
      <w:r>
        <w:t>Ollama model library. qwen2.5:3b model details and linked licence. https://ollama.com/library/qwen2.5:3b</w:t>
      </w:r>
    </w:p>
    <w:p>
      <w:pPr>
        <w:pStyle w:val="Heading2"/>
      </w:pPr>
      <w:r>
        <w:t>7 Individual assignment brief</w:t>
      </w:r>
    </w:p>
    <w:p>
      <w:pPr>
        <w:widowControl/>
      </w:pPr>
      <w:r>
        <w:t>Information Retrieval and Web Analytics. Supplied Individual Assignment Brief (1).pdf. Individual security and Responsible AI assessment requirements.</w:t>
      </w:r>
    </w:p>
    <w:p>
      <w:pPr>
        <w:pStyle w:val="Heading2"/>
      </w:pPr>
      <w:r>
        <w:t>8 Individual assessment plans</w:t>
      </w:r>
    </w:p>
    <w:p>
      <w:pPr>
        <w:widowControl/>
      </w:pPr>
      <w:r>
        <w:t>Chelaka Assignment 2 Responsible AI and Bias Assessment; Dinadi Assignment 2 Prompt Injection and Jailbreak Analysis; Nadun Assignment 2 Privacy and Data Leakage Assessment; Sanali Assignment 2 Information Retrieval and Security Assessment. Supplied Word documents. These contain source-grounded assessment plans, with empirical outcomes and evidence still pending.</w:t>
      </w:r>
    </w:p>
    <w:p>
      <w:pPr>
        <w:pStyle w:val="Heading2"/>
      </w:pPr>
      <w:r>
        <w:t>Evidence interpretation</w:t>
      </w:r>
    </w:p>
    <w:p>
      <w:pPr>
        <w:widowControl/>
      </w:pPr>
      <w:r>
        <w:t>Numeric retrieval results in Section 10 can be reproduced with backend.evaluation. Pricing and rollout figures in Sections 12 and 13 are proposed planning assumptions. No completed company pilot, market survey, independent penetration test or live LinkedIn integration is claimed.</w:t>
      </w:r>
    </w:p>
    <w:sectPr w:rsidR="00FC693F" w:rsidRPr="0006063C" w:rsidSect="00034616">
      <w:footerReference w:type="default" r:id="rId9"/>
      <w:pgSz w:w="11909" w:h="16834"/>
      <w:pgMar w:top="1037" w:right="1181" w:bottom="1008" w:left="1181"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SkillScout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SkillScout AI Final Technical Report</dc:title>
  <dc:subject>IT3041 Information Retrieval and Web Analytics</dc:subject>
  <dc:creator>C N Wijesekara; K N Weerakkody; Dinadi Jayathilake; Sanali Sudugodage</dc:creator>
  <cp:keywords>Employee training, multi-agent systems, information retrieval, responsible AI</cp:keywords>
  <dc:description>generated by python-docx</dc:description>
  <cp:lastModifiedBy/>
  <cp:revision>1</cp:revision>
  <dcterms:created xsi:type="dcterms:W3CDTF">2013-12-23T23:15:00Z</dcterms:created>
  <dcterms:modified xsi:type="dcterms:W3CDTF">2013-12-23T23:15:00Z</dcterms:modified>
  <cp:category/>
</cp:coreProperties>
</file>