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32"/>
          <w:szCs w:val="32"/>
        </w:rPr>
        <w:t xml:space="preserve">UNIVERSIDAD NACIONAL DE INGENIERÍA</w:t>
      </w:r>
    </w:p>
    <w:p>
      <w:pPr>
        <w:spacing w:after="500" w:before="0"/>
        <w:jc w:val="center"/>
      </w:pPr>
      <w:r>
        <w:rPr>
          <w:rFonts w:ascii="Calibri" w:cs="Calibri" w:eastAsia="Calibri" w:hAnsi="Calibri"/>
          <w:b/>
          <w:bCs/>
          <w:color w:val="1F3864"/>
          <w:sz w:val="26"/>
          <w:szCs w:val="26"/>
        </w:rPr>
        <w:t xml:space="preserve">FACULTAD DE INGENIERÍA INDUSTRIAL Y SISTEMAS</w:t>
      </w:r>
    </w:p>
    <w:p>
      <w:pPr>
        <w:spacing w:after="120" w:before="300"/>
        <w:jc w:val="center"/>
      </w:pPr>
      <w:r>
        <w:rPr>
          <w:rFonts w:ascii="Calibri" w:cs="Calibri" w:eastAsia="Calibri" w:hAnsi="Calibri"/>
          <w:b/>
          <w:bCs/>
          <w:color w:val="1F3864"/>
          <w:sz w:val="30"/>
          <w:szCs w:val="30"/>
        </w:rPr>
        <w:t xml:space="preserve">APLICACIÓN DE TOGAF® 9.2 A LA</w:t>
      </w:r>
    </w:p>
    <w:p>
      <w:pPr>
        <w:spacing w:after="500" w:before="0"/>
        <w:jc w:val="center"/>
      </w:pPr>
      <w:r>
        <w:rPr>
          <w:rFonts w:ascii="Calibri" w:cs="Calibri" w:eastAsia="Calibri" w:hAnsi="Calibri"/>
          <w:b/>
          <w:bCs/>
          <w:color w:val="1F3864"/>
          <w:sz w:val="30"/>
          <w:szCs w:val="30"/>
        </w:rPr>
        <w:t xml:space="preserve">MUNICIPALIDAD METROPOLITANA DE LIMA</w:t>
      </w:r>
    </w:p>
    <w:p>
      <w:pPr>
        <w:spacing w:after="120" w:before="200"/>
        <w:jc w:val="center"/>
      </w:pPr>
      <w:r>
        <w:rPr>
          <w:rFonts w:ascii="Calibri" w:cs="Calibri" w:eastAsia="Calibri" w:hAnsi="Calibri"/>
          <w:b/>
          <w:bCs/>
          <w:color w:val="1F3864"/>
          <w:sz w:val="24"/>
          <w:szCs w:val="24"/>
        </w:rPr>
        <w:t xml:space="preserve">FASE H — Architecture Change Management | Requirements Management</w:t>
      </w:r>
    </w:p>
    <w:p>
      <w:pPr>
        <w:spacing w:after="120" w:before="200"/>
        <w:jc w:val="center"/>
      </w:pPr>
      <w:r>
        <w:rPr>
          <w:rFonts w:ascii="Calibri" w:cs="Calibri" w:eastAsia="Calibri" w:hAnsi="Calibri"/>
          <w:b/>
          <w:bCs/>
          <w:color w:val="1F3864"/>
          <w:sz w:val="28"/>
          <w:szCs w:val="28"/>
        </w:rPr>
        <w:t xml:space="preserve">Evaluación de Impacto de Requisitos</w:t>
      </w:r>
    </w:p>
    <w:p>
      <w:pPr>
        <w:spacing w:after="300"/>
        <w:jc w:val="center"/>
      </w:pPr>
      <w:r>
        <w:rPr>
          <w:rFonts w:ascii="Calibri" w:cs="Calibri" w:eastAsia="Calibri" w:hAnsi="Calibri"/>
          <w:i/>
          <w:iCs/>
          <w:color w:val="1F3864"/>
          <w:sz w:val="24"/>
          <w:szCs w:val="24"/>
        </w:rPr>
        <w:t xml:space="preserve">Requirements Impact Assessment</w:t>
      </w:r>
    </w:p>
    <w:p>
      <w:pPr>
        <w:spacing w:after="60" w:before="100"/>
        <w:jc w:val="center"/>
      </w:pPr>
      <w:r>
        <w:rPr>
          <w:rFonts w:ascii="Calibri" w:cs="Calibri" w:eastAsia="Calibri" w:hAnsi="Calibri"/>
          <w:b w:val="false"/>
          <w:bCs w:val="false"/>
          <w:color w:val="1F3864"/>
          <w:sz w:val="21"/>
          <w:szCs w:val="21"/>
        </w:rPr>
        <w:t xml:space="preserve">Identificador: RIA-003-v1.0 · Vinculado a Change Request CR-003</w:t>
      </w:r>
    </w:p>
    <w:p>
      <w:pPr>
        <w:spacing w:after="500"/>
        <w:jc w:val="center"/>
      </w:pPr>
      <w:r>
        <w:rPr>
          <w:rFonts w:ascii="Calibri" w:cs="Calibri" w:eastAsia="Calibri" w:hAnsi="Calibri"/>
          <w:i/>
          <w:iCs/>
          <w:sz w:val="20"/>
          <w:szCs w:val="20"/>
        </w:rPr>
        <w:t xml:space="preserve">(Originado por los hallazgos AUD-01 a AUD-05 de la Auditoría de Consistencia y Alineamiento TOGAF — MML)</w:t>
      </w:r>
    </w:p>
    <w:p>
      <w:pPr>
        <w:spacing w:after="140" w:before="200"/>
        <w:jc w:val="center"/>
      </w:pPr>
      <w:r>
        <w:rPr>
          <w:rFonts w:ascii="Calibri" w:cs="Calibri" w:eastAsia="Calibri" w:hAnsi="Calibri"/>
          <w:b/>
          <w:bCs/>
          <w:color w:val="1F3864"/>
          <w:sz w:val="22"/>
          <w:szCs w:val="22"/>
        </w:rPr>
        <w:t xml:space="preserve">Integrantes:</w:t>
      </w:r>
    </w:p>
    <w:p>
      <w:pPr>
        <w:spacing w:after="60"/>
        <w:jc w:val="center"/>
      </w:pPr>
      <w:r>
        <w:rPr>
          <w:rFonts w:ascii="Calibri" w:cs="Calibri" w:eastAsia="Calibri" w:hAnsi="Calibri"/>
          <w:sz w:val="21"/>
          <w:szCs w:val="21"/>
        </w:rPr>
        <w:t xml:space="preserve">Chirinos Paredes, Fernando Angel — 20221247C</w:t>
      </w:r>
    </w:p>
    <w:p>
      <w:pPr>
        <w:spacing w:after="60"/>
        <w:jc w:val="center"/>
      </w:pPr>
      <w:r>
        <w:rPr>
          <w:rFonts w:ascii="Calibri" w:cs="Calibri" w:eastAsia="Calibri" w:hAnsi="Calibri"/>
          <w:sz w:val="21"/>
          <w:szCs w:val="21"/>
        </w:rPr>
        <w:t xml:space="preserve">Ruiz Luna, Dair Aldrin — 20212141A</w:t>
      </w:r>
    </w:p>
    <w:p>
      <w:pPr>
        <w:spacing w:after="60"/>
        <w:jc w:val="center"/>
      </w:pPr>
      <w:r>
        <w:rPr>
          <w:rFonts w:ascii="Calibri" w:cs="Calibri" w:eastAsia="Calibri" w:hAnsi="Calibri"/>
          <w:sz w:val="21"/>
          <w:szCs w:val="21"/>
        </w:rPr>
        <w:t xml:space="preserve">Garcia Retuerto, Jholvis Juan — 20221013B</w:t>
      </w:r>
    </w:p>
    <w:p>
      <w:pPr>
        <w:spacing w:after="60"/>
        <w:jc w:val="center"/>
      </w:pPr>
      <w:r>
        <w:rPr>
          <w:rFonts w:ascii="Calibri" w:cs="Calibri" w:eastAsia="Calibri" w:hAnsi="Calibri"/>
          <w:sz w:val="21"/>
          <w:szCs w:val="21"/>
        </w:rPr>
        <w:t xml:space="preserve">Jaramillo Blanco, Lenin Anderson — 20212632E</w:t>
      </w:r>
    </w:p>
    <w:p>
      <w:pPr>
        <w:spacing w:after="60"/>
        <w:jc w:val="center"/>
      </w:pPr>
      <w:r>
        <w:rPr>
          <w:rFonts w:ascii="Calibri" w:cs="Calibri" w:eastAsia="Calibri" w:hAnsi="Calibri"/>
          <w:sz w:val="21"/>
          <w:szCs w:val="21"/>
        </w:rPr>
        <w:t xml:space="preserve">Ramos Lopez, Denilson David Giovanni — 20191240F</w:t>
      </w:r>
    </w:p>
    <w:p>
      <w:pPr>
        <w:spacing w:after="60"/>
        <w:jc w:val="center"/>
      </w:pPr>
      <w:r>
        <w:rPr>
          <w:rFonts w:ascii="Calibri" w:cs="Calibri" w:eastAsia="Calibri" w:hAnsi="Calibri"/>
          <w:sz w:val="21"/>
          <w:szCs w:val="21"/>
        </w:rPr>
        <w:t xml:space="preserve">Vila Chahua, Jean Paul — 20170035D</w:t>
      </w:r>
    </w:p>
    <w:p>
      <w:pPr>
        <w:spacing w:after="60"/>
        <w:jc w:val="center"/>
      </w:pPr>
      <w:r>
        <w:rPr>
          <w:rFonts w:ascii="Calibri" w:cs="Calibri" w:eastAsia="Calibri" w:hAnsi="Calibri"/>
          <w:sz w:val="21"/>
          <w:szCs w:val="21"/>
        </w:rPr>
        <w:t xml:space="preserve">Chauvet, Loriano Celso Gaby — II2026102</w:t>
      </w:r>
    </w:p>
    <w:p>
      <w:pPr>
        <w:spacing w:after="60" w:before="260"/>
        <w:jc w:val="center"/>
      </w:pPr>
      <w:r>
        <w:rPr>
          <w:rFonts w:ascii="Calibri" w:cs="Calibri" w:eastAsia="Calibri" w:hAnsi="Calibri"/>
          <w:b w:val="false"/>
          <w:bCs w:val="false"/>
          <w:color w:val="1F3864"/>
          <w:sz w:val="21"/>
          <w:szCs w:val="21"/>
        </w:rPr>
        <w:t xml:space="preserve">Docente: Tobías Enrique Aliaga Vilchez</w:t>
      </w:r>
    </w:p>
    <w:p>
      <w:pPr>
        <w:spacing w:after="60" w:before="0"/>
        <w:jc w:val="center"/>
      </w:pPr>
      <w:r>
        <w:rPr>
          <w:rFonts w:ascii="Calibri" w:cs="Calibri" w:eastAsia="Calibri" w:hAnsi="Calibri"/>
          <w:b w:val="false"/>
          <w:bCs w:val="false"/>
          <w:color w:val="1F3864"/>
          <w:sz w:val="21"/>
          <w:szCs w:val="21"/>
        </w:rPr>
        <w:t xml:space="preserve">SI605U: Arquitectura Empresarial</w:t>
      </w:r>
    </w:p>
    <w:p>
      <w:pPr>
        <w:spacing w:after="0" w:before="0"/>
        <w:jc w:val="center"/>
      </w:pPr>
      <w:r>
        <w:rPr>
          <w:rFonts w:ascii="Calibri" w:cs="Calibri" w:eastAsia="Calibri" w:hAnsi="Calibri"/>
          <w:b w:val="false"/>
          <w:bCs w:val="false"/>
          <w:color w:val="1F3864"/>
          <w:sz w:val="21"/>
          <w:szCs w:val="21"/>
        </w:rPr>
        <w:t xml:space="preserve">Lima – Perú · 2026</w:t>
      </w:r>
    </w:p>
    <w:p>
      <w:r>
        <w:br w:type="page"/>
      </w:r>
    </w:p>
    <w:p>
      <w:pPr>
        <w:pStyle w:val="Heading2"/>
        <w:spacing w:after="120" w:before="240"/>
      </w:pPr>
      <w:r>
        <w:rPr>
          <w:rFonts w:ascii="Calibri" w:cs="Calibri" w:eastAsia="Calibri" w:hAnsi="Calibri"/>
          <w:b/>
          <w:bCs/>
          <w:color w:val="1F3864"/>
          <w:sz w:val="24"/>
          <w:szCs w:val="24"/>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Documento: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Evaluación de Impacto de Requisitos de Arquitectura</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Identificador:</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RIA-003-v1.0</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Versión: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1.0</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Estado: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Borrador  ☐ En Revisión  ☒ Aprobado  ☐ Cerrado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Organización: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Municipalidad Metropolitana de Lima (MML)</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Responsable:</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(Equipo de Arquitectura Empresarial, Grupo 3 — FIIS-UNI)</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Change Request Relacionado: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CR-003 — Consolidación y alineamiento transversal de la arquitectura: cierre de los hallazgos de la Auditoría de Consistencia y Alineamiento TOGAF (complementario a CR-001 y CR-002)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Requisito(s) Evaluado(s):</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RG-01 (nuevo) — Catálogo único y trazable de principios de arquitectura; RG-02 (nuevo) — Control formal de cambios del alcance de negocio; RG-03 (nuevo) — Unicidad de Work Packages y continuidad Contrato → Conformidad → Cambio; RG-04 (nuevo) — Consistencia cronológica del ciclo ADM</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Tipo de Cambio de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Nuevo requisito (RG-01 a RG-04)  ☐ Modificación  ☐ Eliminación  ☐ Repriorización — con correcciones documentales asociadas sobre artefactos existentes</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Fase ADM de Origen: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Fase H (monitoreo y gobierno del cambio de la arquitectura)  ☐ Fase G (implementación)  ☐ Externo / Regulatorio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Fecha de Identificación: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02/07/2026 (emisión de la Auditoría de Consistencia y Alineamiento TOGAF — MML)</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Fecha de la Evaluación: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04/07/2026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Fecha Requerida de Decisión: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 — antes de la sesión de consolidación entre subgrupos y de la entrega final del curso (15/07/2026)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Clasificación: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Público  ☒ Interno  ☐ Confidencial</w:t>
            </w:r>
          </w:p>
        </w:tc>
      </w:tr>
    </w:tbl>
    <w:p>
      <w:pPr>
        <w:spacing w:after="160"/>
      </w:pPr>
    </w:p>
    <w:p>
      <w:pPr>
        <w:pStyle w:val="Heading1"/>
        <w:spacing w:after="160" w:before="320"/>
      </w:pPr>
      <w:r>
        <w:rPr>
          <w:rFonts w:ascii="Calibri" w:cs="Calibri" w:eastAsia="Calibri" w:hAnsi="Calibri"/>
          <w:b/>
          <w:bCs/>
          <w:color w:val="1F3864"/>
          <w:sz w:val="28"/>
          <w:szCs w:val="28"/>
        </w:rPr>
        <w:t xml:space="preserve">1. Historial de Revisiones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600"/>
        <w:gridCol w:w="4126"/>
      </w:tblGrid>
      <w:tr>
        <w:trPr>
          <w:tblHeader/>
        </w:trPr>
        <w:tc>
          <w:tcPr>
            <w:tcW w:type="dxa" w:w="10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Versión</w:t>
            </w:r>
          </w:p>
        </w:tc>
        <w:tc>
          <w:tcPr>
            <w:tcW w:type="dxa" w:w="13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w:t>
            </w:r>
          </w:p>
        </w:tc>
        <w:tc>
          <w:tcPr>
            <w:tcW w:type="dxa" w:w="26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Autor/a</w:t>
            </w:r>
          </w:p>
        </w:tc>
        <w:tc>
          <w:tcPr>
            <w:tcW w:type="dxa" w:w="41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 del Cambio</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0.1</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02/07/2026</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Equipo de Arquitectura Empresarial</w:t>
            </w:r>
          </w:p>
        </w:tc>
        <w:tc>
          <w:tcPr>
            <w:tcW w:type="dxa" w:w="4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Versión inicial — identificación del cambio a partir de los hallazgos AUD-01 a AUD-05 de la Auditoría de Consistencia y Alineamiento TOGAF, y análisis preliminar de impacto.</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0.9</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04/07/2026</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Equipo de Arquitectura Empresarial</w:t>
            </w:r>
          </w:p>
        </w:tc>
        <w:tc>
          <w:tcPr>
            <w:tcW w:type="dxa" w:w="4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Incorporación del análisis de opciones, esfuerzo, riesgos y trazabilidad extremo a extremo. Revisión cruzada con AE-MML-RIA-001, RIA-002, el Architecture Contract AC-WP001 y la Compliance Assessment CA-WP01.</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1.0</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Equipo de Arquitectura Empresarial (Grupo 3)</w:t>
            </w:r>
          </w:p>
        </w:tc>
        <w:tc>
          <w:tcPr>
            <w:tcW w:type="dxa" w:w="4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Versión final — recomendación emitida, decisión del Architecture Board incorporada y plan de consolidación aprobado con fecha límite 15/07/2026.</w:t>
            </w:r>
          </w:p>
        </w:tc>
      </w:tr>
    </w:tbl>
    <w:p>
      <w:pPr>
        <w:spacing w:after="160"/>
      </w:pPr>
    </w:p>
    <w:p>
      <w:pPr>
        <w:pStyle w:val="Heading1"/>
        <w:spacing w:after="160" w:before="320"/>
      </w:pPr>
      <w:r>
        <w:rPr>
          <w:rFonts w:ascii="Calibri" w:cs="Calibri" w:eastAsia="Calibri" w:hAnsi="Calibri"/>
          <w:b/>
          <w:bCs/>
          <w:color w:val="1F3864"/>
          <w:sz w:val="28"/>
          <w:szCs w:val="28"/>
        </w:rPr>
        <w:t xml:space="preserve">2. 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spacing w:after="160" w:before="160"/>
      </w:pPr>
      <w:r>
        <w:rPr>
          <w:rFonts w:ascii="Calibri" w:cs="Calibri" w:eastAsia="Calibri" w:hAnsi="Calibri"/>
          <w:i/>
          <w:iCs/>
          <w:color w:val="808080"/>
          <w:sz w:val="19"/>
          <w:szCs w:val="19"/>
        </w:rPr>
        <w:t xml:space="preserve">Este índice se genera a partir de los estilos de título del documento. En Microsoft Word, haga clic derecho sobre la tabla y seleccione «Actualizar campo» → «Actualizar todo el índice» para reflejar la numeración final de páginas.</w:t>
      </w:r>
    </w:p>
    <w:p>
      <w:r>
        <w:br w:type="page"/>
      </w:r>
    </w:p>
    <w:p>
      <w:pPr>
        <w:pStyle w:val="Heading1"/>
        <w:spacing w:after="160" w:before="320"/>
      </w:pPr>
      <w:r>
        <w:rPr>
          <w:rFonts w:ascii="Calibri" w:cs="Calibri" w:eastAsia="Calibri" w:hAnsi="Calibri"/>
          <w:b/>
          <w:bCs/>
          <w:color w:val="1F3864"/>
          <w:sz w:val="28"/>
          <w:szCs w:val="28"/>
        </w:rPr>
        <w:t xml:space="preserve">3. Propósito</w:t>
      </w:r>
    </w:p>
    <w:p>
      <w:pPr>
        <w:spacing w:after="120" w:before="0" w:line="276"/>
      </w:pPr>
      <w:r>
        <w:rPr>
          <w:rFonts w:ascii="Calibri" w:cs="Calibri" w:eastAsia="Calibri" w:hAnsi="Calibri"/>
          <w:b w:val="false"/>
          <w:bCs w:val="false"/>
          <w:i w:val="false"/>
          <w:iCs w:val="false"/>
          <w:sz w:val="21"/>
          <w:szCs w:val="21"/>
        </w:rPr>
        <w:t xml:space="preserve">La presente Evaluación de Impacto de Requisitos (Requirements Impact Assessment) es el instrumento formal mediante el cual el Arquitecto Empresarial analiza el impacto que tendría un cambio de requisitos —en este caso, la incorporación de cuatro nuevos requisitos de gobierno de arquitectura (RG-01 a RG-04) y el paquete de correcciones documentales asociado— sobre la arquitectura empresarial vigente de la Municipalidad Metropolitana de Lima (MML), los artefactos del Architecture Repository, el ciclo de gobierno de las Fases F–G–H y el baseline de requisitos.</w:t>
      </w:r>
    </w:p>
    <w:p>
      <w:pPr>
        <w:spacing w:after="120" w:before="0" w:line="276"/>
      </w:pPr>
      <w:r>
        <w:rPr>
          <w:rFonts w:ascii="Calibri" w:cs="Calibri" w:eastAsia="Calibri" w:hAnsi="Calibri"/>
          <w:b w:val="false"/>
          <w:bCs w:val="false"/>
          <w:i w:val="false"/>
          <w:iCs w:val="false"/>
          <w:sz w:val="21"/>
          <w:szCs w:val="21"/>
        </w:rPr>
        <w:t xml:space="preserve">Este documento opera en la intersección de la Fase H (Architecture Change Management) y el proceso transversal de Requirements Management del ADM TOGAF 9.2. Su detonante es la Auditoría de Consistencia y Alineamiento TOGAF — MML (02/07/2026), que revisó el repositorio completo del proyecto (Fase Preliminar a Fase H) contra el resumen metodológico del curso y detectó cinco desincronizaciones transversales entre entregables de distintos subgrupos, codificadas en este documento como hallazgos AUD-01 a AUD-05. En términos de TOGAF, la auditoría cumple el rol de actividad de monitoreo de la Fase H: detecta que la arquitectura documentada ha perdido integridad interna y activa el proceso formal de gestión del cambio.</w:t>
      </w:r>
    </w:p>
    <w:p>
      <w:pPr>
        <w:spacing w:after="120" w:before="0" w:line="276"/>
      </w:pPr>
      <w:r>
        <w:rPr>
          <w:rFonts w:ascii="Calibri" w:cs="Calibri" w:eastAsia="Calibri" w:hAnsi="Calibri"/>
          <w:b w:val="false"/>
          <w:bCs w:val="false"/>
          <w:i w:val="false"/>
          <w:iCs w:val="false"/>
          <w:sz w:val="21"/>
          <w:szCs w:val="21"/>
        </w:rPr>
        <w:t xml:space="preserve">Sus propósitos específicos en este ciclo son:</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Documentar con precisión los cinco hallazgos de la auditoría (AUD-01 a AUD-05) y traducirlos en requisitos de gobierno verificables (RG-01 a RG-04) que impidan su recurrencia.</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Identificar todos los artefactos de arquitectura, fases ADM y responsables afectados por la consolidación, desde el catálogo de Principios de la Fase Preliminar hasta los documentos de gobierno de las Fases F, G y H.</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Analizar los conflictos de la consolidación con decisiones y documentos ya emitidos (alcance de negocio, contratos firmados, fechas registradas).</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Evaluar las opciones de respuesta disponibles —consolidación integral, corrección mínima o no implementación— con sus respectivos beneficios, riesgos y esfuerzos.</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Recomendar al Architecture Board la opción de respuesta más adecuada y su clasificación como Change Request (CR-003).</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Determinar si el cambio requiere una nueva iteración completa del ciclo ADM o si basta con una reentrada acotada gestionada por el proceso de Requirements Management.</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Actualizar el baseline de requisitos y el Governance Log del Architecture Repository de la MML con la decisión aprobada por el Architecture Board, antes de la entrega final del curso.</w:t>
      </w:r>
    </w:p>
    <w:p>
      <w:pPr>
        <w:spacing w:after="80" w:before="160"/>
        <w:jc w:val="center"/>
      </w:pPr>
      <w:r>
        <w:drawing>
          <wp:inline distT="0" distB="0" distL="0" distR="0">
            <wp:extent cx="6309360" cy="713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9360" cy="713232"/>
                    </a:xfrm>
                    <a:prstGeom prst="rect">
                      <a:avLst/>
                    </a:prstGeom>
                  </pic:spPr>
                </pic:pic>
              </a:graphicData>
            </a:graphic>
          </wp:inline>
        </w:drawing>
      </w:r>
    </w:p>
    <w:p>
      <w:pPr>
        <w:spacing w:after="200"/>
        <w:jc w:val="center"/>
      </w:pPr>
      <w:r>
        <w:rPr>
          <w:rFonts w:ascii="Calibri" w:cs="Calibri" w:eastAsia="Calibri" w:hAnsi="Calibri"/>
          <w:i/>
          <w:iCs/>
          <w:color w:val="808080"/>
          <w:sz w:val="19"/>
          <w:szCs w:val="19"/>
        </w:rPr>
        <w:t xml:space="preserve">Figura 1. Flujo del proceso de Evaluación de Impacto de Requisitos dentro de la Fase H del ADM, desde la auditoría hasta la actualización del baseline.</w:t>
      </w:r>
    </w:p>
    <w:p>
      <w:pPr>
        <w:pStyle w:val="Heading1"/>
        <w:spacing w:after="160" w:before="320"/>
      </w:pPr>
      <w:r>
        <w:rPr>
          <w:rFonts w:ascii="Calibri" w:cs="Calibri" w:eastAsia="Calibri" w:hAnsi="Calibri"/>
          <w:b/>
          <w:bCs/>
          <w:color w:val="1F3864"/>
          <w:sz w:val="28"/>
          <w:szCs w:val="28"/>
        </w:rPr>
        <w:t xml:space="preserve">4. Contexto del Cambio</w:t>
      </w:r>
    </w:p>
    <w:p>
      <w:pPr>
        <w:pStyle w:val="Heading2"/>
        <w:spacing w:after="120" w:before="240"/>
      </w:pPr>
      <w:r>
        <w:rPr>
          <w:rFonts w:ascii="Calibri" w:cs="Calibri" w:eastAsia="Calibri" w:hAnsi="Calibri"/>
          <w:b/>
          <w:bCs/>
          <w:color w:val="1F3864"/>
          <w:sz w:val="24"/>
          <w:szCs w:val="24"/>
        </w:rPr>
        <w:t xml:space="preserve">4.1 Hallazgos de Origen y Cambios Solicitados</w:t>
      </w:r>
    </w:p>
    <w:p>
      <w:pPr>
        <w:spacing w:after="120" w:before="0" w:line="276"/>
      </w:pPr>
      <w:r>
        <w:rPr>
          <w:rFonts w:ascii="Calibri" w:cs="Calibri" w:eastAsia="Calibri" w:hAnsi="Calibri"/>
          <w:b w:val="false"/>
          <w:bCs w:val="false"/>
          <w:i w:val="false"/>
          <w:iCs w:val="false"/>
          <w:sz w:val="21"/>
          <w:szCs w:val="21"/>
        </w:rPr>
        <w:t xml:space="preserve">La Auditoría de Consistencia y Alineamiento TOGAF — MML concluyó que cada fase, tomada de forma aislada, cumple en gran medida con la metodología, pero que la ausencia de una revisión de consolidación final rompió la trazabilidad transversal exigida por el Requirements Management del ADM. Los cinco hallazgos que originan el presente cambio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50"/>
        <w:gridCol w:w="4476"/>
      </w:tblGrid>
      <w:tr>
        <w:trPr>
          <w:tblHeader/>
        </w:trPr>
        <w:tc>
          <w:tcPr>
            <w:tcW w:type="dxa" w:w="10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Hallazgo</w:t>
            </w:r>
          </w:p>
        </w:tc>
        <w:tc>
          <w:tcPr>
            <w:tcW w:type="dxa" w:w="35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w:t>
            </w:r>
          </w:p>
        </w:tc>
        <w:tc>
          <w:tcPr>
            <w:tcW w:type="dxa" w:w="44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Evidencia registrada en la auditoría</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AUD-01</w:t>
            </w:r>
          </w:p>
        </w:tc>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Catálogo de principios inconsistente: la Fase Preliminar documenta solo 8 principios, con huecos de numeración (faltan DP02, DP03 y TP02), mientras la Fase A afirma la existencia de «un catálogo de 15 principios» y la Fase C usa principios con nombres nuevos sin código de referencia.</w:t>
            </w:r>
          </w:p>
        </w:tc>
        <w:tc>
          <w:tcPr>
            <w:tcW w:type="dxa" w:w="44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Principles v0.1 (solo BP01, BP02, DP01, DP04, AP01, AP02, TP01, TP03); Architecture Vision v0.1, sección 6.2; Documento 01 de Fase C, sección de Cumplimiento («Fuente Única de la Verdad», «Seguridad por Diseño», etc.).</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AUD-02</w:t>
            </w:r>
          </w:p>
        </w:tc>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Cambio de dominio de negocio sin autorización: la Fase B delimita el alcance en licencias, tributos y trámites ciudadanos, pero el documento principal de la Fase C (y la Fase D) lo redefine hacia seguridad ciudadana / Serenazgo, generando además una contradicción interna dentro de la propia carpeta de la Fase C (doc. 01 vs. docs. 02 y 03).</w:t>
            </w:r>
          </w:p>
        </w:tc>
        <w:tc>
          <w:tcPr>
            <w:tcW w:type="dxa" w:w="44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Doc. 01 Fase C, secciones 1 «Propósito» y 2 «Alcance» (ALC-01 a ALC-08, Serenazgo Metropolitano); Doc. Fase D, sección 2 «Alcance»; contraste con Fase B (alcance dentro/fuera) y con los docs. 02 y 03 de la misma Fase C (expedientes, licencias, tributación).</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AUD-03</w:t>
            </w:r>
          </w:p>
        </w:tc>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Ruptura de la cadena Contrato → Conformidad: la Fase F contrata el «WP-001 — Repositorio Metropolitano de Seguridad», pero la Fase G audita el «WP-01 — Servicios Digitales al Ciudadano y Plataforma de Interoperabilidad», citando el mismo identificador de contrato como si fueran el mismo Work Package; la Fase H (CR-002 / RIA-002) hereda esa referencia.</w:t>
            </w:r>
          </w:p>
        </w:tc>
        <w:tc>
          <w:tcPr>
            <w:tcW w:type="dxa" w:w="44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Contract AC-WP001-v1.0, campo «Work Package(s) Cubierto(s)»; Compliance Assessment CA-WP01-v1.0, campos «Work Package Evaluado» y «Architecture Contract de referencia».</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AUD-04</w:t>
            </w:r>
          </w:p>
        </w:tc>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Inconsistencia cronológica del ciclo ADM: la Compliance Review de la Fase G (20–22/05/2026) está fechada antes que la autorización formal del trabajo (SoAW, Fase A, 05/06/2026), antes del contrato de la Fase F (01/07/2026) y antes del inicio de la Transición T1 (julio 2026) que se supone la originan.</w:t>
            </w:r>
          </w:p>
        </w:tc>
        <w:tc>
          <w:tcPr>
            <w:tcW w:type="dxa" w:w="44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Tabla de consistencia temporal de la auditoría: CA-WP01 (20–22/05/2026) &lt; SoAW (05/06/2026) &lt; Hoja de Ruta Fase C (26/06/2026) &lt; AC-WP001 (01/07/2026) ≤ hito H-001 (julio 2026).</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AUD-05</w:t>
            </w:r>
          </w:p>
        </w:tc>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Tailoring incompleto y desorden del repositorio: cinco documentos conservan el encabezado genérico «Project XXX / Client YYY» (tres en la Fase Preliminar y dos en la Fase C); la carpeta de la Fase D se llama «Face D» rompiendo la convención de nombres; y el Documento de Definición de la Fase D está duplicado (una copia en la carpeta y otra suelta en la raíz).</w:t>
            </w:r>
          </w:p>
        </w:tc>
        <w:tc>
          <w:tcPr>
            <w:tcW w:type="dxa" w:w="44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Campo «Project Name» = «Project XXX» en Request for Architecture Work, Tailored Architecture Framework y Organizational Model for EA; docs. 01 y 02 de Fase C; estructura de carpetas del repositorio (Fase_A … Fase_H vs. «Face D»).</w:t>
            </w:r>
          </w:p>
        </w:tc>
      </w:tr>
    </w:tbl>
    <w:p>
      <w:pPr>
        <w:spacing w:after="120"/>
      </w:pPr>
    </w:p>
    <w:p>
      <w:pPr>
        <w:spacing w:after="120" w:before="0" w:line="276"/>
      </w:pPr>
      <w:r>
        <w:rPr>
          <w:rFonts w:ascii="Calibri" w:cs="Calibri" w:eastAsia="Calibri" w:hAnsi="Calibri"/>
          <w:b w:val="false"/>
          <w:bCs w:val="false"/>
          <w:i w:val="false"/>
          <w:iCs w:val="false"/>
          <w:sz w:val="21"/>
          <w:szCs w:val="21"/>
        </w:rPr>
        <w:t xml:space="preserve">Para impedir la recurrencia de estos hallazgos, se propone incorporar al baseline cuatro requisitos de gobierno de arquitectura (serie RG), que se documentan por separado para preservar la trazabilidad de cada uno en el Architecture Repository. Las correcciones documentales puntuales derivadas de AUD-05 se gestionan como acciones de mantenimiento dentro del mismo CR-003 (Sección 11), sin requisito propio.</w:t>
      </w:r>
    </w:p>
    <w:p>
      <w:pPr>
        <w:pStyle w:val="Heading3"/>
        <w:spacing w:after="100" w:before="200"/>
      </w:pPr>
      <w:r>
        <w:rPr>
          <w:rFonts w:ascii="Calibri" w:cs="Calibri" w:eastAsia="Calibri" w:hAnsi="Calibri"/>
          <w:b/>
          <w:bCs/>
          <w:color w:val="1F3864"/>
          <w:sz w:val="22"/>
          <w:szCs w:val="22"/>
        </w:rPr>
        <w:t xml:space="preserve">Requisito 1 — RG-01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Identificador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RG-01</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Requisito Original: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existe versión baseline: se trata de un requisito nuevo. La integridad del catálogo de principios se asumía de forma implícita; ningún requisito obligaba a que las citas a principios en fases posteriores coincidieran con el catálogo aprobado en la Fase Preliminar.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Versión Baseline Actual: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aplica (nuevo requisito).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Tipo de Cambio Solicitado: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Adición de nuevo requisito  ☐ Modificación  ☐ Eliminación  ☐ Repriorización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Cambio Propuesto: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Incorporar el requisito «RG-01 — El Architecture Repository debe mantener un catálogo único y versionado de principios de arquitectura, con numeración continua y resumen de totales; toda referencia a principios en entregables de cualquier fase debe citar el código oficial (BP/DP/AP/TP) y la versión vigente del catálogo». Criterio de aceptación: 100 % de las citas a principios con código válido del catálogo; 0 discrepancias de conteo entre documentos; huecos de numeración documentados como bajas formales o completados (DP02, DP03, TP02).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Origen / Fuente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Hallazgo de auditoría / revisión de consistencia (AUD-01)  ☐ Nueva regulación  ☐ Cambio estratégico  ☐ Cambio tecnológico  ☐ Solicitud de stakeholder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Solicitante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(a partir de la Auditoría de Consistencia, 02/07/2026)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Dominio(s) Afectado(s):</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Todos (los principios rigen Negocio, Datos, Aplicaciones y Tecnología)</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Fase ADM de Origen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Preliminar (catálogo de Principios de Arquitectura) — con verificación transversal vía Requirements Management</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Urgencia: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Crítica  ☒ Alta (requiere decisión en &lt; 5 días)  ☐ Media  ☐ Baja — la unificación del catálogo condiciona las correcciones de las Fases A y C previas a la entrega final.</w:t>
            </w:r>
          </w:p>
        </w:tc>
      </w:tr>
    </w:tbl>
    <w:p>
      <w:pPr>
        <w:spacing w:after="120"/>
      </w:pPr>
    </w:p>
    <w:p>
      <w:pPr>
        <w:pStyle w:val="Heading3"/>
        <w:spacing w:after="100" w:before="200"/>
      </w:pPr>
      <w:r>
        <w:rPr>
          <w:rFonts w:ascii="Calibri" w:cs="Calibri" w:eastAsia="Calibri" w:hAnsi="Calibri"/>
          <w:b/>
          <w:bCs/>
          <w:color w:val="1F3864"/>
          <w:sz w:val="22"/>
          <w:szCs w:val="22"/>
        </w:rPr>
        <w:t xml:space="preserve">Requisito 2 — RG-02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Identificador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Requisito Original: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existe versión baseline. El SoAW de la Fase A definió un procedimiento formal de cambio de alcance, pero ningún requisito verificable impedía que un entregable de fase posterior redefiniera el dominio de negocio sin tramitar ese procedimiento, como ocurrió entre las Fases B y C/D.</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Versión Baseline Actual: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aplica (nuevo requisito).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Tipo de Cambio Solicitado: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Adición de nuevo requisito  ☐ Modificación  ☐ Eliminación  ☐ Repriorización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Cambio Propuesto: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Incorporar el requisito «RG-02 — Todo cambio del dominio de negocio priorizado respecto del delimitado en la Fase B debe tramitarse mediante Change Request aprobado por el Architecture Board y registrarse en el Governance Log antes de reflejarse en entregables de fases posteriores». Criterio de aceptación: 0 entregables con alcance distinto del autorizado; toda decisión de alcance con acta en el Governance Log. Para el ciclo vigente, se ratifica la decisión de AE-MML-RIA-001: el dominio prioritario es servicios y trámites al ciudadano (licencias, tributos, expedientes) y la iniciativa de seguridad ciudadana / Serenazgo queda documentada como iteración paralela o futura del programa de AE, fuera del alcance de esta iteración.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Origen / Fuente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Hallazgo de auditoría / revisión de consistencia (AUD-02)  ☐ Nueva regulación  ☐ Cambio estratégico  ☐ Cambio tecnológico  ☐ Solicitud de stakeholder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Solicitante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(a partir de la Auditoría de Consistencia, 02/07/2026)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Dominio(s) Afectado(s):</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Negocio  ☒ Datos  ☒ Aplicaciones  ☒ Tecnología  ☐ Seguridad  ☐ Todos</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Fase ADM de Origen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A — Architecture Vision / SoAW (procedimiento de cambio de alcance), con efecto sobre las Fases B, C y D</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Urgencia: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Crítica  ☒ Alta (requiere decisión en &lt; 5 días)  ☐ Media  ☐ Baja — la reconciliación del alcance es prerrequisito para corregir los documentos 01 de la Fase C y de la Fase D.</w:t>
            </w:r>
          </w:p>
        </w:tc>
      </w:tr>
    </w:tbl>
    <w:p>
      <w:pPr>
        <w:spacing w:after="120"/>
      </w:pPr>
    </w:p>
    <w:p>
      <w:pPr>
        <w:pStyle w:val="Heading3"/>
        <w:spacing w:after="100" w:before="200"/>
      </w:pPr>
      <w:r>
        <w:rPr>
          <w:rFonts w:ascii="Calibri" w:cs="Calibri" w:eastAsia="Calibri" w:hAnsi="Calibri"/>
          <w:b/>
          <w:bCs/>
          <w:color w:val="1F3864"/>
          <w:sz w:val="22"/>
          <w:szCs w:val="22"/>
        </w:rPr>
        <w:t xml:space="preserve">Requisito 3 — RG-03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Identificador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RG-03</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Requisito Original: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existe versión baseline. La nomenclatura de Work Packages se usaba de forma libre («WP-001» con tres dígitos en las Fases E y F; «WP-01» con dos dígitos en las Fases G y H), y con contenidos distintos bajo identificadores casi idénticos, sin una regla que garantizara la correspondencia 1:1 entre contrato y evaluación de conformidad.</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Versión Baseline Actual: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aplica (nuevo requisito).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Tipo de Cambio Solicitado: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Adición de nuevo requisito  ☐ Modificación  ☐ Eliminación  ☐ Repriorización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Cambio Propuesto: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Incorporar el requisito «RG-03 — Cada Work Package debe tener un identificador único con formato canónico WP-XXX (tres dígitos), tomado del inventario del Plan de Implementación y Migración de la Fase E (WP-001 a WP-010), y mantener contenido idéntico en las Fases E, F, G y H; toda Compliance Review debe referenciar un Architecture Contract vigente del mismo Work Package, y todo contrato debe tener su evaluación de conformidad correspondiente». Criterio de aceptación: correspondencia 1:1 Contrato → Compliance Review verificada; 0 contratos sin auditoría y 0 auditorías sin contrato; el «WP-01 — Servicios Digitales al Ciudadano» de la Fase G se re-mapea contra el inventario canónico de la Fase E, y el contrato AC-WP001 se re-emite contra el Work Package correcto.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Origen / Fuente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Hallazgo de auditoría / revisión de consistencia (AUD-03)  ☐ Nueva regulación  ☐ Cambio estratégico  ☐ Cambio tecnológico  ☐ Solicitud de stakeholder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Solicitante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(a partir de la Auditoría de Consistencia, 02/07/2026)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Dominio(s) Afectado(s):</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Negocio  ☐ Datos  ☒ Aplicaciones  ☒ Tecnología  ☒ Seguridad  ☐ Todos — con impacto principal en los artefactos de gobierno (Fases E–H)</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Fase ADM de Origen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E — Opportunities and Solutions (inventario canónico de Work Packages), con efecto sobre las Fases F, G y H</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Urgencia: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Crítica  ☒ Alta (requiere decisión en &lt; 5 días)  ☐ Media  ☐ Baja — sin esta reconciliación, el ciclo de gobierno F–G–H del proyecto queda formalmente roto.</w:t>
            </w:r>
          </w:p>
        </w:tc>
      </w:tr>
    </w:tbl>
    <w:p>
      <w:pPr>
        <w:spacing w:after="120"/>
      </w:pPr>
    </w:p>
    <w:p>
      <w:pPr>
        <w:pStyle w:val="Heading3"/>
        <w:spacing w:after="100" w:before="200"/>
      </w:pPr>
      <w:r>
        <w:rPr>
          <w:rFonts w:ascii="Calibri" w:cs="Calibri" w:eastAsia="Calibri" w:hAnsi="Calibri"/>
          <w:b/>
          <w:bCs/>
          <w:color w:val="1F3864"/>
          <w:sz w:val="22"/>
          <w:szCs w:val="22"/>
        </w:rPr>
        <w:t xml:space="preserve">Requisito 4 — RG-04 (nuevo)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Identificador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RG-04</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Requisito Original: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existe versión baseline. Las fechas de los entregables se registraban de forma independiente por cada subgrupo, sin validación contra una línea de tiempo maestra, lo que produjo una revisión de conformidad (Fase G) fechada antes de la autorización del trabajo (Fase A) y del contrato que la habilita (Fase F).</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Versión Baseline Actual: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aplica (nuevo requisito).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Tipo de Cambio Solicitado: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Adición de nuevo requisito  ☐ Modificación  ☐ Eliminación  ☐ Repriorización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Descripción del Cambio Propuesto: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Incorporar el requisito «RG-04 — Las fechas registradas en los entregables del programa deben respetar la secuencia lógica del ADM (Preliminar → A → B → C → D → E → F → G → H); el Architecture Repository debe mantener una línea de tiempo maestra publicada en el Governance Log, contra la cual se valida la fecha de todo entregable antes de su aprobación». Criterio de aceptación: línea de tiempo maestra v1.0 publicada; 0 hitos de gobierno (contratos, compliance reviews, change requests) fechados antes de los hitos que los autorizan; las correcciones de fechas ya emitidas se registran como fe de erratas versionadas, nunca como sobrescritura del historial.</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Origen / Fuente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Hallazgo de auditoría / revisión de consistencia (AUD-04)  ☐ Nueva regulación  ☐ Cambio estratégico  ☐ Cambio tecnológico  ☐ Solicitud de stakeholder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Solicitante del Cambio: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(a partir de la Auditoría de Consistencia, 02/07/2026)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Dominio(s) Afectado(s):</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Todos (la consistencia temporal es transversal a los cuatro dominios y a las nueve fases del ciclo)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Fase ADM de Origen del Requisito: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Management (transversal), con registro operativo en el Governance Log de la Fase Preliminar</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Urgencia: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Crítica  ☒ Alta (requiere decisión en &lt; 5 días)  ☐ Media  ☐ Baja — las fechas corregidas deben quedar consolidadas antes de la entrega final (15/07/2026).</w:t>
            </w:r>
          </w:p>
        </w:tc>
      </w:tr>
    </w:tbl>
    <w:p>
      <w:pPr>
        <w:spacing w:after="120"/>
      </w:pPr>
    </w:p>
    <w:p>
      <w:pPr>
        <w:pStyle w:val="Heading2"/>
        <w:spacing w:after="120" w:before="240"/>
      </w:pPr>
      <w:r>
        <w:rPr>
          <w:rFonts w:ascii="Calibri" w:cs="Calibri" w:eastAsia="Calibri" w:hAnsi="Calibri"/>
          <w:b/>
          <w:bCs/>
          <w:color w:val="1F3864"/>
          <w:sz w:val="24"/>
          <w:szCs w:val="24"/>
        </w:rPr>
        <w:t xml:space="preserve">4.2 Mapa de Stakeholders Relevantes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450"/>
        <w:gridCol w:w="4000"/>
        <w:gridCol w:w="1526"/>
      </w:tblGrid>
      <w:tr>
        <w:trPr>
          <w:tblHeader/>
        </w:trPr>
        <w:tc>
          <w:tcPr>
            <w:tcW w:type="dxa" w:w="20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Stakeholder / Área</w:t>
            </w:r>
          </w:p>
        </w:tc>
        <w:tc>
          <w:tcPr>
            <w:tcW w:type="dxa" w:w="1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Rol en la Evaluación</w:t>
            </w:r>
          </w:p>
        </w:tc>
        <w:tc>
          <w:tcPr>
            <w:tcW w:type="dxa" w:w="40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Interés / Preocupación Principal</w:t>
            </w:r>
          </w:p>
        </w:tc>
        <w:tc>
          <w:tcPr>
            <w:tcW w:type="dxa" w:w="15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Nivel de Influencia</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 (Ruiz Luna, Dair Aldrin)</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Evaluador y responsable de consolidación</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Restaurar la trazabilidad extremo a extremo del repositorio y coordinar las correcciones entre subgrupos antes de la entrega final.</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Comité de Arquitectura Empresarial — MML (Architecture Board; preside el docente del curso)</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Decisor</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Gobierno y conformidad de la arquitectura; ratificar la decisión de alcance y aprobar la re-emisión versionada de documentos de gobierno.</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A–B</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Ejecutor de correcciones</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Que la corrección del Architecture Vision (§6.2) y la ratificación del alcance no invaliden el trabajo ya aprobado de las Fases A y B.</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C–D</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Ejecutor de correcciones / afectado</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Que el trabajo desarrollado sobre seguridad ciudadana / Serenazgo se preserve como iteración paralela documentada y no se descarte.</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F–G–H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Ejecutor de correcciones</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Reconciliar Work Packages, contrato y compliance review sin invalidar los hallazgos técnicos ya gestionados (H-005, H-002, CR-001, CR-002).</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PMO / Gerencia del Programa de Transformación Digital</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Custodio del inventario de Work Packages</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Que el inventario canónico WP-001 a WP-010 de la Fase E sea la única fuente de identificadores en el portafolio.</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Gerencia de Tecnologías de la Información (GTI) — MML</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Patrocinador</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Que la consolidación documental no retrase los cierres técnicos en curso (verificación de H-005 y H-002, plazo 20/07/2026).</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r>
      <w:tr>
        <w:tc>
          <w:tcPr>
            <w:tcW w:type="dxa" w:w="2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Subgerencia de Serenazgo — MML</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Afectado</w:t>
            </w:r>
          </w:p>
        </w:tc>
        <w:tc>
          <w:tcPr>
            <w:tcW w:type="dxa" w:w="4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Claridad sobre el estatus de la iniciativa de seguridad ciudadana dentro del programa de arquitectura (iteración futura documentada).</w:t>
            </w:r>
          </w:p>
        </w:tc>
        <w:tc>
          <w:tcPr>
            <w:tcW w:type="dxa" w:w="1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r>
    </w:tbl>
    <w:p>
      <w:pPr>
        <w:spacing w:after="160"/>
      </w:pPr>
    </w:p>
    <w:p>
      <w:pPr>
        <w:pStyle w:val="Heading2"/>
        <w:spacing w:after="120" w:before="240"/>
      </w:pPr>
      <w:r>
        <w:rPr>
          <w:rFonts w:ascii="Calibri" w:cs="Calibri" w:eastAsia="Calibri" w:hAnsi="Calibri"/>
          <w:b/>
          <w:bCs/>
          <w:color w:val="1F3864"/>
          <w:sz w:val="24"/>
          <w:szCs w:val="24"/>
        </w:rPr>
        <w:t xml:space="preserve">4.3 Drivers y Justificación del Cambio</w:t>
      </w:r>
    </w:p>
    <w:p>
      <w:pPr>
        <w:spacing w:after="120" w:before="0" w:line="276"/>
      </w:pPr>
      <w:r>
        <w:rPr>
          <w:rFonts w:ascii="Calibri" w:cs="Calibri" w:eastAsia="Calibri" w:hAnsi="Calibri"/>
          <w:b w:val="false"/>
          <w:bCs w:val="false"/>
          <w:i w:val="false"/>
          <w:iCs w:val="false"/>
          <w:sz w:val="21"/>
          <w:szCs w:val="21"/>
        </w:rPr>
        <w:t xml:space="preserve">El cambio se conecta con drivers metodológicos, de gobierno y de calidad reconocidos por la organización desde la Fase Preliminar, y con el hito académico de la entrega final del curso.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Tipo de Driver</w:t>
            </w:r>
          </w:p>
        </w:tc>
        <w:tc>
          <w:tcPr>
            <w:tcW w:type="dxa" w:w="2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Driver / Motivador</w:t>
            </w:r>
          </w:p>
        </w:tc>
        <w:tc>
          <w:tcPr>
            <w:tcW w:type="dxa" w:w="46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 y Evidencia</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Metodológico</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Management transversal del ADM (TOGAF 9.2)</w:t>
            </w:r>
          </w:p>
        </w:tc>
        <w:tc>
          <w:tcPr>
            <w:tcW w:type="dxa" w:w="4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teoría exige trazabilidad de extremo a extremo entre todas las fases; la auditoría verificó su ruptura en tres puntos concretos (principios, dominio de negocio y Work Packages), exactamente el tipo de falla que este proceso existe para evitar.</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De gobierno</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Ciclo de gobierno de las Fases F–G–H</w:t>
            </w:r>
          </w:p>
        </w:tc>
        <w:tc>
          <w:tcPr>
            <w:tcW w:type="dxa" w:w="4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cadena Architecture Contract → Compliance Review → Change Management perdió continuidad: se contrató un Work Package que nunca se auditó y se auditó uno sin contrato visible (AUD-03), con fechas que invierten la secuencia de autorización (AUD-04).</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De calidad del repositorio</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Repository y Governance Log (Fase Preliminar)</w:t>
            </w:r>
          </w:p>
        </w:tc>
        <w:tc>
          <w:tcPr>
            <w:tcW w:type="dxa" w:w="4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propio Architecture Repository aprobado define seis secciones de gobierno documental; la coexistencia de plantillas sin tailorizar, carpetas fuera de convención y archivos duplicados (AUD-05) incumple ese estándar interno.</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Estratégico</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Principio AP01 / catálogo oficial de principios</w:t>
            </w:r>
          </w:p>
        </w:tc>
        <w:tc>
          <w:tcPr>
            <w:tcW w:type="dxa" w:w="4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Los principios son el instrumento de decisión de toda la arquitectura; un catálogo con conteos contradictorios y citas sin código (AUD-01) debilita cualquier evaluación de cumplimiento basada en ellos, incluida la del propio RIA-002.</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Académico / de entrega</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Entrega final del curso SI605U (15/07/2026)</w:t>
            </w:r>
          </w:p>
        </w:tc>
        <w:tc>
          <w:tcPr>
            <w:tcW w:type="dxa" w:w="4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auditoría recomienda expresamente una sesión de consolidación entre subgrupos antes de la entrega final; el presente CR-003 es el vehículo formal de esa recomendación.</w:t>
            </w:r>
          </w:p>
        </w:tc>
      </w:tr>
    </w:tbl>
    <w:p>
      <w:pPr>
        <w:spacing w:after="160"/>
      </w:pPr>
    </w:p>
    <w:p>
      <w:pPr>
        <w:pStyle w:val="Heading1"/>
        <w:spacing w:after="160" w:before="320"/>
      </w:pPr>
      <w:r>
        <w:rPr>
          <w:rFonts w:ascii="Calibri" w:cs="Calibri" w:eastAsia="Calibri" w:hAnsi="Calibri"/>
          <w:b/>
          <w:bCs/>
          <w:color w:val="1F3864"/>
          <w:sz w:val="28"/>
          <w:szCs w:val="28"/>
        </w:rPr>
        <w:t xml:space="preserve">5. Leyenda de Niveles de Impacto</w:t>
      </w:r>
    </w:p>
    <w:p>
      <w:pPr>
        <w:spacing w:after="120" w:before="0" w:line="276"/>
      </w:pPr>
      <w:r>
        <w:rPr>
          <w:rFonts w:ascii="Calibri" w:cs="Calibri" w:eastAsia="Calibri" w:hAnsi="Calibri"/>
          <w:b w:val="false"/>
          <w:bCs w:val="false"/>
          <w:i w:val="false"/>
          <w:iCs w:val="false"/>
          <w:sz w:val="21"/>
          <w:szCs w:val="21"/>
        </w:rPr>
        <w:t xml:space="preserve">El nivel de impacto determina el proceso de aprobación requerido y el tipo de Change Request que se generará. Se aplica a cada área o artefacto evaluado en la Sección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4100"/>
        <w:gridCol w:w="3676"/>
      </w:tblGrid>
      <w:tr>
        <w:trPr>
          <w:tblHeader/>
        </w:trPr>
        <w:tc>
          <w:tcPr>
            <w:tcW w:type="dxa" w:w="12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Nivel de Impacto</w:t>
            </w:r>
          </w:p>
        </w:tc>
        <w:tc>
          <w:tcPr>
            <w:tcW w:type="dxa" w:w="41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Criterio de Clasificación</w:t>
            </w:r>
          </w:p>
        </w:tc>
        <w:tc>
          <w:tcPr>
            <w:tcW w:type="dxa" w:w="36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Implicancia para el Proceso de Decisión</w:t>
            </w:r>
          </w:p>
        </w:tc>
      </w:tr>
      <w:tr>
        <w:tc>
          <w:tcPr>
            <w:tcW w:type="dxa" w:w="12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4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cambio afecta la visión estratégica, múltiples dominios o principios de arquitectura. Requiere revisión profunda del ciclo ADM.</w:t>
            </w:r>
          </w:p>
        </w:tc>
        <w:tc>
          <w:tcPr>
            <w:tcW w:type="dxa" w:w="36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Requiere decisión del Architecture Board + Patrocinador Ejecutivo. Puede necesitar nueva iteración del ciclo ADM (Tipo 3).</w:t>
            </w:r>
          </w:p>
        </w:tc>
      </w:tr>
      <w:tr>
        <w:tc>
          <w:tcPr>
            <w:tcW w:type="dxa" w:w="12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4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cambio afecta múltiples stakeholders o varios artefactos de arquitectura, pero no altera la visión estratégica.</w:t>
            </w:r>
          </w:p>
        </w:tc>
        <w:tc>
          <w:tcPr>
            <w:tcW w:type="dxa" w:w="36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Requiere decisión del Architecture Board. Puede gestionarse como Change Request Tipo 2 sin nueva iteración ADM completa.</w:t>
            </w:r>
          </w:p>
        </w:tc>
      </w:tr>
      <w:tr>
        <w:tc>
          <w:tcPr>
            <w:tcW w:type="dxa" w:w="12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Bajo</w:t>
            </w:r>
          </w:p>
        </w:tc>
        <w:tc>
          <w:tcPr>
            <w:tcW w:type="dxa" w:w="4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cambio afecta un único stakeholder o artefacto de forma acotada, sin alterar principios ni múltiples dominios.</w:t>
            </w:r>
          </w:p>
        </w:tc>
        <w:tc>
          <w:tcPr>
            <w:tcW w:type="dxa" w:w="36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Puede ser gestionado por el Arquitecto Empresarial como Change Request Tipo 1 (mantenimiento).</w:t>
            </w:r>
          </w:p>
        </w:tc>
      </w:tr>
      <w:tr>
        <w:tc>
          <w:tcPr>
            <w:tcW w:type="dxa" w:w="12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Sin Impacto</w:t>
            </w:r>
          </w:p>
        </w:tc>
        <w:tc>
          <w:tcPr>
            <w:tcW w:type="dxa" w:w="4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cambio no afecta este dominio, artefacto o fase.</w:t>
            </w:r>
          </w:p>
        </w:tc>
        <w:tc>
          <w:tcPr>
            <w:tcW w:type="dxa" w:w="36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se requiere acción en este dominio.</w:t>
            </w:r>
          </w:p>
        </w:tc>
      </w:tr>
    </w:tbl>
    <w:p>
      <w:pPr>
        <w:spacing w:after="160"/>
      </w:pPr>
    </w:p>
    <w:p>
      <w:pPr>
        <w:pStyle w:val="Heading1"/>
        <w:spacing w:after="160" w:before="320"/>
      </w:pPr>
      <w:r>
        <w:rPr>
          <w:rFonts w:ascii="Calibri" w:cs="Calibri" w:eastAsia="Calibri" w:hAnsi="Calibri"/>
          <w:b/>
          <w:bCs/>
          <w:color w:val="1F3864"/>
          <w:sz w:val="28"/>
          <w:szCs w:val="28"/>
        </w:rPr>
        <w:t xml:space="preserve">6. Matriz de Impacto sobre la Arquitectura</w:t>
      </w:r>
    </w:p>
    <w:p>
      <w:pPr>
        <w:spacing w:after="120" w:before="0" w:line="276"/>
      </w:pPr>
      <w:r>
        <w:rPr>
          <w:rFonts w:ascii="Calibri" w:cs="Calibri" w:eastAsia="Calibri" w:hAnsi="Calibri"/>
          <w:b w:val="false"/>
          <w:bCs w:val="false"/>
          <w:i w:val="false"/>
          <w:iCs w:val="false"/>
          <w:sz w:val="21"/>
          <w:szCs w:val="21"/>
        </w:rPr>
        <w:t xml:space="preserve">La siguiente matriz evalúa el impacto conjunto de la incorporación de RG-01 a RG-04 y del paquete de correcciones documentales sobre cada fase del ADM, los artefactos del repositorio y las dimensiones de esfuerzo y cronograma. A diferencia de RIA-002 —cuyo impacto se concentraba en los dominios técnicos—, el impacto de CR-003 se concentra en los artefactos de gobierno y en la documentación, sin modificar la arquitectura objetivo.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050"/>
        <w:gridCol w:w="1050"/>
        <w:gridCol w:w="4576"/>
      </w:tblGrid>
      <w:tr>
        <w:trPr>
          <w:tblHeader/>
        </w:trPr>
        <w:tc>
          <w:tcPr>
            <w:tcW w:type="dxa" w:w="23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Área / Fase / Artefacto Impactado</w:t>
            </w:r>
          </w:p>
        </w:tc>
        <w:tc>
          <w:tcPr>
            <w:tcW w:type="dxa" w:w="10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Nivel de Impacto</w:t>
            </w:r>
          </w:p>
        </w:tc>
        <w:tc>
          <w:tcPr>
            <w:tcW w:type="dxa" w:w="10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Urgencia</w:t>
            </w:r>
          </w:p>
        </w:tc>
        <w:tc>
          <w:tcPr>
            <w:tcW w:type="dxa" w:w="45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 del Impacto</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Preliminar — Principios de Arquitectura y tailoring</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catálogo de principios pasa de v0.1 a v1.0: se completan o se dan de baja formal DP02, DP03 y TP02, se añade el resumen con el total oficial (8) y se tailorizan los tres documentos con encabezado «Project XXX» (RfAW, Tailored Framework, Organizational Model).</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A — Architecture Vision</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Corrección puntual de la sección 6.2: la cita «catálogo de 15 principios» se reemplaza por la referencia al catálogo oficial v1.0 (8 principios, códigos BP/DP/AP/TP). El SoAW se ratifica como ancla de la línea de tiempo maestra (05/06/2026).</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B — Arquitectura de Negocio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se modifica su contenido: se ratifica como referente del alcance autorizado. Se añade una nota aclaratoria en la fila «Seguridad» del Gap Analysis (Tabla 10.1) precisando que refiere a seguridad de la información (ISO 27001 / Ley 29733), no a seguridad ciudadana.</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C — Arquitectura de Sistemas de Información</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Documento 01 se re-emite: encabezado tailorizado, secciones de Propósito y Alcance (ALC-01 a ALC-08) reconciliadas con el dominio autorizado por la Fase B, y sección de Cumplimiento reescrita citando los códigos oficiales del catálogo v1.0. La Hoja de Ruta (03) aclara que la «Brecha 4» del proyecto P-C05 no proviene del Gap Analysis de la Fase B.</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D — Arquitectura Tecnológica</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sección de Alcance se alinea al dominio autorizado (conservando las oportunidades de reutilización ya documentadas); se elimina la copia duplicada del documento en la raíz del repositorio y la carpeta «Face D» se renombra a «Fase_D».</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E — Arquitecturas de Transición</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Plan de Implementación y Migración se confirma como inventario canónico de Work Packages (WP-001 a WP-010). El hito H-001 (inicio de T1, julio 2026) se valida contra la línea de tiempo maestra y queda coherente tras la corrección de fechas de la Fase G.</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F — Architecture Contract AC-WP001</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contrato se re-emite como v1.1 contra el Work Package canónico correcto del inventario de la Fase E, con fecha coherente con la línea de tiempo maestra; la versión v1.0 se conserva en el Governance Log con su fe de erratas.</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G — Compliance Assessment CA-WP01</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evaluación de conformidad corrige la referencia de contrato (correspondencia 1:1 con el AC re-emitido) y sus fechas se reprograman según la línea de tiempo maestra (posteriores al contrato), preservando íntegros los hallazgos técnicos H-001 a H-008 ya gestionados.</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H — CR-001, CR-002 y RIA-002</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 actualizan las referencias de Work Package y las fechas heredadas de la Fase G en los documentos de cambio vigentes, sin alterar su contenido técnico ni las decisiones ya tomadas por el Architecture Board.</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Management (transversal)</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Architecture Requirements Specification incorpora la nueva serie RG-01 a RG-04 y pasa de v1.1 a v1.2; la matriz de trazabilidad de requisitos se regenera contra el catálogo de principios v1.0 y el inventario canónico de Work Packages.</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Repository / Governance Log</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 publica la línea de tiempo maestra v1.0, se registran las fe de erratas de fechas y las re-emisiones versionadas, y se documenta la iniciativa de seguridad ciudadana como iteración paralela/futura del programa.</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Principios de Arquitectura</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 diferencia de RIA-002 (impacto Bajo), este cambio interviene directamente el catálogo: renumeración, bajas formales y versionado v1.0. No se modifica el contenido de los 8 principios vigentes.</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Costos y Presupuesto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Esfuerzo interno de documentación y coordinación (≈ 55–62 horas-equipo, Opción A); sin adquisiciones ni impacto en el presupuesto de los Work Packages técnicos.</w:t>
            </w:r>
          </w:p>
        </w:tc>
      </w:tr>
      <w:tr>
        <w:tc>
          <w:tcPr>
            <w:tcW w:type="dxa" w:w="23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Cronograma y Entrega Final</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1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45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consolidación debe completarse entre el 07/07 y el 15/07/2026; no desplaza la entrega final si se ejecuta según el plan de la Sección 18, y no interfiere con la verificación técnica de H-005/H-002 (plazo 20/07/2026).</w:t>
            </w:r>
          </w:p>
        </w:tc>
      </w:tr>
    </w:tbl>
    <w:p>
      <w:pPr>
        <w:spacing w:after="80" w:before="160"/>
        <w:jc w:val="center"/>
      </w:pPr>
      <w:r>
        <w:drawing>
          <wp:inline distT="0" distB="0" distL="0" distR="0">
            <wp:extent cx="51206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108960"/>
                    </a:xfrm>
                    <a:prstGeom prst="rect">
                      <a:avLst/>
                    </a:prstGeom>
                  </pic:spPr>
                </pic:pic>
              </a:graphicData>
            </a:graphic>
          </wp:inline>
        </w:drawing>
      </w:r>
    </w:p>
    <w:p>
      <w:pPr>
        <w:spacing w:after="200"/>
        <w:jc w:val="center"/>
      </w:pPr>
      <w:r>
        <w:rPr>
          <w:rFonts w:ascii="Calibri" w:cs="Calibri" w:eastAsia="Calibri" w:hAnsi="Calibri"/>
          <w:i/>
          <w:iCs/>
          <w:color w:val="808080"/>
          <w:sz w:val="19"/>
          <w:szCs w:val="19"/>
        </w:rPr>
        <w:t xml:space="preserve">Figura 2. Representación visual de la Matriz de Impacto sobre la Arquitectura (Sección 6).</w:t>
      </w:r>
    </w:p>
    <w:p>
      <w:pPr>
        <w:pStyle w:val="Heading1"/>
        <w:spacing w:after="160" w:before="320"/>
      </w:pPr>
      <w:r>
        <w:rPr>
          <w:rFonts w:ascii="Calibri" w:cs="Calibri" w:eastAsia="Calibri" w:hAnsi="Calibri"/>
          <w:b/>
          <w:bCs/>
          <w:color w:val="1F3864"/>
          <w:sz w:val="28"/>
          <w:szCs w:val="28"/>
        </w:rPr>
        <w:t xml:space="preserve">7. Análisis de Conflictos con Requisitos y Principios Existentes</w:t>
      </w:r>
    </w:p>
    <w:p>
      <w:pPr>
        <w:spacing w:after="120" w:before="0" w:line="276"/>
      </w:pPr>
      <w:r>
        <w:rPr>
          <w:rFonts w:ascii="Calibri" w:cs="Calibri" w:eastAsia="Calibri" w:hAnsi="Calibri"/>
          <w:b w:val="false"/>
          <w:bCs w:val="false"/>
          <w:i w:val="false"/>
          <w:iCs w:val="false"/>
          <w:sz w:val="21"/>
          <w:szCs w:val="21"/>
        </w:rPr>
        <w:t xml:space="preserve">La consolidación no contradice ningún principio de arquitectura aprobado; por el contrario, restituye su autoridad. Sin embargo, genera tres puntos de tensión con decisiones, documentos emitidos e intereses de los subgrupos, que se documentan a continuación.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4026"/>
      </w:tblGrid>
      <w:tr>
        <w:trPr>
          <w:tblHeader/>
        </w:trPr>
        <w:tc>
          <w:tcPr>
            <w:tcW w:type="dxa" w:w="10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 Conflicto</w:t>
            </w:r>
          </w:p>
        </w:tc>
        <w:tc>
          <w:tcPr>
            <w:tcW w:type="dxa" w:w="2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Elementos en Conflicto</w:t>
            </w:r>
          </w:p>
        </w:tc>
        <w:tc>
          <w:tcPr>
            <w:tcW w:type="dxa" w:w="1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Tipo de Conflicto</w:t>
            </w:r>
          </w:p>
        </w:tc>
        <w:tc>
          <w:tcPr>
            <w:tcW w:type="dxa" w:w="40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Propuesta de Resolución</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CF-101</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RG-02 (alcance único autorizado) vs. trabajo ya desarrollado por el subgrupo C–D sobre seguridad ciudadana / Serenazgo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De prioridad  ☒ Funcional</w:t>
            </w:r>
          </w:p>
        </w:tc>
        <w:tc>
          <w:tcPr>
            <w:tcW w:type="dxa" w:w="4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descartar el trabajo: ratificar la decisión ya adoptada en AE-MML-RIA-001 y documentar formalmente la iniciativa de seguridad ciudadana como iteración paralela o futura del programa de AE, con sus entregables archivados en el Architecture Landscape del repositorio. El Documento 01 de la Fase C y el de la Fase D se re-emiten sobre el dominio autorizado.</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CF-102</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RG-04 (consistencia cronológica) vs. fechas ya registradas en documentos emitidos y aprobados (CA-WP01, 20–22/05/2026)</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De gobierno  ☒ Normativo</w:t>
            </w:r>
          </w:p>
        </w:tc>
        <w:tc>
          <w:tcPr>
            <w:tcW w:type="dxa" w:w="4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sobrescribir el historial: emitir fe de erratas versionadas en el Governance Log y re-emitir los documentos afectados con nueva versión y fecha coherente con la línea de tiempo maestra (Anexo B), conservando las versiones originales como registro. El SoAW (05/06/2026) se mantiene como ancla; solo se reprograman los hitos de gobierno posteriores.</w:t>
            </w:r>
          </w:p>
        </w:tc>
      </w:tr>
      <w:tr>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CF-103</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RG-03 (unicidad de Work Packages) vs. dos contenidos reales distintos bajo identificadores casi idénticos (WP-001 «Seguridad» contratado en F; WP-01 «Servicios Digitales» auditado en G)</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Funcional  ☒ De prioridad</w:t>
            </w:r>
          </w:p>
        </w:tc>
        <w:tc>
          <w:tcPr>
            <w:tcW w:type="dxa" w:w="4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Adoptar el inventario de la Fase E como catálogo canónico (WP-001 a WP-010): el «WP-01 — Servicios Digitales» de la Fase G se re-mapea al/los Work Package(s) canónico(s) que efectivamente agrupa; el contrato AC-WP001 se re-emite contra ese Work Package para restituir la correspondencia 1:1, y el paquete «Repositorio Metropolitano de Seguridad» sigue la misma vía que la iniciativa de Serenazgo (CF-101): fuera del alcance vigente, documentado como iniciativa futura. La decisión fina de mapeo se toma en la sesión de consolidación (07/07/2026) con la PMO.</w:t>
            </w:r>
          </w:p>
        </w:tc>
      </w:tr>
    </w:tbl>
    <w:p>
      <w:pPr>
        <w:spacing w:after="160"/>
      </w:pPr>
    </w:p>
    <w:p>
      <w:pPr>
        <w:pStyle w:val="Heading1"/>
        <w:spacing w:after="160" w:before="320"/>
      </w:pPr>
      <w:r>
        <w:rPr>
          <w:rFonts w:ascii="Calibri" w:cs="Calibri" w:eastAsia="Calibri" w:hAnsi="Calibri"/>
          <w:b/>
          <w:bCs/>
          <w:color w:val="1F3864"/>
          <w:sz w:val="28"/>
          <w:szCs w:val="28"/>
        </w:rPr>
        <w:t xml:space="preserve">8. Evaluación de Opciones de Respuesta</w:t>
      </w:r>
    </w:p>
    <w:p>
      <w:pPr>
        <w:spacing w:after="120" w:before="0" w:line="276"/>
      </w:pPr>
      <w:r>
        <w:rPr>
          <w:rFonts w:ascii="Calibri" w:cs="Calibri" w:eastAsia="Calibri" w:hAnsi="Calibri"/>
          <w:b w:val="false"/>
          <w:bCs w:val="false"/>
          <w:i w:val="false"/>
          <w:iCs w:val="false"/>
          <w:sz w:val="21"/>
          <w:szCs w:val="21"/>
        </w:rPr>
        <w:t xml:space="preserve">Se evaluaron tres opciones para gestionar el cierre de los hallazgos AUD-01 a AUD-05 mediante la incorporación de los requisitos RG-01 a RG-04 y las correcciones documentales asociadas.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400"/>
        <w:gridCol w:w="1900"/>
        <w:gridCol w:w="1900"/>
        <w:gridCol w:w="946"/>
      </w:tblGrid>
      <w:tr>
        <w:trPr>
          <w:tblHeader/>
        </w:trPr>
        <w:tc>
          <w:tcPr>
            <w:tcW w:type="dxa" w:w="48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w:t>
            </w:r>
          </w:p>
        </w:tc>
        <w:tc>
          <w:tcPr>
            <w:tcW w:type="dxa" w:w="1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Opción</w:t>
            </w:r>
          </w:p>
        </w:tc>
        <w:tc>
          <w:tcPr>
            <w:tcW w:type="dxa" w:w="2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w:t>
            </w:r>
          </w:p>
        </w:tc>
        <w:tc>
          <w:tcPr>
            <w:tcW w:type="dxa" w:w="1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Beneficios</w:t>
            </w:r>
          </w:p>
        </w:tc>
        <w:tc>
          <w:tcPr>
            <w:tcW w:type="dxa" w:w="1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Riesgos / Costos</w:t>
            </w:r>
          </w:p>
        </w:tc>
        <w:tc>
          <w:tcPr>
            <w:tcW w:type="dxa" w:w="94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Viabilidad</w:t>
            </w:r>
          </w:p>
        </w:tc>
      </w:tr>
      <w:tr>
        <w:tc>
          <w:tcPr>
            <w:tcW w:type="dxa" w:w="48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Opción A — Consolidación integral antes de la entrega final</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Ejecutar la sesión de consolidación entre subgrupos (07/07/2026) y aplicar íntegramente RG-01 a RG-04: catálogo de principios v1.0, reconciliación del alcance, re-emisión del contrato y de la compliance review contra el inventario canónico, línea de tiempo maestra y limpieza del repositorio (AUD-05).</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Restaura la trazabilidad extremo a extremo; cierra los cinco hallazgos de forma permanente; la entrega final refleja un ciclo ADM coherente y auditable; los requisitos RG previenen la recurrencia en futuras iteraciones.</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Esfuerzo estimado de 55–62 horas-equipo en una semana; requiere disponibilidad simultánea de los tres subgrupos y decisión inmediata del Board sobre el alcance (ratificación de RIA-001).</w:t>
            </w:r>
          </w:p>
        </w:tc>
        <w:tc>
          <w:tcPr>
            <w:tcW w:type="dxa" w:w="94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Alta ☐ Media ☐ Baja</w:t>
            </w:r>
          </w:p>
        </w:tc>
      </w:tr>
      <w:tr>
        <w:tc>
          <w:tcPr>
            <w:tcW w:type="dxa" w:w="48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Opción B — Corrección mínima del ciclo de gobierno</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Corregir únicamente lo que rompe el gobierno F–G–H: reconciliación de Work Packages (AUD-03) y de fechas (AUD-04), más una fe de erratas de la cita «15 principios» de la Fase A. La contradicción de alcance B↔C/D y el tailoring pendiente se documentan solo como advertencias en el Governance Log.</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Menor esfuerzo (≈ 20 horas-equipo); restituye la cadena Contrato → Conformidad → Cambio, que es la ruptura más grave; no exige re-emitir los documentos de las Fases C y D.</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entrega final conserva dos entregables de la misma fase describiendo negocios distintos y cinco documentos sin tailorizar; los hallazgos AUD-01, AUD-02 y AUD-05 quedan abiertos y visibles para la evaluación del curso.</w:t>
            </w:r>
          </w:p>
        </w:tc>
        <w:tc>
          <w:tcPr>
            <w:tcW w:type="dxa" w:w="94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Alta ☒ Media ☐ Baja</w:t>
            </w:r>
          </w:p>
        </w:tc>
      </w:tr>
      <w:tr>
        <w:tc>
          <w:tcPr>
            <w:tcW w:type="dxa" w:w="48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3</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Opción C — No implementar el cambio</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Entregar el repositorio tal como está, adjuntando la auditoría como anexo informativo, sin incorporar los requisitos RG ni ejecutar correcciones.</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Sin esfuerzo adicional ni coordinación entre subgrupos.</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Incumple el propósito del Requirements Management y de la Fase H; la entrega final documenta —sin corregir— una arquitectura con trazabilidad rota, contratos sin auditoría y fechas incoherentes, con impacto directo en la evaluación del proyecto.</w:t>
            </w:r>
          </w:p>
        </w:tc>
        <w:tc>
          <w:tcPr>
            <w:tcW w:type="dxa" w:w="94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Alta ☐ Media ☒ Baja</w:t>
            </w:r>
          </w:p>
        </w:tc>
      </w:tr>
    </w:tbl>
    <w:p>
      <w:pPr>
        <w:spacing w:after="160"/>
      </w:pPr>
    </w:p>
    <w:p>
      <w:pPr>
        <w:pStyle w:val="Heading1"/>
        <w:spacing w:after="160" w:before="320"/>
      </w:pPr>
      <w:r>
        <w:rPr>
          <w:rFonts w:ascii="Calibri" w:cs="Calibri" w:eastAsia="Calibri" w:hAnsi="Calibri"/>
          <w:b/>
          <w:bCs/>
          <w:color w:val="1F3864"/>
          <w:sz w:val="28"/>
          <w:szCs w:val="28"/>
        </w:rPr>
        <w:t xml:space="preserve">9. Impacto Estimado en Esfuerzo y Cronograma</w:t>
      </w:r>
    </w:p>
    <w:p>
      <w:pPr>
        <w:spacing w:after="120" w:before="0" w:line="276"/>
      </w:pPr>
      <w:r>
        <w:rPr>
          <w:rFonts w:ascii="Calibri" w:cs="Calibri" w:eastAsia="Calibri" w:hAnsi="Calibri"/>
          <w:b w:val="false"/>
          <w:bCs w:val="false"/>
          <w:i w:val="false"/>
          <w:iCs w:val="false"/>
          <w:sz w:val="21"/>
          <w:szCs w:val="21"/>
        </w:rPr>
        <w:t xml:space="preserve">Al tratarse de una consolidación documental y de gobierno, el impacto se expresa en horas-equipo (esfuerzo interno del Grupo 3); no se requieren adquisiciones de software, infraestructura ni presupuesto adicional de los Work Packages técnicos. Las estimaciones se refinarán en la sesión de consolidación.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1450"/>
        <w:gridCol w:w="1450"/>
        <w:gridCol w:w="3076"/>
      </w:tblGrid>
      <w:tr>
        <w:trPr>
          <w:tblHeader/>
        </w:trPr>
        <w:tc>
          <w:tcPr>
            <w:tcW w:type="dxa" w:w="30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Categoría de Impacto</w:t>
            </w:r>
          </w:p>
        </w:tc>
        <w:tc>
          <w:tcPr>
            <w:tcW w:type="dxa" w:w="1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Estimación (Opción A)</w:t>
            </w:r>
          </w:p>
        </w:tc>
        <w:tc>
          <w:tcPr>
            <w:tcW w:type="dxa" w:w="1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Estimación (Opción B)</w:t>
            </w:r>
          </w:p>
        </w:tc>
        <w:tc>
          <w:tcPr>
            <w:tcW w:type="dxa" w:w="30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Observaciones</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Sesión de consolidación entre subgrupos (07/07/2026)</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12 h (3 h × 4 representantes)</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6 h</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Decisiones de alcance, mapeo canónico de Work Packages y asignación de correcciones; acta registrada en el Governance Log.</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Catálogo de principios v1.0 y corrección de la Fase A (§6.2)</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8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 h (solo fe de erratas)</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Renumeración, bajas formales de DP02/DP03/TP02, resumen de totales y actualización de citas.</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Re-emisión de los documentos 01 de las Fases C y D (alcance y principios)</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16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 h (diferido)</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Reconciliación con el dominio autorizado; archivo del contenido de Serenazgo como iteración futura.</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Reconciliación de Work Packages: AC-WP001 v1.1 y CA-WP01 corregida</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10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8 h</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Re-mapeo contra el inventario canónico de la Fase E; correspondencia 1:1 Contrato → Compliance Review.</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Línea de tiempo maestra v1.0 y fe de erratas de fechas</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6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4 h</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Publicación en el Governance Log; actualización de referencias en CR-001, CR-002 y RIA-002.</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Tailoring y limpieza del repositorio (AUD-05)</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4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 h (diferido)</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Cinco encabezados «Project XXX», carpeta «Face D» → «Fase_D», eliminación del duplicado de la Fase D.</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Verificación cruzada final y checklist de consolidación</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8 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3 h</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Revisión par entre subgrupos con el checklist del Anexo B antes de la entrega.</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Impacto en cronograma</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Sin retraso: 07/07 – 15/07/2026</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Sin retraso: 07/07 – 10/07/2026</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En ambas opciones la entrega final (15/07/2026) y la verificación técnica de H-005/H-002 (20/07/2026) se mantienen.</w:t>
            </w:r>
          </w:p>
        </w:tc>
      </w:tr>
      <w:tr>
        <w:tc>
          <w:tcPr>
            <w:tcW w:type="dxa" w:w="30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TOTAL ESTIMADO</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55 – 62 horas-equipo</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20 – 23 horas-equipo</w:t>
            </w:r>
          </w:p>
        </w:tc>
        <w:tc>
          <w:tcPr>
            <w:tcW w:type="dxa" w:w="30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Esfuerzo absorbible por el equipo dentro de la semana previa a la entrega final; costo monetario: S/ 0 en adquisiciones.</w:t>
            </w:r>
          </w:p>
        </w:tc>
      </w:tr>
    </w:tbl>
    <w:p>
      <w:pPr>
        <w:spacing w:after="160"/>
      </w:pPr>
    </w:p>
    <w:p>
      <w:pPr>
        <w:pStyle w:val="Heading1"/>
        <w:spacing w:after="160" w:before="320"/>
      </w:pPr>
      <w:r>
        <w:rPr>
          <w:rFonts w:ascii="Calibri" w:cs="Calibri" w:eastAsia="Calibri" w:hAnsi="Calibri"/>
          <w:b/>
          <w:bCs/>
          <w:color w:val="1F3864"/>
          <w:sz w:val="28"/>
          <w:szCs w:val="28"/>
        </w:rPr>
        <w:t xml:space="preserve">10. Clasificación del Change Request y Punto de Reentrada al ADM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526"/>
      </w:tblGrid>
      <w:tr>
        <w:trPr>
          <w:tblHeader/>
        </w:trPr>
        <w:tc>
          <w:tcPr>
            <w:tcW w:type="dxa" w:w="1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Tipo de Change Request</w:t>
            </w:r>
          </w:p>
        </w:tc>
        <w:tc>
          <w:tcPr>
            <w:tcW w:type="dxa" w:w="26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Criterio de Clasificación</w:t>
            </w:r>
          </w:p>
        </w:tc>
        <w:tc>
          <w:tcPr>
            <w:tcW w:type="dxa" w:w="2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Punto de Reentrada al ADM</w:t>
            </w:r>
          </w:p>
        </w:tc>
        <w:tc>
          <w:tcPr>
            <w:tcW w:type="dxa" w:w="25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Proceso Requerido</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Tipo 1 — Mantenimiento</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Bajo impacto, un stakeholder, no afecta principios ni visión</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No requiere reentrada al ADM</w:t>
            </w:r>
          </w:p>
        </w:tc>
        <w:tc>
          <w:tcPr>
            <w:tcW w:type="dxa" w:w="2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Actualización directa del Architecture Repository. Gestionado por el Arquitecto Empresarial.</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Tipo 2 — Mejora</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Impacto medio, múltiples stakeholders, no altera la visión estratégica</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Reentrada parcial: puede ingresar en la fase más relevante sin reiniciar desde A</w:t>
            </w:r>
          </w:p>
        </w:tc>
        <w:tc>
          <w:tcPr>
            <w:tcW w:type="dxa" w:w="2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Aprobación del Architecture Board. Actualización de artefactos afectados.</w:t>
            </w:r>
          </w:p>
        </w:tc>
      </w:tr>
      <w:tr>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Tipo 3 — Rediseño</w:t>
            </w:r>
          </w:p>
        </w:tc>
        <w:tc>
          <w:tcPr>
            <w:tcW w:type="dxa" w:w="26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 impacto estratégico, afecta principios, múltiples dominios o la visión</w:t>
            </w:r>
          </w:p>
        </w:tc>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Nueva iteración completa del ADM, comenzando desde la Fase A o B según el alcance</w:t>
            </w:r>
          </w:p>
        </w:tc>
        <w:tc>
          <w:tcPr>
            <w:tcW w:type="dxa" w:w="25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Aprobación del Architecture Board + Patrocinador Ejecutivo. Nuevo ciclo ADM completo.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Clasificación Propuesta: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Tipo 1 — Mantenimiento  ☒ Tipo 2 — Mejora  ☐ Tipo 3 — Rediseño / Nueva iteración ADM</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Nivel de Impacto Global:</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Alto  ☒ Medio  ☐ Bajo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Reentrada Recomendada al ADM:</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Sin reentrada  ☒ Reentrada parcial vía Requirements Management (transversal), con correcciones acotadas en las Fases Preliminar, A, C, D, F y G  ☐ Nueva iteración completa del ADM</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Justificación de la Clasificación: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El cambio afecta a múltiples stakeholders y artefactos (catálogo de principios, ARS, Architecture Contract, Compliance Assessment, Governance Log), pero no modifica la arquitectura objetivo, los procesos de negocio aprobados en la Fase B ni el contenido de ningún principio vigente: restituye la consistencia de lo ya decidido. Por criterio del Modelo de Gobierno de Implementación, corresponde a un Change Request Tipo 2, gestionado por el proceso transversal de Requirements Management, con re-emisión versionada de los artefactos afectados y sin reiniciar el ciclo ADM. Salvaguarda: si el Architecture Board decidiera adoptar seguridad ciudadana / Serenazgo como nuevo dominio prioritario —en lugar de ratificar la decisión de AE-MML-RIA-001—, el presente CR escalaría a Tipo 3 y exigiría una nueva iteración del ADM desde la Fase A.</w:t>
            </w:r>
          </w:p>
        </w:tc>
      </w:tr>
    </w:tbl>
    <w:p>
      <w:pPr>
        <w:spacing w:after="160"/>
      </w:pPr>
    </w:p>
    <w:p>
      <w:pPr>
        <w:pStyle w:val="Heading1"/>
        <w:spacing w:after="160" w:before="320"/>
      </w:pPr>
      <w:r>
        <w:rPr>
          <w:rFonts w:ascii="Calibri" w:cs="Calibri" w:eastAsia="Calibri" w:hAnsi="Calibri"/>
          <w:b/>
          <w:bCs/>
          <w:color w:val="1F3864"/>
          <w:sz w:val="28"/>
          <w:szCs w:val="28"/>
        </w:rPr>
        <w:t xml:space="preserve">11. Artefactos del Architecture Repository a Actualizar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3300"/>
        <w:gridCol w:w="1650"/>
        <w:gridCol w:w="1326"/>
      </w:tblGrid>
      <w:tr>
        <w:trPr>
          <w:tblHeader/>
        </w:trPr>
        <w:tc>
          <w:tcPr>
            <w:tcW w:type="dxa" w:w="27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Artefacto a Actualizar</w:t>
            </w:r>
          </w:p>
        </w:tc>
        <w:tc>
          <w:tcPr>
            <w:tcW w:type="dxa" w:w="33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Tipo de Actualización Requerida</w:t>
            </w:r>
          </w:p>
        </w:tc>
        <w:tc>
          <w:tcPr>
            <w:tcW w:type="dxa" w:w="16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Responsable</w:t>
            </w:r>
          </w:p>
        </w:tc>
        <w:tc>
          <w:tcPr>
            <w:tcW w:type="dxa" w:w="13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Plazo Estimado</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Principles (Fase Preliminar)</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Emitir v1.0: completar o dar de baja formal DP02, DP03 y TP02; añadir «Summary of Principles» con el total oficial (8); registrar la decisión en el Governance Log (RG-01)</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 + subgrupo Preliminar</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08/07/2026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Request for Architecture Work · Tailored Architecture Framework · Organizational Model for EA (Fase Preliminar)</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Tailorizar los encabezados «Project XXX» al proyecto «Aplicación de TOGAF a la Municipalidad Metropolitana de Lima» (AUD-05)</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Preliminar</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08/07/2026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Vision (Fase A), sección 6.2</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Reemplazar la cita «catálogo de 15 principios» por la referencia al catálogo oficial v1.0 (8 principios, códigos BP/DP/AP/TP)</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A–B</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09/07/2026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Documento de Definición de Arquitectura — Fase C (doc. 01)</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Re-emitir con encabezado tailorizado, alcance reconciliado con la Fase B (RG-02) y sección de Cumplimiento citando códigos oficiales del catálogo v1.0 (RG-01)</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C–D</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11/07/2026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Hoja de Ruta de Arquitectura — Fase C (doc. 03)</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Añadir nota aclaratoria al proyecto P-C05: la «Brecha 4» no proviene del Gap Analysis de la Fase B (cuya fila «Seguridad» refiere a ciberseguridad)</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C–D</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11/07/2026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Documento de Definición de Arquitectura — Fase D</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Alinear la sección de Alcance al dominio autorizado; eliminar la copia duplicada en la raíz; renombrar la carpeta «Face D» → «Fase_D» (AUD-05)</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C–D</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10/07/2026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Contract AC-WP001 (Fase F)</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Re-emitir como v1.1 contra el Work Package canónico del inventario de la Fase E, con fecha coherente con la línea de tiempo maestra (RG-03, RG-04)</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F–G–H</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12/07/2026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Compliance Assessment CA-WP01 (Fase G)</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Corregir la referencia de contrato (correspondencia 1:1) y reprogramar fechas según la línea de tiempo maestra, preservando los hallazgos H-001 a H-008</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Fases F–G–H</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12/07/2026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CR-001, CR-002 y RIA-002 (Fase H)</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Actualizar referencias de Work Package y fechas heredadas de la Fase G, sin alterar decisiones ni contenido técnico</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13/07/2026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Requirements Specification</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Incorporar la serie RG-01 a RG-04 y emitir la versión v1.2 del baseline de requisitos</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13/07/2026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Governance Log + línea de tiempo maestra del programa</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Publicar la línea de tiempo maestra v1.0 (Anexo B); registrar fe de erratas, re-emisiones versionadas y la iniciativa de seguridad ciudadana como iteración paralela/futura</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 + PMO</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13/07/2026</w:t>
            </w:r>
          </w:p>
        </w:tc>
      </w:tr>
      <w:tr>
        <w:tc>
          <w:tcPr>
            <w:tcW w:type="dxa" w:w="27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Matriz de trazabilidad de requisitos (Requirements Management)</w:t>
            </w:r>
          </w:p>
        </w:tc>
        <w:tc>
          <w:tcPr>
            <w:tcW w:type="dxa" w:w="3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Regenerar contra el catálogo de principios v1.0 y el inventario canónico de Work Packages; verificación cruzada final con el checklist de consolidación</w:t>
            </w:r>
          </w:p>
        </w:tc>
        <w:tc>
          <w:tcPr>
            <w:tcW w:type="dxa" w:w="16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Todos los subgrupos</w:t>
            </w:r>
          </w:p>
        </w:tc>
        <w:tc>
          <w:tcPr>
            <w:tcW w:type="dxa" w:w="1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15/07/2026</w:t>
            </w:r>
          </w:p>
        </w:tc>
      </w:tr>
    </w:tbl>
    <w:p>
      <w:pPr>
        <w:spacing w:after="160"/>
      </w:pPr>
    </w:p>
    <w:p>
      <w:pPr>
        <w:pStyle w:val="Heading1"/>
        <w:spacing w:after="160" w:before="320"/>
      </w:pPr>
      <w:r>
        <w:rPr>
          <w:rFonts w:ascii="Calibri" w:cs="Calibri" w:eastAsia="Calibri" w:hAnsi="Calibri"/>
          <w:b/>
          <w:bCs/>
          <w:color w:val="1F3864"/>
          <w:sz w:val="28"/>
          <w:szCs w:val="28"/>
        </w:rPr>
        <w:t xml:space="preserve">12. Trazabilidad del Cambio: Extremo a Extremo</w:t>
      </w:r>
    </w:p>
    <w:p>
      <w:pPr>
        <w:spacing w:after="120" w:before="0" w:line="276"/>
      </w:pPr>
      <w:r>
        <w:rPr>
          <w:rFonts w:ascii="Calibri" w:cs="Calibri" w:eastAsia="Calibri" w:hAnsi="Calibri"/>
          <w:b w:val="false"/>
          <w:bCs w:val="false"/>
          <w:i w:val="false"/>
          <w:iCs w:val="false"/>
          <w:sz w:val="21"/>
          <w:szCs w:val="21"/>
        </w:rPr>
        <w:t xml:space="preserve">La siguiente tabla documenta la cadena de trazabilidad del cambio desde los hallazgos de la auditoría hasta los artefactos actualizados y el nuevo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50"/>
        <w:gridCol w:w="1450"/>
        <w:gridCol w:w="1450"/>
        <w:gridCol w:w="2276"/>
      </w:tblGrid>
      <w:tr>
        <w:trPr>
          <w:tblHeader/>
        </w:trPr>
        <w:tc>
          <w:tcPr>
            <w:tcW w:type="dxa" w:w="1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Nivel</w:t>
            </w:r>
          </w:p>
        </w:tc>
        <w:tc>
          <w:tcPr>
            <w:tcW w:type="dxa" w:w="2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Elemento</w:t>
            </w:r>
          </w:p>
        </w:tc>
        <w:tc>
          <w:tcPr>
            <w:tcW w:type="dxa" w:w="1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w:t>
            </w:r>
          </w:p>
        </w:tc>
        <w:tc>
          <w:tcPr>
            <w:tcW w:type="dxa" w:w="14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Estado Post-cambio</w:t>
            </w:r>
          </w:p>
        </w:tc>
        <w:tc>
          <w:tcPr>
            <w:tcW w:type="dxa" w:w="22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Observación de Trazabilidad</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Hallazgo de origen</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Auditoría de Consistencia y Alineamiento TOGAF — MML (02/07/2026)</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AUD-01 … AUD-05</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Gestionado vía CR-003</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Cada hallazgo queda mapeado a un requisito RG o a una acción de mantenimiento de la Sección 11.</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Driver</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Management transversal del ADM (TOGAF 9.2) + ciclo de gobierno F–G–H</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DRV-02</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Formalizado</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 incorpora como driver explícito de la serie RG en la ARS.</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Objetivo de Arquitectura</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Integridad y trazabilidad del Architecture Repository durante todo el ciclo ADM</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OBJ-07 (nuevo)</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Incorporado</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 añade como objetivo de gobierno, complementario a OBJ-01 … OBJ-06.</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Requisitos (nuevos)</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Catálogo único de principios; control de alcance; unicidad de Work Packages; consistencia cronológica</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RG-01 … RG-04</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Nueva versión baseline</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 incorporan a la Architecture Requirements Specification v1.2.</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Artefactos afectados</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Principios v1.0 · Vision §6.2 · docs. 01 de C y D · AC-WP001 v1.1 · CA-WP01 corregida · CR-001/002 · RIA-002</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 Sección 11</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 re-emitir / corregir</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Toda re-emisión queda versionada y registrada en el Governance Log (sin sobrescritura del historial).</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de reentrada</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Management (transversal) con correcciones acotadas en Preliminar, A, C, D, F y G</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Autorizada</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Sin nueva iteración del ADM; ver salvaguarda de la Sección 10.</w:t>
            </w:r>
          </w:p>
        </w:tc>
      </w:tr>
      <w:tr>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Baseline / Gobierno</w:t>
            </w:r>
          </w:p>
        </w:tc>
        <w:tc>
          <w:tcPr>
            <w:tcW w:type="dxa" w:w="2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Requirements Specification + Governance Log + línea de tiempo maestra</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ARS v1.2 · LTM v1.0</w:t>
            </w:r>
          </w:p>
        </w:tc>
        <w:tc>
          <w:tcPr>
            <w:tcW w:type="dxa" w:w="14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 publicar</w:t>
            </w:r>
          </w:p>
        </w:tc>
        <w:tc>
          <w:tcPr>
            <w:tcW w:type="dxa" w:w="22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Cierre del ciclo: baseline v1.2 aprobado y línea de tiempo maestra publicada antes de la entrega final.</w:t>
            </w:r>
          </w:p>
        </w:tc>
      </w:tr>
    </w:tbl>
    <w:p>
      <w:pPr>
        <w:spacing w:after="80" w:before="160"/>
        <w:jc w:val="center"/>
      </w:pPr>
      <w:r>
        <w:drawing>
          <wp:inline distT="0" distB="0" distL="0" distR="0">
            <wp:extent cx="6309360" cy="7132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9360" cy="713232"/>
                    </a:xfrm>
                    <a:prstGeom prst="rect">
                      <a:avLst/>
                    </a:prstGeom>
                  </pic:spPr>
                </pic:pic>
              </a:graphicData>
            </a:graphic>
          </wp:inline>
        </w:drawing>
      </w:r>
    </w:p>
    <w:p>
      <w:pPr>
        <w:spacing w:after="200"/>
        <w:jc w:val="center"/>
      </w:pPr>
      <w:r>
        <w:rPr>
          <w:rFonts w:ascii="Calibri" w:cs="Calibri" w:eastAsia="Calibri" w:hAnsi="Calibri"/>
          <w:i/>
          <w:iCs/>
          <w:color w:val="808080"/>
          <w:sz w:val="19"/>
          <w:szCs w:val="19"/>
        </w:rPr>
        <w:t xml:space="preserve">Figura 3. Cadena de trazabilidad extremo a extremo del cambio (hallazgo → driver → requisito → artefactos → reentrada → baseline).</w:t>
      </w:r>
    </w:p>
    <w:p>
      <w:pPr>
        <w:pStyle w:val="Heading1"/>
        <w:spacing w:after="160" w:before="320"/>
      </w:pPr>
      <w:r>
        <w:rPr>
          <w:rFonts w:ascii="Calibri" w:cs="Calibri" w:eastAsia="Calibri" w:hAnsi="Calibri"/>
          <w:b/>
          <w:bCs/>
          <w:color w:val="1F3864"/>
          <w:sz w:val="28"/>
          <w:szCs w:val="28"/>
        </w:rPr>
        <w:t xml:space="preserve">13. Análisis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3100"/>
        <w:gridCol w:w="950"/>
        <w:gridCol w:w="1000"/>
        <w:gridCol w:w="3126"/>
      </w:tblGrid>
      <w:tr>
        <w:trPr>
          <w:tblHeader/>
        </w:trPr>
        <w:tc>
          <w:tcPr>
            <w:tcW w:type="dxa" w:w="8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 Riesgo</w:t>
            </w:r>
          </w:p>
        </w:tc>
        <w:tc>
          <w:tcPr>
            <w:tcW w:type="dxa" w:w="31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Descripción del Riesgo</w:t>
            </w:r>
          </w:p>
        </w:tc>
        <w:tc>
          <w:tcPr>
            <w:tcW w:type="dxa" w:w="9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Prob.</w:t>
            </w:r>
          </w:p>
        </w:tc>
        <w:tc>
          <w:tcPr>
            <w:tcW w:type="dxa" w:w="10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Impacto</w:t>
            </w:r>
          </w:p>
        </w:tc>
        <w:tc>
          <w:tcPr>
            <w:tcW w:type="dxa" w:w="31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Plan de Mitigación</w:t>
            </w:r>
          </w:p>
        </w:tc>
      </w:tr>
      <w:tr>
        <w:tc>
          <w:tcPr>
            <w:tcW w:type="dxa" w:w="8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R-101</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Riesgo de implementar el cambio — indisponibilidad simultánea de los tres subgrupos para la sesión de consolidación del 07/07/2026, en plena semana previa a la entrega.</w:t>
            </w:r>
          </w:p>
        </w:tc>
        <w:tc>
          <w:tcPr>
            <w:tcW w:type="dxa" w:w="9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Convocatoria formal a través del Architecture Board (docente); sesión única de 3 horas con agenda cerrada y decisiones pre-analizadas en este RIA; trabajo posterior asíncrono con responsables y plazos de la Sección 11.</w:t>
            </w:r>
          </w:p>
        </w:tc>
      </w:tr>
      <w:tr>
        <w:tc>
          <w:tcPr>
            <w:tcW w:type="dxa" w:w="8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R-102</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Riesgo de gobierno — la re-emisión de documentos ya «aprobados» (contrato, compliance review) se perciba como reescritura del historial del proyecto.</w:t>
            </w:r>
          </w:p>
        </w:tc>
        <w:tc>
          <w:tcPr>
            <w:tcW w:type="dxa" w:w="9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Aplicar estrictamente RG-04: versionado formal (v1.1, v2.0), fe de erratas en el Governance Log y conservación de las versiones originales; ninguna corrección sobrescribe un documento emitido.</w:t>
            </w:r>
          </w:p>
        </w:tc>
      </w:tr>
      <w:tr>
        <w:tc>
          <w:tcPr>
            <w:tcW w:type="dxa" w:w="8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R-103</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Riesgo de alcance — la reconciliación B↔C/D reabra el debate sobre el dominio prioritario y consuma el tiempo disponible antes de la entrega final.</w:t>
            </w:r>
          </w:p>
        </w:tc>
        <w:tc>
          <w:tcPr>
            <w:tcW w:type="dxa" w:w="9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Media</w:t>
            </w:r>
          </w:p>
        </w:tc>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decisión ya existe (AE-MML-RIA-001): el Board la ratifica en la sesión, no la re-debate; el trabajo de Serenazgo se preserva íntegro como iteración paralela documentada, lo que reduce la resistencia del subgrupo C–D.</w:t>
            </w:r>
          </w:p>
        </w:tc>
      </w:tr>
      <w:tr>
        <w:tc>
          <w:tcPr>
            <w:tcW w:type="dxa" w:w="8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R-104</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Riesgo de calidad — las correcciones simultáneas en múltiples documentos introduzcan nuevas inconsistencias cruzadas.</w:t>
            </w:r>
          </w:p>
        </w:tc>
        <w:tc>
          <w:tcPr>
            <w:tcW w:type="dxa" w:w="9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Baja</w:t>
            </w:r>
          </w:p>
        </w:tc>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Medio</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Un único responsable de consolidación (Arquitecto Empresarial), checklist de verificación cruzada (Anexo B) y revisión par entre subgrupos el 15/07/2026 antes de la entrega.</w:t>
            </w:r>
          </w:p>
        </w:tc>
      </w:tr>
      <w:tr>
        <w:tc>
          <w:tcPr>
            <w:tcW w:type="dxa" w:w="8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R-105</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Riesgo de NO implementar el cambio — la entrega final documenta una arquitectura con trazabilidad rota, contratos sin auditoría y fechas incoherentes, ya identificados por la propia auditoría del equipo.</w:t>
            </w:r>
          </w:p>
        </w:tc>
        <w:tc>
          <w:tcPr>
            <w:tcW w:type="dxa" w:w="9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Alta</w:t>
            </w:r>
          </w:p>
        </w:tc>
        <w:tc>
          <w:tcPr>
            <w:tcW w:type="dxa" w:w="10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Alto</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Priorizar la Opción A; comunicar al Architecture Board que la Opción C deja abiertos los cinco hallazgos y contradice el propósito mismo de la Fase H y del Requirements Management.</w:t>
            </w:r>
          </w:p>
        </w:tc>
      </w:tr>
    </w:tbl>
    <w:p>
      <w:pPr>
        <w:spacing w:after="160"/>
      </w:pPr>
    </w:p>
    <w:p>
      <w:pPr>
        <w:pStyle w:val="Heading1"/>
        <w:spacing w:after="160" w:before="320"/>
      </w:pPr>
      <w:r>
        <w:rPr>
          <w:rFonts w:ascii="Calibri" w:cs="Calibri" w:eastAsia="Calibri" w:hAnsi="Calibri"/>
          <w:b/>
          <w:bCs/>
          <w:color w:val="1F3864"/>
          <w:sz w:val="28"/>
          <w:szCs w:val="28"/>
        </w:rPr>
        <w:t xml:space="preserve">14. Recomendación del Arquitecto Empresarial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Opción Recomendada: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Opción A — Consolidación integral antes de la entrega final  ☐ Opción B  ☐ Opción C  ☐ Otra opción</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Clasificación del Change Request:</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Tipo 1 — Mantenimiento  ☒ Tipo 2 — Mejora (aprobación del Architecture Board)  ☐ Tipo 3 — Rediseño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Punto de Reentrada al ADM:</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No requiere reentrada al ADM  ☒ Reentrada parcial vía Requirements Management, con correcciones acotadas en las Fases Preliminar, A, C, D, F y G  ☐ Nueva iteración completa del ADM</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Fundamento de la Recomendación: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La Opción A es la única que cierra los cinco hallazgos de la auditoría y restituye la trazabilidad extremo a extremo que el Requirements Management exige, con un esfuerzo acotado (55–62 horas-equipo, S/ 0 en adquisiciones) y sin desplazar la entrega final. La Opción B restituye el ciclo de gobierno F–G–H pero entrega el proyecto con una contradicción de alcance documentada y plantillas sin tailorizar; la Opción C contradice el propósito de la Fase H: el equipo detectaría formalmente sus propias desincronizaciones y decidiría no corregirlas.</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Condiciones de la Recomendación: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 Ratificación por el Architecture Board de la decisión de alcance de AE-MML-RIA-001 (dominio vigente: servicios y trámites al ciudadano; seguridad ciudadana como iteración paralela documentada). 2) Ejecución de la sesión de consolidación el 07/07/2026 con representantes de los tres subgrupos y la PMO. 3) Toda corrección de documentos emitidos se realiza mediante re-emisión versionada y fe de erratas en el Governance Log (RG-04), nunca por sobrescritura.</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Artefactos Prioritarios a Actualizar:</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 Architecture Principles v1.0 (RG-01). 2) Architecture Contract AC-WP001 v1.1 y Compliance Assessment CA-WP01 corregida (RG-03). 3) Línea de tiempo maestra v1.0 en el Governance Log (RG-04). 4) Documentos 01 de las Fases C y D reconciliados con el alcance autorizado (RG-02). 5) Architecture Requirements Specification v1.2.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Nombre del Evaluador:</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 04/07/2026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Firma: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________________________________</w:t>
            </w:r>
          </w:p>
        </w:tc>
      </w:tr>
    </w:tbl>
    <w:p>
      <w:pPr>
        <w:spacing w:after="160"/>
      </w:pPr>
    </w:p>
    <w:p>
      <w:pPr>
        <w:pStyle w:val="Heading1"/>
        <w:spacing w:after="160" w:before="320"/>
      </w:pPr>
      <w:r>
        <w:rPr>
          <w:rFonts w:ascii="Calibri" w:cs="Calibri" w:eastAsia="Calibri" w:hAnsi="Calibri"/>
          <w:b/>
          <w:bCs/>
          <w:color w:val="1F3864"/>
          <w:sz w:val="28"/>
          <w:szCs w:val="28"/>
        </w:rPr>
        <w:t xml:space="preserve">15. Decisión del Architecture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Decisión: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APROBADO  ☒ APROBADO CON MODIFICACIONES — Implementar la Opción A ratificando la decisión de alcance de AE-MML-RIA-001.  ☐ DIFERIDO  ☐ RECHAZADO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Opción Seleccionada: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Opción A  ☐ Opción B  ☐ Opción C  ☐ Otra</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Clasificación del CR:</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Tipo 1  ☒ Tipo 2  ☐ Tipo 3</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Punto de Reentrada al ADM:</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Sin reentrada  ☒ Requirements Management (transversal), con correcciones acotadas en las Fases Preliminar, A, C, D, F y G  ☐ Nueva iteración ADM completa</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Condiciones de la Decisión: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 El dominio de negocio vigente es el autorizado por la Fase B (servicios y trámites al ciudadano); la iniciativa de seguridad ciudadana / Serenazgo se documenta como iteración paralela/futura, preservando íntegros sus entregables en el Architecture Landscape. 2) Ninguna corrección sobrescribe documentos emitidos: solo re-emisiones versionadas con fe de erratas en el Governance Log. 3) La consolidación completa —incluida la verificación cruzada final— debe cerrarse a más tardar el 15/07/2026, sin afectar el plazo de verificación técnica de H-005 y H-002 (20/07/2026, RIA-002).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Plazo de Implementación: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15/07/2026 — fecha límite para la consolidación verificada del repositorio, previa a la entrega final del curso.</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Fecha de la Decisión: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Próxima Revisión de Seguimiento: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15/07/2026 — verificación cruzada final entre subgrupos con el checklist de consolidación (Anexo B), previa a la entrega final.</w:t>
            </w:r>
          </w:p>
        </w:tc>
      </w:tr>
    </w:tbl>
    <w:p>
      <w:pPr>
        <w:spacing w:after="160"/>
      </w:pPr>
    </w:p>
    <w:p>
      <w:pPr>
        <w:pStyle w:val="Heading1"/>
        <w:spacing w:after="160" w:before="320"/>
      </w:pPr>
      <w:r>
        <w:rPr>
          <w:rFonts w:ascii="Calibri" w:cs="Calibri" w:eastAsia="Calibri" w:hAnsi="Calibri"/>
          <w:b/>
          <w:bCs/>
          <w:color w:val="1F3864"/>
          <w:sz w:val="28"/>
          <w:szCs w:val="28"/>
        </w:rPr>
        <w:t xml:space="preserve">16. Firmas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300"/>
        <w:gridCol w:w="2326"/>
      </w:tblGrid>
      <w:tr>
        <w:trPr>
          <w:tblHeader/>
        </w:trPr>
        <w:tc>
          <w:tcPr>
            <w:tcW w:type="dxa" w:w="2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Nombre</w:t>
            </w:r>
          </w:p>
        </w:tc>
        <w:tc>
          <w:tcPr>
            <w:tcW w:type="dxa" w:w="2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Rol / Cargo</w:t>
            </w:r>
          </w:p>
        </w:tc>
        <w:tc>
          <w:tcPr>
            <w:tcW w:type="dxa" w:w="13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w:t>
            </w:r>
          </w:p>
        </w:tc>
        <w:tc>
          <w:tcPr>
            <w:tcW w:type="dxa" w:w="23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Firma</w:t>
            </w:r>
          </w:p>
        </w:tc>
      </w:tr>
      <w:tr>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 — Evaluador</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04/07/2026</w:t>
            </w:r>
          </w:p>
        </w:tc>
        <w:tc>
          <w:tcPr>
            <w:tcW w:type="dxa" w:w="2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w:r>
          </w:p>
        </w:tc>
      </w:tr>
      <w:tr>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Ing. Tobías Enrique Aliaga Vilchez</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Presidente del Architecture Board (Docente — SI605U)</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c>
          <w:tcPr>
            <w:tcW w:type="dxa" w:w="2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w:r>
          </w:p>
        </w:tc>
      </w:tr>
      <w:tr>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Gerencia de Tecnologías de la Información — MML</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Patrocinador Ejecutivo</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c>
          <w:tcPr>
            <w:tcW w:type="dxa" w:w="2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w:r>
          </w:p>
        </w:tc>
      </w:tr>
      <w:tr>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PMO del Programa de Transformación Digital — MML</w:t>
            </w:r>
          </w:p>
        </w:tc>
        <w:tc>
          <w:tcPr>
            <w:tcW w:type="dxa" w:w="2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Custodio del inventario de Work Packages</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c>
          <w:tcPr>
            <w:tcW w:type="dxa" w:w="23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w:r>
          </w:p>
        </w:tc>
      </w:tr>
    </w:tbl>
    <w:p>
      <w:pPr>
        <w:spacing w:after="160"/>
      </w:pPr>
    </w:p>
    <w:p>
      <w:pPr>
        <w:pStyle w:val="Heading1"/>
        <w:spacing w:after="160" w:before="320"/>
      </w:pPr>
      <w:r>
        <w:rPr>
          <w:rFonts w:ascii="Calibri" w:cs="Calibri" w:eastAsia="Calibri" w:hAnsi="Calibri"/>
          <w:b/>
          <w:bCs/>
          <w:color w:val="1F3864"/>
          <w:sz w:val="28"/>
          <w:szCs w:val="28"/>
        </w:rPr>
        <w:t xml:space="preserve">17. Actualización del Baseline de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500"/>
        <w:gridCol w:w="1400"/>
        <w:gridCol w:w="3026"/>
      </w:tblGrid>
      <w:tr>
        <w:trPr>
          <w:tblHeader/>
        </w:trPr>
        <w:tc>
          <w:tcPr>
            <w:tcW w:type="dxa" w:w="13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 Requisito</w:t>
            </w:r>
          </w:p>
        </w:tc>
        <w:tc>
          <w:tcPr>
            <w:tcW w:type="dxa" w:w="18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Cambio Aplicado</w:t>
            </w:r>
          </w:p>
        </w:tc>
        <w:tc>
          <w:tcPr>
            <w:tcW w:type="dxa" w:w="1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Versión Anterior</w:t>
            </w:r>
          </w:p>
        </w:tc>
        <w:tc>
          <w:tcPr>
            <w:tcW w:type="dxa" w:w="1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Nueva Versión</w:t>
            </w:r>
          </w:p>
        </w:tc>
        <w:tc>
          <w:tcPr>
            <w:tcW w:type="dxa" w:w="30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 de Actualización</w:t>
            </w:r>
          </w:p>
        </w:tc>
      </w:tr>
      <w:tr>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RG-01</w:t>
            </w:r>
          </w:p>
        </w:tc>
        <w:tc>
          <w:tcPr>
            <w:tcW w:type="dxa" w:w="1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Añadido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(nuevo)</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v1.0</w:t>
            </w:r>
          </w:p>
        </w:tc>
        <w:tc>
          <w:tcPr>
            <w:tcW w:type="dxa" w:w="3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r>
      <w:tr>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RG-02</w:t>
            </w:r>
          </w:p>
        </w:tc>
        <w:tc>
          <w:tcPr>
            <w:tcW w:type="dxa" w:w="1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Añadido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(nuevo)</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v1.0</w:t>
            </w:r>
          </w:p>
        </w:tc>
        <w:tc>
          <w:tcPr>
            <w:tcW w:type="dxa" w:w="3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r>
      <w:tr>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RG-03</w:t>
            </w:r>
          </w:p>
        </w:tc>
        <w:tc>
          <w:tcPr>
            <w:tcW w:type="dxa" w:w="1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Añadido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(nuevo)</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v1.0</w:t>
            </w:r>
          </w:p>
        </w:tc>
        <w:tc>
          <w:tcPr>
            <w:tcW w:type="dxa" w:w="3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r>
      <w:tr>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RG-04</w:t>
            </w:r>
          </w:p>
        </w:tc>
        <w:tc>
          <w:tcPr>
            <w:tcW w:type="dxa" w:w="1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Añadido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(nuevo)</w:t>
            </w:r>
          </w:p>
        </w:tc>
        <w:tc>
          <w:tcPr>
            <w:tcW w:type="dxa" w:w="1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v1.0</w:t>
            </w:r>
          </w:p>
        </w:tc>
        <w:tc>
          <w:tcPr>
            <w:tcW w:type="dxa" w:w="30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Nueva versión del baseline:</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Requirements Specification v1.2 — aprobada 06/07/2026 por el Architecture Board (sucede a la v1.1 emitida por RIA-002)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Change Request generado:</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CR-003 — Referencia al Change Request formal emitido, complementario a CR-001 y CR-002</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Responsable de la actualización:</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Ruiz Luna, Dair Aldrin — Arquitecto Empresarial — 06/07/2026</w:t>
            </w:r>
          </w:p>
        </w:tc>
      </w:tr>
      <w:tr>
        <w:tc>
          <w:tcPr>
            <w:tcW w:type="dxa" w:w="2650"/>
            <w:shd w:fill="EDF1F7"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sz w:val="21"/>
                <w:szCs w:val="21"/>
              </w:rPr>
              <w:t xml:space="preserve">Comunicado a:</w:t>
            </w:r>
          </w:p>
        </w:tc>
        <w:tc>
          <w:tcPr>
            <w:tcW w:type="dxa" w:w="63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Comité de Arquitectura Empresarial — MML; subgrupos de las Fases Preliminar–B, C–D y F–G–H; PMO del Programa de Transformación Digital; Gerencia de Tecnologías de la Información; Subgerencia de Serenazgo (estatus de la iniciativa de seguridad ciudadana)</w:t>
            </w:r>
          </w:p>
        </w:tc>
      </w:tr>
    </w:tbl>
    <w:p>
      <w:pPr>
        <w:spacing w:after="160"/>
      </w:pPr>
    </w:p>
    <w:p>
      <w:pPr>
        <w:pStyle w:val="Heading1"/>
        <w:spacing w:after="160" w:before="320"/>
      </w:pPr>
      <w:r>
        <w:rPr>
          <w:rFonts w:ascii="Calibri" w:cs="Calibri" w:eastAsia="Calibri" w:hAnsi="Calibri"/>
          <w:b/>
          <w:bCs/>
          <w:color w:val="1F3864"/>
          <w:sz w:val="28"/>
          <w:szCs w:val="28"/>
        </w:rPr>
        <w:t xml:space="preserve">18. Seguimiento Post-decisión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900"/>
        <w:gridCol w:w="1300"/>
        <w:gridCol w:w="1926"/>
      </w:tblGrid>
      <w:tr>
        <w:trPr>
          <w:tblHeader/>
        </w:trPr>
        <w:tc>
          <w:tcPr>
            <w:tcW w:type="dxa" w:w="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w:t>
            </w:r>
          </w:p>
        </w:tc>
        <w:tc>
          <w:tcPr>
            <w:tcW w:type="dxa" w:w="3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Actividad de Seguimiento</w:t>
            </w:r>
          </w:p>
        </w:tc>
        <w:tc>
          <w:tcPr>
            <w:tcW w:type="dxa" w:w="1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Responsable</w:t>
            </w:r>
          </w:p>
        </w:tc>
        <w:tc>
          <w:tcPr>
            <w:tcW w:type="dxa" w:w="13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 Límite</w:t>
            </w:r>
          </w:p>
        </w:tc>
        <w:tc>
          <w:tcPr>
            <w:tcW w:type="dxa" w:w="19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Estado</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Comunicación de la decisión a los tres subgrupos, la PMO y la GTI, con convocatoria a la sesión de consolidación</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Arquitecto Empresarial</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06/07/2026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Completado</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Sesión de consolidación entre subgrupos: ratificación del alcance, mapeo canónico de Work Packages y asignación de correcciones (acta en el Governance Log)</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Board + subgrupos + PMO</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07/07/2026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Pendiente</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3</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Emisión del catálogo de Principios v1.0, corrección de la Fase A y tailoring de la Fase Preliminar</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Subgrupos Preliminar y A–B</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09/07/2026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Pendiente</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4</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Re-emisión de los documentos 01 de las Fases C y D, limpieza del repositorio y nota de la Hoja de Ruta</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C–D</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11/07/2026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Pendiente</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5</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Re-emisión del AC-WP001 v1.1, corrección de la CA-WP01, actualización de CR-001/CR-002/RIA-002 y publicación de la línea de tiempo maestra v1.0</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Subgrupo F–G–H + Arquitecto Empresarial</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13/07/2026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Pendiente</w:t>
            </w:r>
          </w:p>
        </w:tc>
      </w:tr>
      <w:tr>
        <w:tc>
          <w:tcPr>
            <w:tcW w:type="dxa" w:w="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6</w:t>
            </w:r>
          </w:p>
        </w:tc>
        <w:tc>
          <w:tcPr>
            <w:tcW w:type="dxa" w:w="3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Verificación cruzada final con el checklist de consolidación (Anexo B) y cierre formal de la evaluación antes de la entrega</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Todos los subgrupos</w:t>
            </w:r>
          </w:p>
        </w:tc>
        <w:tc>
          <w:tcPr>
            <w:tcW w:type="dxa" w:w="13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15/07/2026</w:t>
            </w:r>
          </w:p>
        </w:tc>
        <w:tc>
          <w:tcPr>
            <w:tcW w:type="dxa" w:w="19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 Pendiente</w:t>
            </w:r>
          </w:p>
        </w:tc>
      </w:tr>
    </w:tbl>
    <w:p>
      <w:pPr>
        <w:spacing w:after="160"/>
      </w:pPr>
    </w:p>
    <w:p>
      <w:pPr>
        <w:pStyle w:val="Heading1"/>
        <w:spacing w:after="160" w:before="320"/>
      </w:pPr>
      <w:r>
        <w:rPr>
          <w:rFonts w:ascii="Calibri" w:cs="Calibri" w:eastAsia="Calibri" w:hAnsi="Calibri"/>
          <w:b/>
          <w:bCs/>
          <w:color w:val="1F3864"/>
          <w:sz w:val="28"/>
          <w:szCs w:val="28"/>
        </w:rPr>
        <w:t xml:space="preserve">19. Glosario de Términos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Término</w:t>
            </w:r>
          </w:p>
        </w:tc>
        <w:tc>
          <w:tcPr>
            <w:tcW w:type="dxa" w:w="66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Definición</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Impact Assessment</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Documento que evalúa el impacto de un cambio de requisito sobre la arquitectura existente, identificando los artefactos, fases y esfuerzos afectados, y recomendando una línea de acción.</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Change Request</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Solicitud formal de modificación a la arquitectura aprobada, originada por un cambio de requisito, un hallazgo operacional, una auditoría, una nueva regulación u otro factor de cambio.</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Auditoría de Consistencia</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Revisión transversal del Architecture Repository que compara los entregables de todas las fases entre sí y contra la metodología, para detectar desincronizaciones, contradicciones y rupturas de trazabilidad.</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Governance Log</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Registro de gobierno del Architecture Repository donde se documentan decisiones, actas, fe de erratas, dispensas y re-emisiones versionadas de los artefactos del programa.</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Fe de erratas</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Registro formal y versionado de la corrección de un dato (por ejemplo, una fecha o un identificador) en un documento ya emitido, que preserva la versión original en el historial en lugar de sobrescribirla.</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Línea de tiempo maestra</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Cronología única y publicada de los hitos del programa de arquitectura, contra la cual se valida la fecha de todo entregable antes de su aprobación (requisito RG-04).</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Inventario canónico de Work Packages</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Catálogo único de Work Packages (WP-001 a WP-010) definido en el Plan de Implementación y Migración de la Fase E, fuente exclusiva de identificadores para las Fases F, G y H (requisito RG-03).</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Tipo 2 — Mejora</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Change Request de impacto medio que afecta a múltiples stakeholders pero no requiere una nueva iteración completa del ciclo ADM. Aprobado por el Architecture Board.</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Requirements Baseline</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Versión aprobada y controlada del conjunto de requisitos de arquitectura, contra la cual se miden los cambios y se emiten los Requirements Impact Assessments.</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H — Architecture Change Management</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Fase del ADM que monitorea el entorno de la arquitectura, gestiona las solicitudes de cambio y decide cuándo se requiere una nueva iteración del ciclo ADM.</w:t>
            </w:r>
          </w:p>
        </w:tc>
      </w:tr>
      <w:tr>
        <w:tc>
          <w:tcPr>
            <w:tcW w:type="dxa" w:w="24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Tailoring</w:t>
            </w:r>
          </w:p>
        </w:tc>
        <w:tc>
          <w:tcPr>
            <w:tcW w:type="dxa" w:w="66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Adaptación de las plantillas y del marco TOGAF al contexto específico de la organización; su ausencia se evidencia en encabezados genéricos como «Project XXX / Client YYY».</w:t>
            </w:r>
          </w:p>
        </w:tc>
      </w:tr>
    </w:tbl>
    <w:p>
      <w:pPr>
        <w:spacing w:after="160"/>
      </w:pPr>
    </w:p>
    <w:p>
      <w:pPr>
        <w:pStyle w:val="Heading1"/>
        <w:spacing w:after="160" w:before="320"/>
      </w:pPr>
      <w:r>
        <w:rPr>
          <w:rFonts w:ascii="Calibri" w:cs="Calibri" w:eastAsia="Calibri" w:hAnsi="Calibri"/>
          <w:b/>
          <w:bCs/>
          <w:color w:val="1F3864"/>
          <w:sz w:val="28"/>
          <w:szCs w:val="28"/>
        </w:rPr>
        <w:t xml:space="preserve">20. Referencias</w:t>
      </w:r>
    </w:p>
    <w:p>
      <w:pPr>
        <w:spacing w:after="80" w:before="0" w:line="276"/>
      </w:pPr>
      <w:r>
        <w:rPr>
          <w:rFonts w:ascii="Calibri" w:cs="Calibri" w:eastAsia="Calibri" w:hAnsi="Calibri"/>
          <w:b w:val="false"/>
          <w:bCs w:val="false"/>
          <w:i w:val="false"/>
          <w:iCs w:val="false"/>
          <w:sz w:val="21"/>
          <w:szCs w:val="21"/>
        </w:rPr>
        <w:t xml:space="preserve">[1] Auditoría de Consistencia y Alineamiento TOGAF — Arquitectura Empresarial, Municipalidad Metropolitana de Lima (MML). Revisión fase por fase del repositorio del equipo contra el resumen metodológico del ciclo ADM, 02/07/2026. Fuente de los hallazgos AUD-01 a AUD-05.</w:t>
      </w:r>
    </w:p>
    <w:p>
      <w:pPr>
        <w:spacing w:after="80" w:before="0" w:line="276"/>
      </w:pPr>
      <w:r>
        <w:rPr>
          <w:rFonts w:ascii="Calibri" w:cs="Calibri" w:eastAsia="Calibri" w:hAnsi="Calibri"/>
          <w:b w:val="false"/>
          <w:bCs w:val="false"/>
          <w:i w:val="false"/>
          <w:iCs w:val="false"/>
          <w:sz w:val="21"/>
          <w:szCs w:val="21"/>
        </w:rPr>
        <w:t xml:space="preserve">[2] The Open Group. TOGAF® Standard, Version 9.2. Van Haren Publishing, 2018.</w:t>
      </w:r>
    </w:p>
    <w:p>
      <w:pPr>
        <w:spacing w:after="80" w:before="0" w:line="276"/>
      </w:pPr>
      <w:r>
        <w:rPr>
          <w:rFonts w:ascii="Calibri" w:cs="Calibri" w:eastAsia="Calibri" w:hAnsi="Calibri"/>
          <w:b w:val="false"/>
          <w:bCs w:val="false"/>
          <w:i w:val="false"/>
          <w:iCs w:val="false"/>
          <w:sz w:val="21"/>
          <w:szCs w:val="21"/>
        </w:rPr>
        <w:t xml:space="preserve">[3] TOGAF — Architecture Principles (Fase Preliminar) — Principios BP01, BP02, DP01, DP04, AP01, AP02, TP01, TP03; base del catálogo v1.0 (RG-01).</w:t>
      </w:r>
    </w:p>
    <w:p>
      <w:pPr>
        <w:spacing w:after="80" w:before="0" w:line="276"/>
      </w:pPr>
      <w:r>
        <w:rPr>
          <w:rFonts w:ascii="Calibri" w:cs="Calibri" w:eastAsia="Calibri" w:hAnsi="Calibri"/>
          <w:b w:val="false"/>
          <w:bCs w:val="false"/>
          <w:i w:val="false"/>
          <w:iCs w:val="false"/>
          <w:sz w:val="21"/>
          <w:szCs w:val="21"/>
        </w:rPr>
        <w:t xml:space="preserve">[4] Architecture Vision v0.1 (Fase A) — sección 6.2, «Principios de TI»; y Statement of Architecture Work (SoAW), firmado el 05/06/2026, ancla de la línea de tiempo maestra.</w:t>
      </w:r>
    </w:p>
    <w:p>
      <w:pPr>
        <w:spacing w:after="80" w:before="0" w:line="276"/>
      </w:pPr>
      <w:r>
        <w:rPr>
          <w:rFonts w:ascii="Calibri" w:cs="Calibri" w:eastAsia="Calibri" w:hAnsi="Calibri"/>
          <w:b w:val="false"/>
          <w:bCs w:val="false"/>
          <w:i w:val="false"/>
          <w:iCs w:val="false"/>
          <w:sz w:val="21"/>
          <w:szCs w:val="21"/>
        </w:rPr>
        <w:t xml:space="preserve">[5] Documento de Definición de Arquitectura, Especificación de Requisitos y Hoja de Ruta de Arquitectura — Fase C (docs. 01, 02 y 03).</w:t>
      </w:r>
    </w:p>
    <w:p>
      <w:pPr>
        <w:spacing w:after="80" w:before="0" w:line="276"/>
      </w:pPr>
      <w:r>
        <w:rPr>
          <w:rFonts w:ascii="Calibri" w:cs="Calibri" w:eastAsia="Calibri" w:hAnsi="Calibri"/>
          <w:b w:val="false"/>
          <w:bCs w:val="false"/>
          <w:i w:val="false"/>
          <w:iCs w:val="false"/>
          <w:sz w:val="21"/>
          <w:szCs w:val="21"/>
        </w:rPr>
        <w:t xml:space="preserve">[6] Documento de Definición de Arquitectura — Fase D (Documento_Definicion_Arquitectura_FaseD.docx).</w:t>
      </w:r>
    </w:p>
    <w:p>
      <w:pPr>
        <w:spacing w:after="80" w:before="0" w:line="276"/>
      </w:pPr>
      <w:r>
        <w:rPr>
          <w:rFonts w:ascii="Calibri" w:cs="Calibri" w:eastAsia="Calibri" w:hAnsi="Calibri"/>
          <w:b w:val="false"/>
          <w:bCs w:val="false"/>
          <w:i w:val="false"/>
          <w:iCs w:val="false"/>
          <w:sz w:val="21"/>
          <w:szCs w:val="21"/>
        </w:rPr>
        <w:t xml:space="preserve">[7] TOGAF_E_Implementacion_Migracion_MML.docx — Implementation and Migration Plan, Fase E; inventario canónico de Work Packages WP-001 a WP-010 e hito H-001.</w:t>
      </w:r>
    </w:p>
    <w:p>
      <w:pPr>
        <w:spacing w:after="80" w:before="0" w:line="276"/>
      </w:pPr>
      <w:r>
        <w:rPr>
          <w:rFonts w:ascii="Calibri" w:cs="Calibri" w:eastAsia="Calibri" w:hAnsi="Calibri"/>
          <w:b w:val="false"/>
          <w:bCs w:val="false"/>
          <w:i w:val="false"/>
          <w:iCs w:val="false"/>
          <w:sz w:val="21"/>
          <w:szCs w:val="21"/>
        </w:rPr>
        <w:t xml:space="preserve">[8] Architecture Contract AC-WP001-v1.0 (Fase F) y documento de Gobierno de Implementación (F-G).</w:t>
      </w:r>
    </w:p>
    <w:p>
      <w:pPr>
        <w:spacing w:after="80" w:before="0" w:line="276"/>
      </w:pPr>
      <w:r>
        <w:rPr>
          <w:rFonts w:ascii="Calibri" w:cs="Calibri" w:eastAsia="Calibri" w:hAnsi="Calibri"/>
          <w:b w:val="false"/>
          <w:bCs w:val="false"/>
          <w:i w:val="false"/>
          <w:iCs w:val="false"/>
          <w:sz w:val="21"/>
          <w:szCs w:val="21"/>
        </w:rPr>
        <w:t xml:space="preserve">[9] 07_Evaluacion_de_Conformidad_WP01_FaseG-1.docx — Compliance Assessment CA-WP01-v1.0 y Resolución del Architecture Board del 22/05/2026, hallazgos H-001 a H-008.</w:t>
      </w:r>
    </w:p>
    <w:p>
      <w:pPr>
        <w:spacing w:after="80" w:before="0" w:line="276"/>
      </w:pPr>
      <w:r>
        <w:rPr>
          <w:rFonts w:ascii="Calibri" w:cs="Calibri" w:eastAsia="Calibri" w:hAnsi="Calibri"/>
          <w:b w:val="false"/>
          <w:bCs w:val="false"/>
          <w:i w:val="false"/>
          <w:iCs w:val="false"/>
          <w:sz w:val="21"/>
          <w:szCs w:val="21"/>
        </w:rPr>
        <w:t xml:space="preserve">[10] 08_Catalogo_Solution_Building_Blocks_FaseG-1.docx — Catálogo de SBBs (SBB-CAT-MML-v0.1).</w:t>
      </w:r>
    </w:p>
    <w:p>
      <w:pPr>
        <w:spacing w:after="80" w:before="0" w:line="276"/>
      </w:pPr>
      <w:r>
        <w:rPr>
          <w:rFonts w:ascii="Calibri" w:cs="Calibri" w:eastAsia="Calibri" w:hAnsi="Calibri"/>
          <w:b w:val="false"/>
          <w:bCs w:val="false"/>
          <w:i w:val="false"/>
          <w:iCs w:val="false"/>
          <w:sz w:val="21"/>
          <w:szCs w:val="21"/>
        </w:rPr>
        <w:t xml:space="preserve">[11] AE-MML-RIA-001 — Evaluación de Impacto de Requisitos previa (desajuste de alcance Fase A vs. Fases B–C); antecedente directo de la decisión de alcance ratificada por el presente documento.</w:t>
      </w:r>
    </w:p>
    <w:p>
      <w:pPr>
        <w:spacing w:after="80" w:before="0" w:line="276"/>
      </w:pPr>
      <w:r>
        <w:rPr>
          <w:rFonts w:ascii="Calibri" w:cs="Calibri" w:eastAsia="Calibri" w:hAnsi="Calibri"/>
          <w:b w:val="false"/>
          <w:bCs w:val="false"/>
          <w:i w:val="false"/>
          <w:iCs w:val="false"/>
          <w:sz w:val="21"/>
          <w:szCs w:val="21"/>
        </w:rPr>
        <w:t xml:space="preserve">[12] RIA-002-v1.0 — Evaluación de Impacto de Requisitos (RT-05, RA-11), vinculada a CR-002; documento de la Fase H cuyo formato y baseline (ARS v1.1) sucede el presente RIA-003.</w:t>
      </w:r>
    </w:p>
    <w:p>
      <w:pPr>
        <w:spacing w:after="80" w:before="0" w:line="276"/>
      </w:pPr>
      <w:r>
        <w:rPr>
          <w:rFonts w:ascii="Calibri" w:cs="Calibri" w:eastAsia="Calibri" w:hAnsi="Calibri"/>
          <w:b w:val="false"/>
          <w:bCs w:val="false"/>
          <w:i w:val="false"/>
          <w:iCs w:val="false"/>
          <w:sz w:val="21"/>
          <w:szCs w:val="21"/>
        </w:rPr>
        <w:t xml:space="preserve">[13] Organizational Model for Enterprise Architecture — Fase Preliminar (RACI del Comité de Arquitectura Empresarial).</w:t>
      </w:r>
    </w:p>
    <w:p>
      <w:pPr>
        <w:spacing w:after="160"/>
      </w:pPr>
    </w:p>
    <w:p>
      <w:pPr>
        <w:pStyle w:val="Heading1"/>
        <w:spacing w:after="160" w:before="320"/>
      </w:pPr>
      <w:r>
        <w:rPr>
          <w:rFonts w:ascii="Calibri" w:cs="Calibri" w:eastAsia="Calibri" w:hAnsi="Calibri"/>
          <w:b/>
          <w:bCs/>
          <w:color w:val="1F3864"/>
          <w:sz w:val="28"/>
          <w:szCs w:val="28"/>
        </w:rPr>
        <w:t xml:space="preserve">21. Anexos</w:t>
      </w:r>
    </w:p>
    <w:p>
      <w:pPr>
        <w:pStyle w:val="Heading2"/>
        <w:spacing w:after="120" w:before="240"/>
      </w:pPr>
      <w:r>
        <w:rPr>
          <w:rFonts w:ascii="Calibri" w:cs="Calibri" w:eastAsia="Calibri" w:hAnsi="Calibri"/>
          <w:b/>
          <w:bCs/>
          <w:color w:val="1F3864"/>
          <w:sz w:val="24"/>
          <w:szCs w:val="24"/>
        </w:rPr>
        <w:t xml:space="preserve">Anexo A — Correcciones Comparativas (Antes y Después)</w:t>
      </w:r>
    </w:p>
    <w:p>
      <w:pPr>
        <w:pStyle w:val="Heading3"/>
        <w:spacing w:after="100" w:before="200"/>
      </w:pPr>
      <w:r>
        <w:rPr>
          <w:rFonts w:ascii="Calibri" w:cs="Calibri" w:eastAsia="Calibri" w:hAnsi="Calibri"/>
          <w:b/>
          <w:bCs/>
          <w:color w:val="1F3864"/>
          <w:sz w:val="22"/>
          <w:szCs w:val="22"/>
        </w:rPr>
        <w:t xml:space="preserve">A.1 Architecture Vision — sección 6.2 (hallazgo AUD-01)</w:t>
      </w:r>
    </w:p>
    <w:p>
      <w:pPr>
        <w:spacing w:after="120" w:before="0" w:line="276"/>
      </w:pPr>
      <w:r>
        <w:rPr>
          <w:rFonts w:ascii="Calibri" w:cs="Calibri" w:eastAsia="Calibri" w:hAnsi="Calibri"/>
          <w:b/>
          <w:bCs/>
          <w:i w:val="false"/>
          <w:iCs w:val="false"/>
          <w:sz w:val="21"/>
          <w:szCs w:val="21"/>
        </w:rPr>
        <w:t xml:space="preserve">Texto vigente (v0.1): </w:t>
      </w:r>
      <w:r>
        <w:rPr>
          <w:rFonts w:ascii="Calibri" w:cs="Calibri" w:eastAsia="Calibri" w:hAnsi="Calibri"/>
          <w:b w:val="false"/>
          <w:bCs w:val="false"/>
          <w:i/>
          <w:iCs/>
          <w:sz w:val="21"/>
          <w:szCs w:val="21"/>
        </w:rPr>
        <w:t xml:space="preserve">«…los principios establecidos en la Fase Preliminar (catálogo de 15 principios)».</w:t>
      </w:r>
    </w:p>
    <w:p>
      <w:pPr>
        <w:spacing w:after="120" w:before="0" w:line="276"/>
      </w:pPr>
      <w:r>
        <w:rPr>
          <w:rFonts w:ascii="Calibri" w:cs="Calibri" w:eastAsia="Calibri" w:hAnsi="Calibri"/>
          <w:b/>
          <w:bCs/>
          <w:i w:val="false"/>
          <w:iCs w:val="false"/>
          <w:sz w:val="21"/>
          <w:szCs w:val="21"/>
        </w:rPr>
        <w:t xml:space="preserve">Texto corregido (v1.0): </w:t>
      </w:r>
      <w:r>
        <w:rPr>
          <w:rFonts w:ascii="Calibri" w:cs="Calibri" w:eastAsia="Calibri" w:hAnsi="Calibri"/>
          <w:b w:val="false"/>
          <w:bCs w:val="false"/>
          <w:i/>
          <w:iCs/>
          <w:sz w:val="21"/>
          <w:szCs w:val="21"/>
        </w:rPr>
        <w:t xml:space="preserve">«…los principios establecidos en la Fase Preliminar (catálogo oficial v1.0: 8 principios vigentes con códigos BP01, BP02, DP01, DP04, AP01, AP02, TP01 y TP03; los códigos DP02, DP03 y TP02 constan como bajas formales en el Governance Log)».</w:t>
      </w:r>
    </w:p>
    <w:p>
      <w:pPr>
        <w:pStyle w:val="Heading3"/>
        <w:spacing w:after="100" w:before="200"/>
      </w:pPr>
      <w:r>
        <w:rPr>
          <w:rFonts w:ascii="Calibri" w:cs="Calibri" w:eastAsia="Calibri" w:hAnsi="Calibri"/>
          <w:b/>
          <w:bCs/>
          <w:color w:val="1F3864"/>
          <w:sz w:val="22"/>
          <w:szCs w:val="22"/>
        </w:rPr>
        <w:t xml:space="preserve">A.2 Nomenclatura de Work Packages (hallazgo AUD-03)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Documento</w:t>
            </w:r>
          </w:p>
        </w:tc>
        <w:tc>
          <w:tcPr>
            <w:tcW w:type="dxa" w:w="31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Identificador vigente (inconsistente)</w:t>
            </w:r>
          </w:p>
        </w:tc>
        <w:tc>
          <w:tcPr>
            <w:tcW w:type="dxa" w:w="312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Identificador corregido (canónico, Fase E)</w:t>
            </w:r>
          </w:p>
        </w:tc>
      </w:tr>
      <w:tr>
        <w:tc>
          <w:tcPr>
            <w:tcW w:type="dxa" w:w="2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Contract (Fase F)</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«WP-001 — Repositorio Metropolitano de Seguridad»</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Re-emisión v1.1 contra el/los Work Package(s) canónico(s) que agrupa el paquete efectivamente auditado en la Fase G; el paquete de Seguridad se documenta como iniciativa futura (CF-101/CF-103).</w:t>
            </w:r>
          </w:p>
        </w:tc>
      </w:tr>
      <w:tr>
        <w:tc>
          <w:tcPr>
            <w:tcW w:type="dxa" w:w="2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Compliance Assessment (Fase G)</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«WP-01 — Servicios Digitales al Ciudadano y Plataforma de Interoperabilidad»</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Re-mapeo al identificador canónico WP-XXX del inventario de la Fase E acordado en la sesión de consolidación, con correspondencia 1:1 contra el AC re-emitido.</w:t>
            </w:r>
          </w:p>
        </w:tc>
      </w:tr>
      <w:tr>
        <w:tc>
          <w:tcPr>
            <w:tcW w:type="dxa" w:w="28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CR-001 / CR-002 / RIA-002 (Fase H)</w:t>
            </w:r>
          </w:p>
        </w:tc>
        <w:tc>
          <w:tcPr>
            <w:tcW w:type="dxa" w:w="31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Referencias heredadas a «WP-01» y «AC-WP01-v1.0»</w:t>
            </w:r>
          </w:p>
        </w:tc>
        <w:tc>
          <w:tcPr>
            <w:tcW w:type="dxa" w:w="312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Actualización de referencias al identificador canónico y a la versión v1.1 del contrato, sin alterar decisiones ni contenido técnico.</w:t>
            </w:r>
          </w:p>
        </w:tc>
      </w:tr>
    </w:tbl>
    <w:p>
      <w:pPr>
        <w:pStyle w:val="Heading3"/>
        <w:spacing w:after="100" w:before="200"/>
      </w:pPr>
      <w:r>
        <w:rPr>
          <w:rFonts w:ascii="Calibri" w:cs="Calibri" w:eastAsia="Calibri" w:hAnsi="Calibri"/>
          <w:b/>
          <w:bCs/>
          <w:color w:val="1F3864"/>
          <w:sz w:val="22"/>
          <w:szCs w:val="22"/>
        </w:rPr>
        <w:t xml:space="preserve">A.3 Encabezados sin tailorizar (hallazgo AUD-05)</w:t>
      </w:r>
    </w:p>
    <w:p>
      <w:pPr>
        <w:spacing w:after="120" w:before="0" w:line="276"/>
      </w:pPr>
      <w:r>
        <w:rPr>
          <w:rFonts w:ascii="Calibri" w:cs="Calibri" w:eastAsia="Calibri" w:hAnsi="Calibri"/>
          <w:b/>
          <w:bCs/>
          <w:i w:val="false"/>
          <w:iCs w:val="false"/>
          <w:sz w:val="21"/>
          <w:szCs w:val="21"/>
        </w:rPr>
        <w:t xml:space="preserve">Texto vigente: </w:t>
      </w:r>
      <w:r>
        <w:rPr>
          <w:rFonts w:ascii="Calibri" w:cs="Calibri" w:eastAsia="Calibri" w:hAnsi="Calibri"/>
          <w:b w:val="false"/>
          <w:bCs w:val="false"/>
          <w:i/>
          <w:iCs/>
          <w:sz w:val="21"/>
          <w:szCs w:val="21"/>
        </w:rPr>
        <w:t xml:space="preserve">Campo «Project Name» = «Project XXX» / «Client YYY» en Request for Architecture Work, Tailored Architecture Framework, Organizational Model for EA (Fase Preliminar) y en los documentos 01 y 02 de la Fase C.</w:t>
      </w:r>
    </w:p>
    <w:p>
      <w:pPr>
        <w:spacing w:after="120" w:before="0" w:line="276"/>
      </w:pPr>
      <w:r>
        <w:rPr>
          <w:rFonts w:ascii="Calibri" w:cs="Calibri" w:eastAsia="Calibri" w:hAnsi="Calibri"/>
          <w:b/>
          <w:bCs/>
          <w:i w:val="false"/>
          <w:iCs w:val="false"/>
          <w:sz w:val="21"/>
          <w:szCs w:val="21"/>
        </w:rPr>
        <w:t xml:space="preserve">Texto corregido: </w:t>
      </w:r>
      <w:r>
        <w:rPr>
          <w:rFonts w:ascii="Calibri" w:cs="Calibri" w:eastAsia="Calibri" w:hAnsi="Calibri"/>
          <w:b w:val="false"/>
          <w:bCs w:val="false"/>
          <w:i/>
          <w:iCs/>
          <w:sz w:val="21"/>
          <w:szCs w:val="21"/>
        </w:rPr>
        <w:t xml:space="preserve">Campo «Project Name» = «Aplicación de TOGAF a la Municipalidad Metropolitana de Lima», con organización, integrantes y fecha completos, siguiendo el patrón del Architecture Repository ya tailorizado.</w:t>
      </w:r>
    </w:p>
    <w:p>
      <w:pPr>
        <w:spacing w:after="120"/>
      </w:pPr>
    </w:p>
    <w:p>
      <w:pPr>
        <w:pStyle w:val="Heading2"/>
        <w:spacing w:after="120" w:before="240"/>
      </w:pPr>
      <w:r>
        <w:rPr>
          <w:rFonts w:ascii="Calibri" w:cs="Calibri" w:eastAsia="Calibri" w:hAnsi="Calibri"/>
          <w:b/>
          <w:bCs/>
          <w:color w:val="1F3864"/>
          <w:sz w:val="24"/>
          <w:szCs w:val="24"/>
        </w:rPr>
        <w:t xml:space="preserve">Anexo B — Línea de Tiempo Maestra Propuesta y Checklist de Consolidación</w:t>
      </w:r>
    </w:p>
    <w:p>
      <w:pPr>
        <w:spacing w:after="120" w:before="0" w:line="276"/>
      </w:pPr>
      <w:r>
        <w:rPr>
          <w:rFonts w:ascii="Calibri" w:cs="Calibri" w:eastAsia="Calibri" w:hAnsi="Calibri"/>
          <w:b w:val="false"/>
          <w:bCs w:val="false"/>
          <w:i w:val="false"/>
          <w:iCs w:val="false"/>
          <w:sz w:val="21"/>
          <w:szCs w:val="21"/>
        </w:rPr>
        <w:t xml:space="preserve">La regla vinculante del requisito RG-04 es el orden lógico del ADM; las fechas exactas de los hitos reprogramados se confirman en la sesión de consolidación del 07/07/2026. El SoAW (05/06/2026) se conserva como ancla por ser la autorización formal del trabajo; los hitos de gobierno posteriores se reprograman a continuación del contrato que los habilita.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0"/>
        <w:gridCol w:w="2500"/>
        <w:gridCol w:w="2976"/>
      </w:tblGrid>
      <w:tr>
        <w:trPr>
          <w:tblHeader/>
        </w:trPr>
        <w:tc>
          <w:tcPr>
            <w:tcW w:type="dxa" w:w="35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Hito</w:t>
            </w:r>
          </w:p>
        </w:tc>
        <w:tc>
          <w:tcPr>
            <w:tcW w:type="dxa" w:w="2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 registrada (inconsistente)</w:t>
            </w:r>
          </w:p>
        </w:tc>
        <w:tc>
          <w:tcPr>
            <w:tcW w:type="dxa" w:w="29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 propuesta en la línea de tiempo maestra v1.0</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Firma del SoAW — autorización formal del trabajo (Fase A)</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05/06/2026</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05/06/2026 (se mantiene — ancla de la línea de tiempo)</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Hoja de Ruta de la Fase C — versión final</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26/06/2026</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26/06/2026 (coherente: posterior al SoAW)</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Architecture Contract AC-WP001 (Fase F)</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01/07/2026 (borrador)</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01/07/2026 — re-emisión v1.1 el 12/07/2026 contra el Work Package canónico</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Inicio de la Transición T1 — hito H-001 (Fase E)</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Julio 2026</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Julio 2026 (coherente: posterior al contrato)</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Compliance Review del Work Package (Fase G)</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20–22/05/2026</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08–10/07/2026 — posterior al contrato que la habilita; hallazgos H-001 a H-008 se preservan íntegros</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Change Request / RIA-002 (Fase H)</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Identificación 22/05/2026 · evaluación 01/07/2026</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Identificación 10/07/2026 · decisión 13/07/2026 — la verificación técnica de H-005/H-002 conserva su plazo (20–21/07/2026)</w:t>
            </w:r>
          </w:p>
        </w:tc>
      </w:tr>
      <w:tr>
        <w:tc>
          <w:tcPr>
            <w:tcW w:type="dxa" w:w="3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Auditoría de Consistencia + CR-003 / RIA-003 (Fase H)</w:t>
            </w:r>
          </w:p>
        </w:tc>
        <w:tc>
          <w:tcPr>
            <w:tcW w:type="dxa" w:w="2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w:t>
            </w:r>
          </w:p>
        </w:tc>
        <w:tc>
          <w:tcPr>
            <w:tcW w:type="dxa" w:w="29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Auditoría 02/07/2026 · decisión del Board 06/07/2026 · consolidación cerrada 15/07/2026</w:t>
            </w:r>
          </w:p>
        </w:tc>
      </w:tr>
    </w:tbl>
    <w:p>
      <w:pPr>
        <w:spacing w:after="120"/>
      </w:pPr>
    </w:p>
    <w:p>
      <w:pPr>
        <w:spacing w:after="120" w:before="0" w:line="276"/>
      </w:pPr>
      <w:r>
        <w:rPr>
          <w:rFonts w:ascii="Calibri" w:cs="Calibri" w:eastAsia="Calibri" w:hAnsi="Calibri"/>
          <w:b/>
          <w:bCs/>
          <w:i w:val="false"/>
          <w:iCs w:val="false"/>
          <w:sz w:val="21"/>
          <w:szCs w:val="21"/>
        </w:rPr>
        <w:t xml:space="preserve">Checklist de verificación cruzada final (15/07/2026):</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Toda cita a principios en cualquier entregable usa un código válido del catálogo v1.0 y el total citado coincide con el oficial (RG-01 / AUD-01).</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Ningún entregable describe un dominio de negocio distinto del autorizado por la Fase B; la iniciativa de Serenazgo consta como iteración paralela en el Governance Log (RG-02 / AUD-02).</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Correspondencia 1:1 verificada entre el Architecture Contract v1.1 y la Compliance Assessment corregida; identificadores WP-XXX tomados exclusivamente del inventario de la Fase E (RG-03 / AUD-03).</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Ninguna fecha de un hito de gobierno es anterior al hito que lo autoriza; la línea de tiempo maestra v1.0 está publicada y las fe de erratas registradas (RG-04 / AUD-04).</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Cero encabezados «Project XXX / Client YYY»; carpeta «Fase_D» renombrada; sin archivos duplicados en el repositorio (AUD-05).</w:t>
      </w:r>
    </w:p>
    <w:p>
      <w:pPr>
        <w:pStyle w:val="ListParagraph"/>
        <w:numPr>
          <w:ilvl w:val="0"/>
          <w:numId w:val="2"/>
        </w:numPr>
        <w:spacing w:after="80" w:line="276"/>
      </w:pPr>
      <w:r>
        <w:rPr>
          <w:rFonts w:ascii="Calibri" w:cs="Calibri" w:eastAsia="Calibri" w:hAnsi="Calibri"/>
          <w:b w:val="false"/>
          <w:bCs w:val="false"/>
          <w:i w:val="false"/>
          <w:iCs w:val="false"/>
          <w:sz w:val="21"/>
          <w:szCs w:val="21"/>
        </w:rPr>
        <w:t xml:space="preserve">Architecture Requirements Specification v1.2 emitida con la serie RG-01 a RG-04 y matriz de trazabilidad regenerada.</w:t>
      </w:r>
    </w:p>
    <w:p>
      <w:pPr>
        <w:spacing w:after="120"/>
      </w:pPr>
    </w:p>
    <w:p>
      <w:pPr>
        <w:pStyle w:val="Heading2"/>
        <w:spacing w:after="120" w:before="240"/>
      </w:pPr>
      <w:r>
        <w:rPr>
          <w:rFonts w:ascii="Calibri" w:cs="Calibri" w:eastAsia="Calibri" w:hAnsi="Calibri"/>
          <w:b/>
          <w:bCs/>
          <w:color w:val="1F3864"/>
          <w:sz w:val="24"/>
          <w:szCs w:val="24"/>
        </w:rPr>
        <w:t xml:space="preserve">Anexo C — Historial de Requirements Impact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1200"/>
        <w:gridCol w:w="1900"/>
        <w:gridCol w:w="1500"/>
        <w:gridCol w:w="700"/>
        <w:gridCol w:w="2176"/>
      </w:tblGrid>
      <w:tr>
        <w:trPr>
          <w:tblHeader/>
        </w:trPr>
        <w:tc>
          <w:tcPr>
            <w:tcW w:type="dxa" w:w="155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ID RIA</w:t>
            </w:r>
          </w:p>
        </w:tc>
        <w:tc>
          <w:tcPr>
            <w:tcW w:type="dxa" w:w="12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Fecha</w:t>
            </w:r>
          </w:p>
        </w:tc>
        <w:tc>
          <w:tcPr>
            <w:tcW w:type="dxa" w:w="19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Requisito(s) Evaluado(s)</w:t>
            </w:r>
          </w:p>
        </w:tc>
        <w:tc>
          <w:tcPr>
            <w:tcW w:type="dxa" w:w="15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Decisión</w:t>
            </w:r>
          </w:p>
        </w:tc>
        <w:tc>
          <w:tcPr>
            <w:tcW w:type="dxa" w:w="700"/>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CR Tipo</w:t>
            </w:r>
          </w:p>
        </w:tc>
        <w:tc>
          <w:tcPr>
            <w:tcW w:type="dxa" w:w="2176"/>
            <w:shd w:fill="1F3864" w:color="auto" w:val="clear"/>
            <w:tcMar>
              <w:top w:type="dxa" w:w="60"/>
              <w:left w:type="dxa" w:w="100"/>
              <w:bottom w:type="dxa" w:w="60"/>
              <w:right w:type="dxa" w:w="100"/>
            </w:tcMar>
            <w:vAlign w:val="center"/>
          </w:tcPr>
          <w:p>
            <w:pPr>
              <w:spacing w:after="40" w:line="260"/>
            </w:pPr>
            <w:r>
              <w:rPr>
                <w:rFonts w:ascii="Calibri" w:cs="Calibri" w:eastAsia="Calibri" w:hAnsi="Calibri"/>
                <w:b/>
                <w:bCs/>
                <w:i w:val="false"/>
                <w:iCs w:val="false"/>
                <w:color w:val="FFFFFF"/>
                <w:sz w:val="21"/>
                <w:szCs w:val="21"/>
              </w:rPr>
              <w:t xml:space="preserve">Observaciones</w:t>
            </w:r>
          </w:p>
        </w:tc>
      </w:tr>
      <w:tr>
        <w:tc>
          <w:tcPr>
            <w:tcW w:type="dxa" w:w="1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AE-MML-RIA-001</w:t>
            </w:r>
          </w:p>
        </w:tc>
        <w:tc>
          <w:tcPr>
            <w:tcW w:type="dxa" w:w="12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01/07/2026</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BG-01 … BG-05 (Fase A) vs. RA-01 … RA-10 (Fases B–C)</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Aprobado — adenda de alcance</w:t>
            </w:r>
          </w:p>
        </w:tc>
        <w:tc>
          <w:tcPr>
            <w:tcW w:type="dxa" w:w="7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w:t>
            </w:r>
          </w:p>
        </w:tc>
        <w:tc>
          <w:tcPr>
            <w:tcW w:type="dxa" w:w="21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Reconcilió el desajuste de alcance entre la visión preliminar (seguridad ciudadana / Serenazgo) y el alcance institucional vigente; dejó la iniciativa de seguridad ciudadana documentada como complementaria, fuera del alcance actual.</w:t>
            </w:r>
          </w:p>
        </w:tc>
      </w:tr>
      <w:tr>
        <w:tc>
          <w:tcPr>
            <w:tcW w:type="dxa" w:w="1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RIA-002</w:t>
            </w:r>
          </w:p>
        </w:tc>
        <w:tc>
          <w:tcPr>
            <w:tcW w:type="dxa" w:w="12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01/07/2026</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RT-05 (modificación), RA-11 (nuevo)</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Aprobado con modificaciones</w:t>
            </w:r>
          </w:p>
        </w:tc>
        <w:tc>
          <w:tcPr>
            <w:tcW w:type="dxa" w:w="7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w:t>
            </w:r>
          </w:p>
        </w:tc>
        <w:tc>
          <w:tcPr>
            <w:tcW w:type="dxa" w:w="21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Originado por los hallazgos H-005 y H-002 de la Compliance Review de WP-01 (Fase G). Vinculado a CR-002; llevó el baseline a ARS v1.1. Sus referencias de Work Package y fechas se actualizan por el presente CR-003.</w:t>
            </w:r>
          </w:p>
        </w:tc>
      </w:tr>
      <w:tr>
        <w:tc>
          <w:tcPr>
            <w:tcW w:type="dxa" w:w="155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RIA-003</w:t>
            </w:r>
          </w:p>
        </w:tc>
        <w:tc>
          <w:tcPr>
            <w:tcW w:type="dxa" w:w="12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04/07/2026</w:t>
            </w:r>
          </w:p>
        </w:tc>
        <w:tc>
          <w:tcPr>
            <w:tcW w:type="dxa" w:w="19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RG-01, RG-02, RG-03, RG-04 (nuevos)</w:t>
            </w:r>
          </w:p>
        </w:tc>
        <w:tc>
          <w:tcPr>
            <w:tcW w:type="dxa" w:w="15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Aprobado con modificaciones</w:t>
            </w:r>
          </w:p>
        </w:tc>
        <w:tc>
          <w:tcPr>
            <w:tcW w:type="dxa" w:w="700"/>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2</w:t>
            </w:r>
          </w:p>
        </w:tc>
        <w:tc>
          <w:tcPr>
            <w:tcW w:type="dxa" w:w="2176"/>
            <w:tcMar>
              <w:top w:type="dxa" w:w="60"/>
              <w:left w:type="dxa" w:w="100"/>
              <w:bottom w:type="dxa" w:w="60"/>
              <w:right w:type="dxa" w:w="100"/>
            </w:tcMar>
            <w:vAlign w:val="center"/>
          </w:tcPr>
          <w:p>
            <w:pPr>
              <w:spacing w:after="40" w:line="260"/>
            </w:pPr>
            <w:r>
              <w:rPr>
                <w:rFonts w:ascii="Calibri" w:cs="Calibri" w:eastAsia="Calibri" w:hAnsi="Calibri"/>
                <w:b w:val="false"/>
                <w:bCs w:val="false"/>
                <w:i w:val="false"/>
                <w:iCs w:val="false"/>
                <w:sz w:val="21"/>
                <w:szCs w:val="21"/>
              </w:rPr>
              <w:t xml:space="preserve">Presente documento. Originado por los hallazgos AUD-01 a AUD-05 de la Auditoría de Consistencia y Alineamiento TOGAF (02/07/2026). Vinculado a CR-003; lleva el baseline a ARS v1.2 y publica la línea de tiempo maestra v1.0.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RIA-003-v1.0 · Fase H — Architecture Change Management · MML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rPr>
  </w:style>
  <w:style w:type="paragraph" w:styleId="Heading2">
    <w:name w:val="Heading 2"/>
    <w:basedOn w:val="Normal"/>
    <w:next w:val="Normal"/>
    <w:qFormat/>
    <w:rPr>
      <w:rFonts w:ascii="Calibri" w:cs="Calibri" w:eastAsia="Calibri" w:hAnsi="Calibri"/>
      <w:b/>
      <w:bCs/>
      <w:color w:val="1F3864"/>
    </w:rPr>
  </w:style>
  <w:style w:type="paragraph" w:styleId="Heading3">
    <w:name w:val="Heading 3"/>
    <w:basedOn w:val="Normal"/>
    <w:next w:val="Normal"/>
    <w:qFormat/>
    <w:rPr>
      <w:rFonts w:ascii="Calibri" w:cs="Calibri" w:eastAsia="Calibri" w:hAnsi="Calibri"/>
      <w:b/>
      <w:bCs/>
      <w:color w:val="1F386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4a276e7ed7438eafd447948ae246f51b32c0da.png"/><Relationship Id="rId9" Type="http://schemas.openxmlformats.org/officeDocument/2006/relationships/image" Target="media/9a65892a058b4ed73c1c06810984b3af40bc108d.png"/><Relationship Id="rId10" Type="http://schemas.openxmlformats.org/officeDocument/2006/relationships/image" Target="media/541f6170302e5761d44d7ee4cbfb2e968b1436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2026-07-02T13:50:35.946Z</dcterms:created>
  <dcterms:modified xsi:type="dcterms:W3CDTF">2026-07-02T13:50:35.969Z</dcterms:modified>
</cp:coreProperties>
</file>

<file path=docProps/custom.xml><?xml version="1.0" encoding="utf-8"?>
<Properties xmlns="http://schemas.openxmlformats.org/officeDocument/2006/custom-properties" xmlns:vt="http://schemas.openxmlformats.org/officeDocument/2006/docPropsVTypes"/>
</file>