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A10E" w14:textId="77777777" w:rsidR="00164BE6" w:rsidRDefault="00000000">
      <w:pPr>
        <w:spacing w:after="40"/>
        <w:jc w:val="center"/>
      </w:pPr>
      <w:r>
        <w:rPr>
          <w:b/>
          <w:bCs/>
          <w:color w:val="1F4E79"/>
          <w:sz w:val="28"/>
          <w:szCs w:val="28"/>
        </w:rPr>
        <w:t>UNIVERSIDAD NACIONAL DE INGENIERÍA</w:t>
      </w:r>
    </w:p>
    <w:p w14:paraId="7D625D1D" w14:textId="77777777" w:rsidR="00164BE6" w:rsidRDefault="00000000">
      <w:pPr>
        <w:spacing w:after="600"/>
        <w:jc w:val="center"/>
      </w:pPr>
      <w:r>
        <w:rPr>
          <w:b/>
          <w:bCs/>
        </w:rPr>
        <w:t>FACULTAD DE INGENIERÍA INDUSTRIAL Y SISTEMAS</w:t>
      </w:r>
    </w:p>
    <w:p w14:paraId="419B293B" w14:textId="77777777" w:rsidR="00164BE6" w:rsidRDefault="00000000">
      <w:pPr>
        <w:spacing w:after="120"/>
        <w:jc w:val="center"/>
      </w:pPr>
      <w:r>
        <w:rPr>
          <w:b/>
          <w:bCs/>
          <w:color w:val="1F4E79"/>
          <w:sz w:val="30"/>
          <w:szCs w:val="30"/>
        </w:rPr>
        <w:t>APLICACIÓN DE TOGAF A LA MUNICIPALIDAD DE LIMA</w:t>
      </w:r>
    </w:p>
    <w:p w14:paraId="78899479" w14:textId="77777777" w:rsidR="00164BE6" w:rsidRDefault="00000000">
      <w:pPr>
        <w:spacing w:after="300"/>
        <w:jc w:val="center"/>
      </w:pPr>
      <w:r>
        <w:rPr>
          <w:b/>
          <w:bCs/>
          <w:sz w:val="26"/>
          <w:szCs w:val="26"/>
        </w:rPr>
        <w:t>FASE D: ARQUITECTURA DE TECNOLOGÍA</w:t>
      </w:r>
    </w:p>
    <w:p w14:paraId="5111D034" w14:textId="77777777" w:rsidR="00164BE6" w:rsidRDefault="00000000">
      <w:pPr>
        <w:spacing w:after="80"/>
        <w:jc w:val="center"/>
      </w:pPr>
      <w:r>
        <w:rPr>
          <w:b/>
          <w:bCs/>
          <w:color w:val="1F4E79"/>
          <w:sz w:val="32"/>
          <w:szCs w:val="32"/>
        </w:rPr>
        <w:t>Especificación de Requisitos de Arquitectura</w:t>
      </w:r>
    </w:p>
    <w:p w14:paraId="336D4A9C" w14:textId="77777777" w:rsidR="00164BE6" w:rsidRDefault="00000000">
      <w:pPr>
        <w:spacing w:after="500"/>
        <w:jc w:val="center"/>
      </w:pPr>
      <w:r>
        <w:rPr>
          <w:i/>
          <w:iCs/>
          <w:color w:val="595959"/>
          <w:sz w:val="20"/>
          <w:szCs w:val="20"/>
        </w:rPr>
        <w:t>Entregable TOGAF — Fase D: Arquitectura de Tecnología (Technology Architecture)</w:t>
      </w:r>
    </w:p>
    <w:p w14:paraId="02D415D9" w14:textId="77777777" w:rsidR="00164BE6" w:rsidRDefault="00000000">
      <w:pPr>
        <w:spacing w:after="60"/>
        <w:jc w:val="center"/>
      </w:pPr>
      <w:r>
        <w:rPr>
          <w:b/>
          <w:bCs/>
        </w:rPr>
        <w:t>Integrantes:</w:t>
      </w:r>
    </w:p>
    <w:p w14:paraId="1D56CAC6" w14:textId="77777777" w:rsidR="00164BE6" w:rsidRDefault="00000000">
      <w:pPr>
        <w:spacing w:after="30"/>
        <w:jc w:val="center"/>
      </w:pPr>
      <w:r>
        <w:rPr>
          <w:sz w:val="20"/>
          <w:szCs w:val="20"/>
        </w:rPr>
        <w:t>Chirinos Paredes, Fernando Angel — 20221247C</w:t>
      </w:r>
    </w:p>
    <w:p w14:paraId="25ADD677" w14:textId="77777777" w:rsidR="00164BE6" w:rsidRDefault="00000000">
      <w:pPr>
        <w:spacing w:after="30"/>
        <w:jc w:val="center"/>
      </w:pPr>
      <w:r>
        <w:rPr>
          <w:sz w:val="20"/>
          <w:szCs w:val="20"/>
        </w:rPr>
        <w:t>Ruiz Luna, Dair Aldrin — 20212141A</w:t>
      </w:r>
    </w:p>
    <w:p w14:paraId="1909571E" w14:textId="77777777" w:rsidR="00164BE6" w:rsidRDefault="00000000">
      <w:pPr>
        <w:spacing w:after="30"/>
        <w:jc w:val="center"/>
      </w:pPr>
      <w:r>
        <w:rPr>
          <w:sz w:val="20"/>
          <w:szCs w:val="20"/>
        </w:rPr>
        <w:t>Garcia Retuerto, Jholvis Juan — 20221013B</w:t>
      </w:r>
    </w:p>
    <w:p w14:paraId="165FE31B" w14:textId="77777777" w:rsidR="00164BE6" w:rsidRDefault="00000000">
      <w:pPr>
        <w:spacing w:after="30"/>
        <w:jc w:val="center"/>
      </w:pPr>
      <w:r>
        <w:rPr>
          <w:sz w:val="20"/>
          <w:szCs w:val="20"/>
        </w:rPr>
        <w:t>Jaramillo Blanco, Lenin Anderson — 20212632E</w:t>
      </w:r>
    </w:p>
    <w:p w14:paraId="7798480A" w14:textId="77777777" w:rsidR="00164BE6" w:rsidRDefault="00000000">
      <w:pPr>
        <w:spacing w:after="30"/>
        <w:jc w:val="center"/>
      </w:pPr>
      <w:r>
        <w:rPr>
          <w:sz w:val="20"/>
          <w:szCs w:val="20"/>
        </w:rPr>
        <w:t>Ramos Lopez, Denilson David Giovanni — 20191240F</w:t>
      </w:r>
    </w:p>
    <w:p w14:paraId="2810A18B" w14:textId="77777777" w:rsidR="00164BE6" w:rsidRDefault="00000000">
      <w:pPr>
        <w:spacing w:after="30"/>
        <w:jc w:val="center"/>
      </w:pPr>
      <w:r>
        <w:rPr>
          <w:sz w:val="20"/>
          <w:szCs w:val="20"/>
        </w:rPr>
        <w:t>Vila Chahua, Jean Paul — 20170035D</w:t>
      </w:r>
    </w:p>
    <w:p w14:paraId="2112195B" w14:textId="77777777" w:rsidR="00164BE6" w:rsidRDefault="00000000">
      <w:pPr>
        <w:spacing w:after="30"/>
        <w:jc w:val="center"/>
      </w:pPr>
      <w:r>
        <w:rPr>
          <w:sz w:val="20"/>
          <w:szCs w:val="20"/>
        </w:rPr>
        <w:t>Chauvet, Loriano Celso Gaby — II2026102</w:t>
      </w:r>
    </w:p>
    <w:p w14:paraId="4E6372F4" w14:textId="77777777" w:rsidR="00164BE6" w:rsidRDefault="00000000">
      <w:pPr>
        <w:spacing w:after="30"/>
        <w:jc w:val="center"/>
      </w:pPr>
      <w:r>
        <w:rPr>
          <w:sz w:val="20"/>
          <w:szCs w:val="20"/>
        </w:rPr>
        <w:t>Docente: Tobías Enrique Aliaga Vilchez</w:t>
      </w:r>
    </w:p>
    <w:p w14:paraId="583DCBA3" w14:textId="77777777" w:rsidR="00164BE6" w:rsidRDefault="00000000">
      <w:pPr>
        <w:spacing w:after="30"/>
        <w:jc w:val="center"/>
      </w:pPr>
      <w:r>
        <w:rPr>
          <w:sz w:val="20"/>
          <w:szCs w:val="20"/>
        </w:rPr>
        <w:t>SI605U: Arquitectura Empresarial</w:t>
      </w:r>
    </w:p>
    <w:p w14:paraId="55BA139D" w14:textId="77777777" w:rsidR="00164BE6" w:rsidRDefault="00000000">
      <w:pPr>
        <w:spacing w:after="30"/>
        <w:jc w:val="center"/>
      </w:pPr>
      <w:r>
        <w:rPr>
          <w:sz w:val="20"/>
          <w:szCs w:val="20"/>
        </w:rPr>
        <w:t>Lima – Perú · 2026</w:t>
      </w:r>
    </w:p>
    <w:p w14:paraId="5E8F6159" w14:textId="77777777" w:rsidR="00164BE6" w:rsidRDefault="00000000">
      <w:r>
        <w:br w:type="page"/>
      </w:r>
    </w:p>
    <w:p w14:paraId="3D968214" w14:textId="77777777" w:rsidR="00164BE6" w:rsidRDefault="00000000">
      <w:pPr>
        <w:spacing w:after="120"/>
      </w:pPr>
      <w:r>
        <w:rPr>
          <w:b/>
          <w:bCs/>
          <w:color w:val="1F4E79"/>
          <w:sz w:val="24"/>
          <w:szCs w:val="24"/>
        </w:rPr>
        <w:lastRenderedPageBreak/>
        <w:t>Información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4BE6" w14:paraId="32D7260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5208FE93" w14:textId="77777777" w:rsidR="00164BE6" w:rsidRDefault="00000000">
            <w:r>
              <w:rPr>
                <w:b/>
                <w:bCs/>
                <w:sz w:val="20"/>
                <w:szCs w:val="20"/>
              </w:rPr>
              <w:t>Proyecto</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E1B27EB" w14:textId="77777777" w:rsidR="00164BE6" w:rsidRDefault="00000000">
            <w:r>
              <w:rPr>
                <w:sz w:val="20"/>
                <w:szCs w:val="20"/>
              </w:rPr>
              <w:t>Aplicación de TOGAF — Municipalidad Metropolitana de Lima (MML)</w:t>
            </w:r>
          </w:p>
        </w:tc>
      </w:tr>
      <w:tr w:rsidR="00164BE6" w14:paraId="53B0DCA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02DADB93" w14:textId="77777777" w:rsidR="00164BE6" w:rsidRDefault="00000000">
            <w:r>
              <w:rPr>
                <w:b/>
                <w:bCs/>
                <w:sz w:val="20"/>
                <w:szCs w:val="20"/>
              </w:rPr>
              <w:t>Título del documento</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12641A3" w14:textId="77777777" w:rsidR="00164BE6" w:rsidRDefault="00000000">
            <w:r>
              <w:rPr>
                <w:sz w:val="20"/>
                <w:szCs w:val="20"/>
              </w:rPr>
              <w:t>Especificación de Requisitos de Arquitectura</w:t>
            </w:r>
          </w:p>
        </w:tc>
      </w:tr>
      <w:tr w:rsidR="00164BE6" w14:paraId="4244983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430D4290" w14:textId="77777777" w:rsidR="00164BE6" w:rsidRDefault="00000000">
            <w:r>
              <w:rPr>
                <w:b/>
                <w:bCs/>
                <w:sz w:val="20"/>
                <w:szCs w:val="20"/>
              </w:rPr>
              <w:t>Fase ADM</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EBF76FC" w14:textId="77777777" w:rsidR="00164BE6" w:rsidRDefault="00000000">
            <w:r>
              <w:rPr>
                <w:sz w:val="20"/>
                <w:szCs w:val="20"/>
              </w:rPr>
              <w:t>Fase D — Arquitectura de Tecnología (Technology Architecture)</w:t>
            </w:r>
          </w:p>
        </w:tc>
      </w:tr>
      <w:tr w:rsidR="00164BE6" w14:paraId="6E469A9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5C9104D8" w14:textId="77777777" w:rsidR="00164BE6" w:rsidRDefault="00000000">
            <w:r>
              <w:rPr>
                <w:b/>
                <w:bCs/>
                <w:sz w:val="20"/>
                <w:szCs w:val="20"/>
              </w:rPr>
              <w:t>Versión</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273C483" w14:textId="77777777" w:rsidR="00164BE6" w:rsidRDefault="00000000">
            <w:r>
              <w:rPr>
                <w:sz w:val="20"/>
                <w:szCs w:val="20"/>
              </w:rPr>
              <w:t>1.0</w:t>
            </w:r>
          </w:p>
        </w:tc>
      </w:tr>
      <w:tr w:rsidR="00164BE6" w14:paraId="6167806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25A5C496" w14:textId="77777777" w:rsidR="00164BE6" w:rsidRDefault="00000000">
            <w:r>
              <w:rPr>
                <w:b/>
                <w:bCs/>
                <w:sz w:val="20"/>
                <w:szCs w:val="20"/>
              </w:rPr>
              <w:t>Estado</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37382A3" w14:textId="20CCE603" w:rsidR="00164BE6" w:rsidRDefault="00000000">
            <w:r>
              <w:rPr>
                <w:sz w:val="20"/>
                <w:szCs w:val="20"/>
              </w:rPr>
              <w:t xml:space="preserve">Para aprobación </w:t>
            </w:r>
          </w:p>
        </w:tc>
      </w:tr>
      <w:tr w:rsidR="00164BE6" w14:paraId="02E0DF0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5AB4E8EC" w14:textId="77777777" w:rsidR="00164BE6" w:rsidRDefault="00000000">
            <w:r>
              <w:rPr>
                <w:b/>
                <w:bCs/>
                <w:sz w:val="20"/>
                <w:szCs w:val="20"/>
              </w:rPr>
              <w:t>Elaborado por</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9587DD9" w14:textId="77777777" w:rsidR="00164BE6" w:rsidRDefault="00000000">
            <w:r>
              <w:rPr>
                <w:sz w:val="20"/>
                <w:szCs w:val="20"/>
              </w:rPr>
              <w:t>Equipo de Arquitectura Empresarial — FIIS-UNI</w:t>
            </w:r>
          </w:p>
        </w:tc>
      </w:tr>
      <w:tr w:rsidR="00164BE6" w14:paraId="2855583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07D9BACF" w14:textId="77777777" w:rsidR="00164BE6" w:rsidRDefault="00000000">
            <w:r>
              <w:rPr>
                <w:b/>
                <w:bCs/>
                <w:sz w:val="20"/>
                <w:szCs w:val="20"/>
              </w:rPr>
              <w:t>Revisado por</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6E05CCF" w14:textId="77777777" w:rsidR="00164BE6" w:rsidRDefault="00000000">
            <w:r>
              <w:rPr>
                <w:sz w:val="20"/>
                <w:szCs w:val="20"/>
              </w:rPr>
              <w:t>Arquitecto Empresarial Principal</w:t>
            </w:r>
          </w:p>
        </w:tc>
      </w:tr>
      <w:tr w:rsidR="00164BE6" w14:paraId="5E68B4D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6D261D87" w14:textId="77777777" w:rsidR="00164BE6" w:rsidRDefault="00000000">
            <w:r>
              <w:rPr>
                <w:b/>
                <w:bCs/>
                <w:sz w:val="20"/>
                <w:szCs w:val="20"/>
              </w:rPr>
              <w:t>Aprobado por</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A47C54B" w14:textId="77777777" w:rsidR="00164BE6" w:rsidRDefault="00000000">
            <w:r>
              <w:rPr>
                <w:sz w:val="20"/>
                <w:szCs w:val="20"/>
              </w:rPr>
              <w:t>Comité de Arquitectura Empresarial (Gerencia Municipal · Planificación · GTI)</w:t>
            </w:r>
          </w:p>
        </w:tc>
      </w:tr>
      <w:tr w:rsidR="00164BE6" w14:paraId="3458F69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50" w:type="dxa"/>
              <w:left w:w="90" w:type="dxa"/>
              <w:bottom w:w="50" w:type="dxa"/>
              <w:right w:w="90" w:type="dxa"/>
            </w:tcMar>
            <w:vAlign w:val="center"/>
          </w:tcPr>
          <w:p w14:paraId="71EDCFAD" w14:textId="77777777" w:rsidR="00164BE6" w:rsidRDefault="00000000">
            <w:r>
              <w:rPr>
                <w:b/>
                <w:bCs/>
                <w:sz w:val="20"/>
                <w:szCs w:val="20"/>
              </w:rPr>
              <w:t>Fecha</w:t>
            </w:r>
          </w:p>
        </w:tc>
        <w:tc>
          <w:tcPr>
            <w:tcW w:w="6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B45158F" w14:textId="77777777" w:rsidR="00164BE6" w:rsidRDefault="00000000">
            <w:r>
              <w:rPr>
                <w:sz w:val="20"/>
                <w:szCs w:val="20"/>
              </w:rPr>
              <w:t>2026</w:t>
            </w:r>
          </w:p>
        </w:tc>
      </w:tr>
    </w:tbl>
    <w:p w14:paraId="53F84742" w14:textId="77777777" w:rsidR="00164BE6" w:rsidRDefault="00164BE6"/>
    <w:p w14:paraId="76D2915B" w14:textId="77777777" w:rsidR="00164BE6" w:rsidRDefault="00000000">
      <w:pPr>
        <w:spacing w:after="120"/>
      </w:pPr>
      <w:r>
        <w:rPr>
          <w:b/>
          <w:bCs/>
          <w:color w:val="1F4E79"/>
          <w:sz w:val="24"/>
          <w:szCs w:val="24"/>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4560"/>
      </w:tblGrid>
      <w:tr w:rsidR="00164BE6" w14:paraId="4755E5D4"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71F3CDC" w14:textId="77777777" w:rsidR="00164BE6" w:rsidRDefault="00000000">
            <w:r>
              <w:rPr>
                <w:b/>
                <w:bCs/>
                <w:color w:val="FFFFFF"/>
                <w:sz w:val="20"/>
                <w:szCs w:val="20"/>
              </w:rPr>
              <w:t>Versión</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546E6D82" w14:textId="77777777" w:rsidR="00164BE6" w:rsidRDefault="00000000">
            <w:r>
              <w:rPr>
                <w:b/>
                <w:bCs/>
                <w:color w:val="FFFFFF"/>
                <w:sz w:val="20"/>
                <w:szCs w:val="20"/>
              </w:rPr>
              <w:t>Fecha</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2B6BE6CD" w14:textId="77777777" w:rsidR="00164BE6" w:rsidRDefault="00000000">
            <w:r>
              <w:rPr>
                <w:b/>
                <w:bCs/>
                <w:color w:val="FFFFFF"/>
                <w:sz w:val="20"/>
                <w:szCs w:val="20"/>
              </w:rPr>
              <w:t>Autor</w:t>
            </w:r>
          </w:p>
        </w:tc>
        <w:tc>
          <w:tcPr>
            <w:tcW w:w="45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65820064" w14:textId="77777777" w:rsidR="00164BE6" w:rsidRDefault="00000000">
            <w:r>
              <w:rPr>
                <w:b/>
                <w:bCs/>
                <w:color w:val="FFFFFF"/>
                <w:sz w:val="20"/>
                <w:szCs w:val="20"/>
              </w:rPr>
              <w:t>Descripción</w:t>
            </w:r>
          </w:p>
        </w:tc>
      </w:tr>
      <w:tr w:rsidR="00164BE6" w14:paraId="08D16E4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55EC644" w14:textId="77777777" w:rsidR="00164BE6" w:rsidRDefault="00000000">
            <w:r>
              <w:rPr>
                <w:sz w:val="20"/>
                <w:szCs w:val="20"/>
              </w:rPr>
              <w:t>0.1</w:t>
            </w:r>
          </w:p>
        </w:tc>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FE8E6C8" w14:textId="77777777" w:rsidR="00164BE6" w:rsidRDefault="00000000">
            <w:r>
              <w:rPr>
                <w:sz w:val="20"/>
                <w:szCs w:val="20"/>
              </w:rPr>
              <w:t>2026</w:t>
            </w:r>
          </w:p>
        </w:tc>
        <w:tc>
          <w:tcPr>
            <w:tcW w:w="2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4EA7CD2" w14:textId="77777777" w:rsidR="00164BE6" w:rsidRDefault="00000000">
            <w:r>
              <w:rPr>
                <w:sz w:val="20"/>
                <w:szCs w:val="20"/>
              </w:rPr>
              <w:t>Equipo AE</w:t>
            </w:r>
          </w:p>
        </w:tc>
        <w:tc>
          <w:tcPr>
            <w:tcW w:w="45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2C348ED" w14:textId="77777777" w:rsidR="00164BE6" w:rsidRDefault="00000000">
            <w:r>
              <w:rPr>
                <w:sz w:val="20"/>
                <w:szCs w:val="20"/>
              </w:rPr>
              <w:t>Estructura inicial a partir de la plantilla TOGAF 9 (Fase D).</w:t>
            </w:r>
          </w:p>
        </w:tc>
      </w:tr>
      <w:tr w:rsidR="00164BE6" w14:paraId="00969DC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57FC2B9" w14:textId="77777777" w:rsidR="00164BE6" w:rsidRDefault="00000000">
            <w:r>
              <w:rPr>
                <w:sz w:val="20"/>
                <w:szCs w:val="20"/>
              </w:rPr>
              <w:t>0.5</w:t>
            </w:r>
          </w:p>
        </w:tc>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15E30DC" w14:textId="77777777" w:rsidR="00164BE6" w:rsidRDefault="00000000">
            <w:r>
              <w:rPr>
                <w:sz w:val="20"/>
                <w:szCs w:val="20"/>
              </w:rPr>
              <w:t>2026</w:t>
            </w:r>
          </w:p>
        </w:tc>
        <w:tc>
          <w:tcPr>
            <w:tcW w:w="2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5855937" w14:textId="77777777" w:rsidR="00164BE6" w:rsidRDefault="00000000">
            <w:r>
              <w:rPr>
                <w:sz w:val="20"/>
                <w:szCs w:val="20"/>
              </w:rPr>
              <w:t>Equipo AE</w:t>
            </w:r>
          </w:p>
        </w:tc>
        <w:tc>
          <w:tcPr>
            <w:tcW w:w="45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7BC5F09" w14:textId="77777777" w:rsidR="00164BE6" w:rsidRDefault="00000000">
            <w:r>
              <w:rPr>
                <w:sz w:val="20"/>
                <w:szCs w:val="20"/>
              </w:rPr>
              <w:t>Incorporación de los insumos de las Fases Preliminar, A, B y C.</w:t>
            </w:r>
          </w:p>
        </w:tc>
      </w:tr>
      <w:tr w:rsidR="00164BE6" w14:paraId="2F10FA5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D2EEBE0" w14:textId="77777777" w:rsidR="00164BE6" w:rsidRDefault="00000000">
            <w:r>
              <w:rPr>
                <w:sz w:val="20"/>
                <w:szCs w:val="20"/>
              </w:rPr>
              <w:t>1.0</w:t>
            </w:r>
          </w:p>
        </w:tc>
        <w:tc>
          <w:tcPr>
            <w:tcW w:w="1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C1BC664" w14:textId="77777777" w:rsidR="00164BE6" w:rsidRDefault="00000000">
            <w:r>
              <w:rPr>
                <w:sz w:val="20"/>
                <w:szCs w:val="20"/>
              </w:rPr>
              <w:t>2026</w:t>
            </w:r>
          </w:p>
        </w:tc>
        <w:tc>
          <w:tcPr>
            <w:tcW w:w="2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096E3C0" w14:textId="77777777" w:rsidR="00164BE6" w:rsidRDefault="00000000">
            <w:r>
              <w:rPr>
                <w:sz w:val="20"/>
                <w:szCs w:val="20"/>
              </w:rPr>
              <w:t>Equipo AE</w:t>
            </w:r>
          </w:p>
        </w:tc>
        <w:tc>
          <w:tcPr>
            <w:tcW w:w="45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7AC10E5" w14:textId="77777777" w:rsidR="00164BE6" w:rsidRDefault="00000000">
            <w:r>
              <w:rPr>
                <w:sz w:val="20"/>
                <w:szCs w:val="20"/>
              </w:rPr>
              <w:t>Versión completa adaptada a la MML para la Fase D — Tecnología.</w:t>
            </w:r>
          </w:p>
        </w:tc>
      </w:tr>
    </w:tbl>
    <w:p w14:paraId="396154BE" w14:textId="77777777" w:rsidR="00164BE6" w:rsidRDefault="00000000">
      <w:r>
        <w:br w:type="page"/>
      </w:r>
    </w:p>
    <w:p w14:paraId="65FCD523" w14:textId="77777777" w:rsidR="00164BE6" w:rsidRDefault="00000000">
      <w:pPr>
        <w:spacing w:after="60"/>
      </w:pPr>
      <w:r>
        <w:rPr>
          <w:b/>
          <w:bCs/>
          <w:color w:val="1F4E79"/>
          <w:sz w:val="28"/>
          <w:szCs w:val="28"/>
        </w:rPr>
        <w:lastRenderedPageBreak/>
        <w:t>Tabla de contenido</w:t>
      </w:r>
    </w:p>
    <w:p w14:paraId="2F8990EF" w14:textId="77777777" w:rsidR="00164BE6" w:rsidRDefault="00000000">
      <w:pPr>
        <w:spacing w:after="160"/>
      </w:pPr>
      <w:r>
        <w:rPr>
          <w:i/>
          <w:iCs/>
          <w:color w:val="595959"/>
          <w:sz w:val="18"/>
          <w:szCs w:val="18"/>
        </w:rPr>
        <w:t>(En Word: clic derecho sobre la tabla → «Actualizar campos» / F9 para generar el índice.)</w:t>
      </w:r>
    </w:p>
    <w:sdt>
      <w:sdtPr>
        <w:alias w:val="Tabla de contenido"/>
        <w:id w:val="-425494436"/>
      </w:sdtPr>
      <w:sdtContent>
        <w:p w14:paraId="4B89E5E8" w14:textId="77777777" w:rsidR="00DB1965" w:rsidRDefault="00000000">
          <w:pPr>
            <w:pStyle w:val="TM1"/>
            <w:tabs>
              <w:tab w:val="right" w:leader="dot" w:pos="9350"/>
            </w:tabs>
            <w:rPr>
              <w:noProof/>
            </w:rPr>
          </w:pPr>
          <w:r>
            <w:fldChar w:fldCharType="begin"/>
          </w:r>
          <w:r>
            <w:instrText>TOC \h \o "1-2"</w:instrText>
          </w:r>
          <w:r>
            <w:fldChar w:fldCharType="separate"/>
          </w:r>
          <w:hyperlink w:anchor="_Toc232695260" w:history="1">
            <w:r w:rsidR="00DB1965" w:rsidRPr="000E39C3">
              <w:rPr>
                <w:rStyle w:val="Lienhypertexte"/>
                <w:noProof/>
              </w:rPr>
              <w:t>1. Propósito del documento</w:t>
            </w:r>
            <w:r w:rsidR="00DB1965">
              <w:rPr>
                <w:noProof/>
              </w:rPr>
              <w:tab/>
            </w:r>
            <w:r w:rsidR="00DB1965">
              <w:rPr>
                <w:noProof/>
              </w:rPr>
              <w:fldChar w:fldCharType="begin"/>
            </w:r>
            <w:r w:rsidR="00DB1965">
              <w:rPr>
                <w:noProof/>
              </w:rPr>
              <w:instrText xml:space="preserve"> PAGEREF _Toc232695260 \h </w:instrText>
            </w:r>
            <w:r w:rsidR="00DB1965">
              <w:rPr>
                <w:noProof/>
              </w:rPr>
            </w:r>
            <w:r w:rsidR="00DB1965">
              <w:rPr>
                <w:noProof/>
              </w:rPr>
              <w:fldChar w:fldCharType="separate"/>
            </w:r>
            <w:r w:rsidR="00DB1965">
              <w:rPr>
                <w:noProof/>
              </w:rPr>
              <w:t>1</w:t>
            </w:r>
            <w:r w:rsidR="00DB1965">
              <w:rPr>
                <w:noProof/>
              </w:rPr>
              <w:fldChar w:fldCharType="end"/>
            </w:r>
          </w:hyperlink>
        </w:p>
        <w:p w14:paraId="0445E142" w14:textId="77777777" w:rsidR="00DB1965" w:rsidRDefault="00DB1965">
          <w:pPr>
            <w:pStyle w:val="TM1"/>
            <w:tabs>
              <w:tab w:val="right" w:leader="dot" w:pos="9350"/>
            </w:tabs>
            <w:rPr>
              <w:noProof/>
            </w:rPr>
          </w:pPr>
          <w:hyperlink w:anchor="_Toc232695261" w:history="1">
            <w:r w:rsidRPr="000E39C3">
              <w:rPr>
                <w:rStyle w:val="Lienhypertexte"/>
                <w:noProof/>
              </w:rPr>
              <w:t>2. Requisitos de arquitectura</w:t>
            </w:r>
            <w:r>
              <w:rPr>
                <w:noProof/>
              </w:rPr>
              <w:tab/>
            </w:r>
            <w:r>
              <w:rPr>
                <w:noProof/>
              </w:rPr>
              <w:fldChar w:fldCharType="begin"/>
            </w:r>
            <w:r>
              <w:rPr>
                <w:noProof/>
              </w:rPr>
              <w:instrText xml:space="preserve"> PAGEREF _Toc232695261 \h </w:instrText>
            </w:r>
            <w:r>
              <w:rPr>
                <w:noProof/>
              </w:rPr>
            </w:r>
            <w:r>
              <w:rPr>
                <w:noProof/>
              </w:rPr>
              <w:fldChar w:fldCharType="separate"/>
            </w:r>
            <w:r>
              <w:rPr>
                <w:noProof/>
              </w:rPr>
              <w:t>1</w:t>
            </w:r>
            <w:r>
              <w:rPr>
                <w:noProof/>
              </w:rPr>
              <w:fldChar w:fldCharType="end"/>
            </w:r>
          </w:hyperlink>
        </w:p>
        <w:p w14:paraId="07DF4AA4" w14:textId="77777777" w:rsidR="00DB1965" w:rsidRDefault="00DB1965">
          <w:pPr>
            <w:pStyle w:val="TM2"/>
            <w:tabs>
              <w:tab w:val="right" w:leader="dot" w:pos="9350"/>
            </w:tabs>
            <w:rPr>
              <w:noProof/>
            </w:rPr>
          </w:pPr>
          <w:hyperlink w:anchor="_Toc232695262" w:history="1">
            <w:r w:rsidRPr="000E39C3">
              <w:rPr>
                <w:rStyle w:val="Lienhypertexte"/>
                <w:noProof/>
              </w:rPr>
              <w:t>2.1. Requisitos de arquitectura</w:t>
            </w:r>
            <w:r>
              <w:rPr>
                <w:noProof/>
              </w:rPr>
              <w:tab/>
            </w:r>
            <w:r>
              <w:rPr>
                <w:noProof/>
              </w:rPr>
              <w:fldChar w:fldCharType="begin"/>
            </w:r>
            <w:r>
              <w:rPr>
                <w:noProof/>
              </w:rPr>
              <w:instrText xml:space="preserve"> PAGEREF _Toc232695262 \h </w:instrText>
            </w:r>
            <w:r>
              <w:rPr>
                <w:noProof/>
              </w:rPr>
            </w:r>
            <w:r>
              <w:rPr>
                <w:noProof/>
              </w:rPr>
              <w:fldChar w:fldCharType="separate"/>
            </w:r>
            <w:r>
              <w:rPr>
                <w:noProof/>
              </w:rPr>
              <w:t>1</w:t>
            </w:r>
            <w:r>
              <w:rPr>
                <w:noProof/>
              </w:rPr>
              <w:fldChar w:fldCharType="end"/>
            </w:r>
          </w:hyperlink>
        </w:p>
        <w:p w14:paraId="1C3F28C2" w14:textId="77777777" w:rsidR="00DB1965" w:rsidRDefault="00DB1965">
          <w:pPr>
            <w:pStyle w:val="TM2"/>
            <w:tabs>
              <w:tab w:val="right" w:leader="dot" w:pos="9350"/>
            </w:tabs>
            <w:rPr>
              <w:noProof/>
            </w:rPr>
          </w:pPr>
          <w:hyperlink w:anchor="_Toc232695263" w:history="1">
            <w:r w:rsidRPr="000E39C3">
              <w:rPr>
                <w:rStyle w:val="Lienhypertexte"/>
                <w:noProof/>
              </w:rPr>
              <w:t>2.2. Requisitos de interoperabilidad</w:t>
            </w:r>
            <w:r>
              <w:rPr>
                <w:noProof/>
              </w:rPr>
              <w:tab/>
            </w:r>
            <w:r>
              <w:rPr>
                <w:noProof/>
              </w:rPr>
              <w:fldChar w:fldCharType="begin"/>
            </w:r>
            <w:r>
              <w:rPr>
                <w:noProof/>
              </w:rPr>
              <w:instrText xml:space="preserve"> PAGEREF _Toc232695263 \h </w:instrText>
            </w:r>
            <w:r>
              <w:rPr>
                <w:noProof/>
              </w:rPr>
            </w:r>
            <w:r>
              <w:rPr>
                <w:noProof/>
              </w:rPr>
              <w:fldChar w:fldCharType="separate"/>
            </w:r>
            <w:r>
              <w:rPr>
                <w:noProof/>
              </w:rPr>
              <w:t>1</w:t>
            </w:r>
            <w:r>
              <w:rPr>
                <w:noProof/>
              </w:rPr>
              <w:fldChar w:fldCharType="end"/>
            </w:r>
          </w:hyperlink>
        </w:p>
        <w:p w14:paraId="3E0B5047" w14:textId="77777777" w:rsidR="00DB1965" w:rsidRDefault="00DB1965">
          <w:pPr>
            <w:pStyle w:val="TM2"/>
            <w:tabs>
              <w:tab w:val="right" w:leader="dot" w:pos="9350"/>
            </w:tabs>
            <w:rPr>
              <w:noProof/>
            </w:rPr>
          </w:pPr>
          <w:hyperlink w:anchor="_Toc232695264" w:history="1">
            <w:r w:rsidRPr="000E39C3">
              <w:rPr>
                <w:rStyle w:val="Lienhypertexte"/>
                <w:noProof/>
              </w:rPr>
              <w:t>2.3. Restricciones</w:t>
            </w:r>
            <w:r>
              <w:rPr>
                <w:noProof/>
              </w:rPr>
              <w:tab/>
            </w:r>
            <w:r>
              <w:rPr>
                <w:noProof/>
              </w:rPr>
              <w:fldChar w:fldCharType="begin"/>
            </w:r>
            <w:r>
              <w:rPr>
                <w:noProof/>
              </w:rPr>
              <w:instrText xml:space="preserve"> PAGEREF _Toc232695264 \h </w:instrText>
            </w:r>
            <w:r>
              <w:rPr>
                <w:noProof/>
              </w:rPr>
            </w:r>
            <w:r>
              <w:rPr>
                <w:noProof/>
              </w:rPr>
              <w:fldChar w:fldCharType="separate"/>
            </w:r>
            <w:r>
              <w:rPr>
                <w:noProof/>
              </w:rPr>
              <w:t>1</w:t>
            </w:r>
            <w:r>
              <w:rPr>
                <w:noProof/>
              </w:rPr>
              <w:fldChar w:fldCharType="end"/>
            </w:r>
          </w:hyperlink>
        </w:p>
        <w:p w14:paraId="5313774D" w14:textId="77777777" w:rsidR="00DB1965" w:rsidRDefault="00DB1965">
          <w:pPr>
            <w:pStyle w:val="TM2"/>
            <w:tabs>
              <w:tab w:val="right" w:leader="dot" w:pos="9350"/>
            </w:tabs>
            <w:rPr>
              <w:noProof/>
            </w:rPr>
          </w:pPr>
          <w:hyperlink w:anchor="_Toc232695265" w:history="1">
            <w:r w:rsidRPr="000E39C3">
              <w:rPr>
                <w:rStyle w:val="Lienhypertexte"/>
                <w:noProof/>
              </w:rPr>
              <w:t>2.4. Supuestos</w:t>
            </w:r>
            <w:r>
              <w:rPr>
                <w:noProof/>
              </w:rPr>
              <w:tab/>
            </w:r>
            <w:r>
              <w:rPr>
                <w:noProof/>
              </w:rPr>
              <w:fldChar w:fldCharType="begin"/>
            </w:r>
            <w:r>
              <w:rPr>
                <w:noProof/>
              </w:rPr>
              <w:instrText xml:space="preserve"> PAGEREF _Toc232695265 \h </w:instrText>
            </w:r>
            <w:r>
              <w:rPr>
                <w:noProof/>
              </w:rPr>
            </w:r>
            <w:r>
              <w:rPr>
                <w:noProof/>
              </w:rPr>
              <w:fldChar w:fldCharType="separate"/>
            </w:r>
            <w:r>
              <w:rPr>
                <w:noProof/>
              </w:rPr>
              <w:t>1</w:t>
            </w:r>
            <w:r>
              <w:rPr>
                <w:noProof/>
              </w:rPr>
              <w:fldChar w:fldCharType="end"/>
            </w:r>
          </w:hyperlink>
        </w:p>
        <w:p w14:paraId="2CD4B810" w14:textId="77777777" w:rsidR="00DB1965" w:rsidRDefault="00DB1965">
          <w:pPr>
            <w:pStyle w:val="TM2"/>
            <w:tabs>
              <w:tab w:val="right" w:leader="dot" w:pos="9350"/>
            </w:tabs>
            <w:rPr>
              <w:noProof/>
            </w:rPr>
          </w:pPr>
          <w:hyperlink w:anchor="_Toc232695266" w:history="1">
            <w:r w:rsidRPr="000E39C3">
              <w:rPr>
                <w:rStyle w:val="Lienhypertexte"/>
                <w:noProof/>
              </w:rPr>
              <w:t>2.5. Medidas de éxito (KPI)</w:t>
            </w:r>
            <w:r>
              <w:rPr>
                <w:noProof/>
              </w:rPr>
              <w:tab/>
            </w:r>
            <w:r>
              <w:rPr>
                <w:noProof/>
              </w:rPr>
              <w:fldChar w:fldCharType="begin"/>
            </w:r>
            <w:r>
              <w:rPr>
                <w:noProof/>
              </w:rPr>
              <w:instrText xml:space="preserve"> PAGEREF _Toc232695266 \h </w:instrText>
            </w:r>
            <w:r>
              <w:rPr>
                <w:noProof/>
              </w:rPr>
            </w:r>
            <w:r>
              <w:rPr>
                <w:noProof/>
              </w:rPr>
              <w:fldChar w:fldCharType="separate"/>
            </w:r>
            <w:r>
              <w:rPr>
                <w:noProof/>
              </w:rPr>
              <w:t>1</w:t>
            </w:r>
            <w:r>
              <w:rPr>
                <w:noProof/>
              </w:rPr>
              <w:fldChar w:fldCharType="end"/>
            </w:r>
          </w:hyperlink>
        </w:p>
        <w:p w14:paraId="77A617A6" w14:textId="77777777" w:rsidR="00DB1965" w:rsidRDefault="00DB1965">
          <w:pPr>
            <w:pStyle w:val="TM1"/>
            <w:tabs>
              <w:tab w:val="right" w:leader="dot" w:pos="9350"/>
            </w:tabs>
            <w:rPr>
              <w:noProof/>
            </w:rPr>
          </w:pPr>
          <w:hyperlink w:anchor="_Toc232695267" w:history="1">
            <w:r w:rsidRPr="000E39C3">
              <w:rPr>
                <w:rStyle w:val="Lienhypertexte"/>
                <w:noProof/>
              </w:rPr>
              <w:t>3. Contratos de servicio</w:t>
            </w:r>
            <w:r>
              <w:rPr>
                <w:noProof/>
              </w:rPr>
              <w:tab/>
            </w:r>
            <w:r>
              <w:rPr>
                <w:noProof/>
              </w:rPr>
              <w:fldChar w:fldCharType="begin"/>
            </w:r>
            <w:r>
              <w:rPr>
                <w:noProof/>
              </w:rPr>
              <w:instrText xml:space="preserve"> PAGEREF _Toc232695267 \h </w:instrText>
            </w:r>
            <w:r>
              <w:rPr>
                <w:noProof/>
              </w:rPr>
            </w:r>
            <w:r>
              <w:rPr>
                <w:noProof/>
              </w:rPr>
              <w:fldChar w:fldCharType="separate"/>
            </w:r>
            <w:r>
              <w:rPr>
                <w:noProof/>
              </w:rPr>
              <w:t>1</w:t>
            </w:r>
            <w:r>
              <w:rPr>
                <w:noProof/>
              </w:rPr>
              <w:fldChar w:fldCharType="end"/>
            </w:r>
          </w:hyperlink>
        </w:p>
        <w:p w14:paraId="39E63357" w14:textId="77777777" w:rsidR="00DB1965" w:rsidRDefault="00DB1965">
          <w:pPr>
            <w:pStyle w:val="TM2"/>
            <w:tabs>
              <w:tab w:val="right" w:leader="dot" w:pos="9350"/>
            </w:tabs>
            <w:rPr>
              <w:noProof/>
            </w:rPr>
          </w:pPr>
          <w:hyperlink w:anchor="_Toc232695268" w:history="1">
            <w:r w:rsidRPr="000E39C3">
              <w:rPr>
                <w:rStyle w:val="Lienhypertexte"/>
                <w:noProof/>
              </w:rPr>
              <w:t>3.1. Contratos de servicio de aplicación</w:t>
            </w:r>
            <w:r>
              <w:rPr>
                <w:noProof/>
              </w:rPr>
              <w:tab/>
            </w:r>
            <w:r>
              <w:rPr>
                <w:noProof/>
              </w:rPr>
              <w:fldChar w:fldCharType="begin"/>
            </w:r>
            <w:r>
              <w:rPr>
                <w:noProof/>
              </w:rPr>
              <w:instrText xml:space="preserve"> PAGEREF _Toc232695268 \h </w:instrText>
            </w:r>
            <w:r>
              <w:rPr>
                <w:noProof/>
              </w:rPr>
            </w:r>
            <w:r>
              <w:rPr>
                <w:noProof/>
              </w:rPr>
              <w:fldChar w:fldCharType="separate"/>
            </w:r>
            <w:r>
              <w:rPr>
                <w:noProof/>
              </w:rPr>
              <w:t>1</w:t>
            </w:r>
            <w:r>
              <w:rPr>
                <w:noProof/>
              </w:rPr>
              <w:fldChar w:fldCharType="end"/>
            </w:r>
          </w:hyperlink>
        </w:p>
        <w:p w14:paraId="4F4C6A25" w14:textId="77777777" w:rsidR="00DB1965" w:rsidRDefault="00DB1965">
          <w:pPr>
            <w:pStyle w:val="TM2"/>
            <w:tabs>
              <w:tab w:val="right" w:leader="dot" w:pos="9350"/>
            </w:tabs>
            <w:rPr>
              <w:noProof/>
            </w:rPr>
          </w:pPr>
          <w:hyperlink w:anchor="_Toc232695269" w:history="1">
            <w:r w:rsidRPr="000E39C3">
              <w:rPr>
                <w:rStyle w:val="Lienhypertexte"/>
                <w:noProof/>
              </w:rPr>
              <w:t>3.2. Contratos de servicio de tecnología / plataforma</w:t>
            </w:r>
            <w:r>
              <w:rPr>
                <w:noProof/>
              </w:rPr>
              <w:tab/>
            </w:r>
            <w:r>
              <w:rPr>
                <w:noProof/>
              </w:rPr>
              <w:fldChar w:fldCharType="begin"/>
            </w:r>
            <w:r>
              <w:rPr>
                <w:noProof/>
              </w:rPr>
              <w:instrText xml:space="preserve"> PAGEREF _Toc232695269 \h </w:instrText>
            </w:r>
            <w:r>
              <w:rPr>
                <w:noProof/>
              </w:rPr>
            </w:r>
            <w:r>
              <w:rPr>
                <w:noProof/>
              </w:rPr>
              <w:fldChar w:fldCharType="separate"/>
            </w:r>
            <w:r>
              <w:rPr>
                <w:noProof/>
              </w:rPr>
              <w:t>1</w:t>
            </w:r>
            <w:r>
              <w:rPr>
                <w:noProof/>
              </w:rPr>
              <w:fldChar w:fldCharType="end"/>
            </w:r>
          </w:hyperlink>
        </w:p>
        <w:p w14:paraId="4190E99A" w14:textId="77777777" w:rsidR="00DB1965" w:rsidRDefault="00DB1965">
          <w:pPr>
            <w:pStyle w:val="TM1"/>
            <w:tabs>
              <w:tab w:val="right" w:leader="dot" w:pos="9350"/>
            </w:tabs>
            <w:rPr>
              <w:noProof/>
            </w:rPr>
          </w:pPr>
          <w:hyperlink w:anchor="_Toc232695270" w:history="1">
            <w:r w:rsidRPr="000E39C3">
              <w:rPr>
                <w:rStyle w:val="Lienhypertexte"/>
                <w:noProof/>
              </w:rPr>
              <w:t>4. Implementación</w:t>
            </w:r>
            <w:r>
              <w:rPr>
                <w:noProof/>
              </w:rPr>
              <w:tab/>
            </w:r>
            <w:r>
              <w:rPr>
                <w:noProof/>
              </w:rPr>
              <w:fldChar w:fldCharType="begin"/>
            </w:r>
            <w:r>
              <w:rPr>
                <w:noProof/>
              </w:rPr>
              <w:instrText xml:space="preserve"> PAGEREF _Toc232695270 \h </w:instrText>
            </w:r>
            <w:r>
              <w:rPr>
                <w:noProof/>
              </w:rPr>
            </w:r>
            <w:r>
              <w:rPr>
                <w:noProof/>
              </w:rPr>
              <w:fldChar w:fldCharType="separate"/>
            </w:r>
            <w:r>
              <w:rPr>
                <w:noProof/>
              </w:rPr>
              <w:t>1</w:t>
            </w:r>
            <w:r>
              <w:rPr>
                <w:noProof/>
              </w:rPr>
              <w:fldChar w:fldCharType="end"/>
            </w:r>
          </w:hyperlink>
        </w:p>
        <w:p w14:paraId="6F5EA2D1" w14:textId="77777777" w:rsidR="00DB1965" w:rsidRDefault="00DB1965">
          <w:pPr>
            <w:pStyle w:val="TM2"/>
            <w:tabs>
              <w:tab w:val="right" w:leader="dot" w:pos="9350"/>
            </w:tabs>
            <w:rPr>
              <w:noProof/>
            </w:rPr>
          </w:pPr>
          <w:hyperlink w:anchor="_Toc232695271" w:history="1">
            <w:r w:rsidRPr="000E39C3">
              <w:rPr>
                <w:rStyle w:val="Lienhypertexte"/>
                <w:noProof/>
              </w:rPr>
              <w:t>4.1. Directrices de implementación</w:t>
            </w:r>
            <w:r>
              <w:rPr>
                <w:noProof/>
              </w:rPr>
              <w:tab/>
            </w:r>
            <w:r>
              <w:rPr>
                <w:noProof/>
              </w:rPr>
              <w:fldChar w:fldCharType="begin"/>
            </w:r>
            <w:r>
              <w:rPr>
                <w:noProof/>
              </w:rPr>
              <w:instrText xml:space="preserve"> PAGEREF _Toc232695271 \h </w:instrText>
            </w:r>
            <w:r>
              <w:rPr>
                <w:noProof/>
              </w:rPr>
            </w:r>
            <w:r>
              <w:rPr>
                <w:noProof/>
              </w:rPr>
              <w:fldChar w:fldCharType="separate"/>
            </w:r>
            <w:r>
              <w:rPr>
                <w:noProof/>
              </w:rPr>
              <w:t>1</w:t>
            </w:r>
            <w:r>
              <w:rPr>
                <w:noProof/>
              </w:rPr>
              <w:fldChar w:fldCharType="end"/>
            </w:r>
          </w:hyperlink>
        </w:p>
        <w:p w14:paraId="1C991F05" w14:textId="77777777" w:rsidR="00DB1965" w:rsidRDefault="00DB1965">
          <w:pPr>
            <w:pStyle w:val="TM2"/>
            <w:tabs>
              <w:tab w:val="right" w:leader="dot" w:pos="9350"/>
            </w:tabs>
            <w:rPr>
              <w:noProof/>
            </w:rPr>
          </w:pPr>
          <w:hyperlink w:anchor="_Toc232695272" w:history="1">
            <w:r w:rsidRPr="000E39C3">
              <w:rPr>
                <w:rStyle w:val="Lienhypertexte"/>
                <w:noProof/>
              </w:rPr>
              <w:t>4.2. Especificaciones de implementación</w:t>
            </w:r>
            <w:r>
              <w:rPr>
                <w:noProof/>
              </w:rPr>
              <w:tab/>
            </w:r>
            <w:r>
              <w:rPr>
                <w:noProof/>
              </w:rPr>
              <w:fldChar w:fldCharType="begin"/>
            </w:r>
            <w:r>
              <w:rPr>
                <w:noProof/>
              </w:rPr>
              <w:instrText xml:space="preserve"> PAGEREF _Toc232695272 \h </w:instrText>
            </w:r>
            <w:r>
              <w:rPr>
                <w:noProof/>
              </w:rPr>
            </w:r>
            <w:r>
              <w:rPr>
                <w:noProof/>
              </w:rPr>
              <w:fldChar w:fldCharType="separate"/>
            </w:r>
            <w:r>
              <w:rPr>
                <w:noProof/>
              </w:rPr>
              <w:t>1</w:t>
            </w:r>
            <w:r>
              <w:rPr>
                <w:noProof/>
              </w:rPr>
              <w:fldChar w:fldCharType="end"/>
            </w:r>
          </w:hyperlink>
        </w:p>
        <w:p w14:paraId="3947B64B" w14:textId="77777777" w:rsidR="00DB1965" w:rsidRDefault="00DB1965">
          <w:pPr>
            <w:pStyle w:val="TM2"/>
            <w:tabs>
              <w:tab w:val="right" w:leader="dot" w:pos="9350"/>
            </w:tabs>
            <w:rPr>
              <w:noProof/>
            </w:rPr>
          </w:pPr>
          <w:hyperlink w:anchor="_Toc232695273" w:history="1">
            <w:r w:rsidRPr="000E39C3">
              <w:rPr>
                <w:rStyle w:val="Lienhypertexte"/>
                <w:noProof/>
              </w:rPr>
              <w:t>4.3. Estándares de implementación</w:t>
            </w:r>
            <w:r>
              <w:rPr>
                <w:noProof/>
              </w:rPr>
              <w:tab/>
            </w:r>
            <w:r>
              <w:rPr>
                <w:noProof/>
              </w:rPr>
              <w:fldChar w:fldCharType="begin"/>
            </w:r>
            <w:r>
              <w:rPr>
                <w:noProof/>
              </w:rPr>
              <w:instrText xml:space="preserve"> PAGEREF _Toc232695273 \h </w:instrText>
            </w:r>
            <w:r>
              <w:rPr>
                <w:noProof/>
              </w:rPr>
            </w:r>
            <w:r>
              <w:rPr>
                <w:noProof/>
              </w:rPr>
              <w:fldChar w:fldCharType="separate"/>
            </w:r>
            <w:r>
              <w:rPr>
                <w:noProof/>
              </w:rPr>
              <w:t>1</w:t>
            </w:r>
            <w:r>
              <w:rPr>
                <w:noProof/>
              </w:rPr>
              <w:fldChar w:fldCharType="end"/>
            </w:r>
          </w:hyperlink>
        </w:p>
        <w:p w14:paraId="0F292CEC" w14:textId="77777777" w:rsidR="00164BE6" w:rsidRDefault="00000000">
          <w:r>
            <w:fldChar w:fldCharType="end"/>
          </w:r>
        </w:p>
      </w:sdtContent>
    </w:sdt>
    <w:p w14:paraId="39AD0CC3" w14:textId="77777777" w:rsidR="00164BE6" w:rsidRDefault="00000000">
      <w:r>
        <w:br w:type="page"/>
      </w:r>
    </w:p>
    <w:p w14:paraId="3ECF6311" w14:textId="77777777" w:rsidR="00164BE6" w:rsidRDefault="00000000">
      <w:pPr>
        <w:pStyle w:val="Titre1"/>
      </w:pPr>
      <w:bookmarkStart w:id="0" w:name="_Toc232695260"/>
      <w:r>
        <w:rPr>
          <w:b w:val="0"/>
          <w:bCs w:val="0"/>
          <w:sz w:val="20"/>
          <w:szCs w:val="20"/>
        </w:rPr>
        <w:lastRenderedPageBreak/>
        <w:t>1. Propósito del documento</w:t>
      </w:r>
      <w:bookmarkEnd w:id="0"/>
    </w:p>
    <w:p w14:paraId="35184EEE" w14:textId="77777777" w:rsidR="00164BE6" w:rsidRDefault="00000000">
      <w:pPr>
        <w:spacing w:after="120"/>
      </w:pPr>
      <w:r>
        <w:t>La Especificación de Requisitos de Arquitectura proporciona un conjunto de enunciados cuantitativos que definen lo que todo proyecto de implementación debe cumplir para ser conforme con la Arquitectura de Tecnología de la Municipalidad Metropolitana de Lima (MML).</w:t>
      </w:r>
    </w:p>
    <w:p w14:paraId="0098CC71" w14:textId="77777777" w:rsidR="00164BE6" w:rsidRDefault="00000000">
      <w:pPr>
        <w:spacing w:after="120"/>
      </w:pPr>
      <w:r>
        <w:t>Este documento es complementario al Documento de Definición de Arquitectura de la Fase D: mientras aquel ofrece una visión cualitativa de la solución tecnológica (componentes, plataformas, entornos y comunicaciones), esta especificación aporta una visión cuantitativa, con criterios medibles que deben verificarse durante la implementación de la infraestructura objetivo.</w:t>
      </w:r>
    </w:p>
    <w:p w14:paraId="00E7C593" w14:textId="77777777" w:rsidR="00164BE6" w:rsidRDefault="00000000">
      <w:pPr>
        <w:spacing w:after="120"/>
      </w:pPr>
      <w:r>
        <w:t>Sus requisitos son trazables a las metas (MET-01 a MET-05) y objetivos (OBJ-01 a OBJ-06) confirmados en la Fase A, a los requisitos de negocio de la Fase B (RA-01 a RA-10) y a las brechas tecnológicas identificadas en el análisis de brechas del Documento de Definición de la Fase D. La Arquitectura de Tecnología habilita las capas de aplicaciones y datos definidas en la Fase C y materializa la visión de una plataforma institucional única, escalable, interoperable y segura, en cumplimiento del Gobierno Digital del Estado peruano (MADE, SGTD–PCM).</w:t>
      </w:r>
    </w:p>
    <w:p w14:paraId="5693468F" w14:textId="77777777" w:rsidR="00164BE6" w:rsidRDefault="00000000">
      <w:pPr>
        <w:pStyle w:val="Titre1"/>
      </w:pPr>
      <w:bookmarkStart w:id="1" w:name="_Toc232695261"/>
      <w:r>
        <w:rPr>
          <w:b w:val="0"/>
          <w:bCs w:val="0"/>
          <w:sz w:val="20"/>
          <w:szCs w:val="20"/>
        </w:rPr>
        <w:t>2. Requisitos de arquitectura</w:t>
      </w:r>
      <w:bookmarkEnd w:id="1"/>
    </w:p>
    <w:p w14:paraId="6B06BD17" w14:textId="77777777" w:rsidR="00164BE6" w:rsidRDefault="00000000">
      <w:pPr>
        <w:pStyle w:val="Titre2"/>
      </w:pPr>
      <w:bookmarkStart w:id="2" w:name="_Toc232695262"/>
      <w:r>
        <w:rPr>
          <w:b w:val="0"/>
          <w:bCs w:val="0"/>
          <w:sz w:val="20"/>
          <w:szCs w:val="20"/>
        </w:rPr>
        <w:t>2.1. Requisitos de arquitectura</w:t>
      </w:r>
      <w:bookmarkEnd w:id="2"/>
    </w:p>
    <w:p w14:paraId="7C91047A" w14:textId="77777777" w:rsidR="00164BE6" w:rsidRDefault="00000000">
      <w:pPr>
        <w:spacing w:after="120"/>
      </w:pPr>
      <w:r>
        <w:t>Requisitos de la Arquitectura de Tecnología de la Fase D. Cada requisito incluye un criterio de aceptación medible, su prioridad (MoSCoW) y la trazabilidad a los objetivos y a los requisitos de negocio de las fases previas.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986"/>
        <w:gridCol w:w="3341"/>
        <w:gridCol w:w="803"/>
        <w:gridCol w:w="1433"/>
      </w:tblGrid>
      <w:tr w:rsidR="00164BE6" w14:paraId="184AA7B2" w14:textId="77777777">
        <w:tblPrEx>
          <w:tblCellMar>
            <w:top w:w="0" w:type="dxa"/>
            <w:bottom w:w="0" w:type="dxa"/>
          </w:tblCellMar>
        </w:tblPrEx>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6265B687" w14:textId="77777777" w:rsidR="00164BE6" w:rsidRDefault="00000000">
            <w:r>
              <w:rPr>
                <w:b/>
                <w:bCs/>
                <w:color w:val="FFFFFF"/>
                <w:sz w:val="20"/>
                <w:szCs w:val="20"/>
              </w:rPr>
              <w:t>ID</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73183CC5" w14:textId="77777777" w:rsidR="00164BE6" w:rsidRDefault="00000000">
            <w:r>
              <w:rPr>
                <w:b/>
                <w:bCs/>
                <w:color w:val="FFFFFF"/>
                <w:sz w:val="20"/>
                <w:szCs w:val="20"/>
              </w:rPr>
              <w:t>Requisito de arquitectura de tecnología</w:t>
            </w:r>
          </w:p>
        </w:tc>
        <w:tc>
          <w:tcPr>
            <w:tcW w:w="33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3E048B5" w14:textId="77777777" w:rsidR="00164BE6" w:rsidRDefault="00000000">
            <w:r>
              <w:rPr>
                <w:b/>
                <w:bCs/>
                <w:color w:val="FFFFFF"/>
                <w:sz w:val="20"/>
                <w:szCs w:val="20"/>
              </w:rPr>
              <w:t>Criterio de aceptación (medible)</w:t>
            </w:r>
          </w:p>
        </w:tc>
        <w:tc>
          <w:tcPr>
            <w:tcW w:w="7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4E51F409" w14:textId="77777777" w:rsidR="00164BE6" w:rsidRDefault="00000000">
            <w:r>
              <w:rPr>
                <w:b/>
                <w:bCs/>
                <w:color w:val="FFFFFF"/>
                <w:sz w:val="20"/>
                <w:szCs w:val="20"/>
              </w:rPr>
              <w:t>Prior.</w:t>
            </w:r>
          </w:p>
        </w:tc>
        <w:tc>
          <w:tcPr>
            <w:tcW w:w="144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390BE485" w14:textId="77777777" w:rsidR="00164BE6" w:rsidRDefault="00000000">
            <w:r>
              <w:rPr>
                <w:b/>
                <w:bCs/>
                <w:color w:val="FFFFFF"/>
                <w:sz w:val="20"/>
                <w:szCs w:val="20"/>
              </w:rPr>
              <w:t>Traza</w:t>
            </w:r>
          </w:p>
        </w:tc>
      </w:tr>
      <w:tr w:rsidR="00164BE6" w14:paraId="73B15C5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310284A" w14:textId="77777777" w:rsidR="00164BE6" w:rsidRDefault="00000000">
            <w:r>
              <w:rPr>
                <w:sz w:val="20"/>
                <w:szCs w:val="20"/>
              </w:rPr>
              <w:t>RT-01</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DE66372" w14:textId="77777777" w:rsidR="00164BE6" w:rsidRDefault="00000000">
            <w:r>
              <w:rPr>
                <w:sz w:val="20"/>
                <w:szCs w:val="20"/>
              </w:rPr>
              <w:t>Migrar las cargas críticas a una infraestructura en la nube (IaaS/PaaS) con escalabilidad elástica.</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A81C79D" w14:textId="77777777" w:rsidR="00164BE6" w:rsidRDefault="00000000">
            <w:r>
              <w:rPr>
                <w:sz w:val="20"/>
                <w:szCs w:val="20"/>
              </w:rPr>
              <w:t>≥ 70 % de las cargas críticas en alcance operando en nube con autoescalado activo.</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FD3892F"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1429DEE" w14:textId="77777777" w:rsidR="00164BE6" w:rsidRDefault="00000000">
            <w:r>
              <w:rPr>
                <w:sz w:val="20"/>
                <w:szCs w:val="20"/>
              </w:rPr>
              <w:t>MET-05, OBJ-05</w:t>
            </w:r>
          </w:p>
        </w:tc>
      </w:tr>
      <w:tr w:rsidR="00164BE6" w14:paraId="12BFB60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6318918" w14:textId="77777777" w:rsidR="00164BE6" w:rsidRDefault="00000000">
            <w:r>
              <w:rPr>
                <w:sz w:val="20"/>
                <w:szCs w:val="20"/>
              </w:rPr>
              <w:t>RT-02</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5654857" w14:textId="77777777" w:rsidR="00164BE6" w:rsidRDefault="00000000">
            <w:r>
              <w:rPr>
                <w:sz w:val="20"/>
                <w:szCs w:val="20"/>
              </w:rPr>
              <w:t>Implantar una plataforma de integración (bus de servicios / API Gateway) que conecte los sistemas municipales.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9951DB9" w14:textId="77777777" w:rsidR="00164BE6" w:rsidRDefault="00000000">
            <w:r>
              <w:rPr>
                <w:sz w:val="20"/>
                <w:szCs w:val="20"/>
              </w:rPr>
              <w:t>100 % de las integraciones en alcance pasan por el API Gateway; latencia media ≤ 500 ms.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8A24687"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478A0DB" w14:textId="77777777" w:rsidR="00164BE6" w:rsidRDefault="00000000">
            <w:r>
              <w:rPr>
                <w:sz w:val="20"/>
                <w:szCs w:val="20"/>
              </w:rPr>
              <w:t>OBJ-03, RA-06</w:t>
            </w:r>
          </w:p>
        </w:tc>
      </w:tr>
      <w:tr w:rsidR="00164BE6" w14:paraId="43B4D93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FB79E95" w14:textId="77777777" w:rsidR="00164BE6" w:rsidRDefault="00000000">
            <w:r>
              <w:rPr>
                <w:sz w:val="20"/>
                <w:szCs w:val="20"/>
              </w:rPr>
              <w:t>RT-03</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24BAB1F" w14:textId="77777777" w:rsidR="00164BE6" w:rsidRDefault="00000000">
            <w:r>
              <w:rPr>
                <w:sz w:val="20"/>
                <w:szCs w:val="20"/>
              </w:rPr>
              <w:t>Establecer la conectividad técnica segura con la PIDE y los servicios del Estado (RENIEC, Gob.pe, pagos, firma).</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BF09ACE" w14:textId="77777777" w:rsidR="00164BE6" w:rsidRDefault="00000000">
            <w:r>
              <w:rPr>
                <w:sz w:val="20"/>
                <w:szCs w:val="20"/>
              </w:rPr>
              <w:t>Canal seguro con la PIDE operativo y monitoreado; disponibilidad ≥ 99,5 %.</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86FA2CE"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DC5AE1A" w14:textId="77777777" w:rsidR="00164BE6" w:rsidRDefault="00000000">
            <w:r>
              <w:rPr>
                <w:sz w:val="20"/>
                <w:szCs w:val="20"/>
              </w:rPr>
              <w:t>OBJ-03, RA-01</w:t>
            </w:r>
          </w:p>
        </w:tc>
      </w:tr>
      <w:tr w:rsidR="00164BE6" w14:paraId="0D983C5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BFCD3B1" w14:textId="77777777" w:rsidR="00164BE6" w:rsidRDefault="00000000">
            <w:r>
              <w:rPr>
                <w:sz w:val="20"/>
                <w:szCs w:val="20"/>
              </w:rPr>
              <w:t>RT-04</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D51EB30" w14:textId="77777777" w:rsidR="00164BE6" w:rsidRDefault="00000000">
            <w:r>
              <w:rPr>
                <w:sz w:val="20"/>
                <w:szCs w:val="20"/>
              </w:rPr>
              <w:t>Desplegar una plataforma de gestión de identidades y accesos (IAM) con autenticación y autorización por roles.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AB891FD" w14:textId="77777777" w:rsidR="00164BE6" w:rsidRDefault="00000000">
            <w:r>
              <w:rPr>
                <w:sz w:val="20"/>
                <w:szCs w:val="20"/>
              </w:rPr>
              <w:t>100 % de las aplicaciones en alcance autentican vía IAM (SSO); MFA para usuarios internos.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5C57300"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2D9838B" w14:textId="77777777" w:rsidR="00164BE6" w:rsidRDefault="00000000">
            <w:r>
              <w:rPr>
                <w:sz w:val="20"/>
                <w:szCs w:val="20"/>
              </w:rPr>
              <w:t>OBJ-06, RA-10</w:t>
            </w:r>
          </w:p>
        </w:tc>
      </w:tr>
      <w:tr w:rsidR="00164BE6" w14:paraId="13FB9B1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44FD56F" w14:textId="77777777" w:rsidR="00164BE6" w:rsidRDefault="00000000">
            <w:r>
              <w:rPr>
                <w:sz w:val="20"/>
                <w:szCs w:val="20"/>
              </w:rPr>
              <w:t>RT-05</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5BBD885" w14:textId="77777777" w:rsidR="00164BE6" w:rsidRDefault="00000000">
            <w:r>
              <w:rPr>
                <w:sz w:val="20"/>
                <w:szCs w:val="20"/>
              </w:rPr>
              <w:t>Implementar una plataforma de seguridad alineada a ISO/IEC 27001 (cifrado, monitoreo y registro de auditoría).</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26E2DF3" w14:textId="77777777" w:rsidR="00164BE6" w:rsidRDefault="00000000">
            <w:r>
              <w:rPr>
                <w:sz w:val="20"/>
                <w:szCs w:val="20"/>
              </w:rPr>
              <w:t>Cifrado en tránsito y en reposo; monitoreo 24/7; 100 % de acciones críticas registradas.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7E58FA1"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CC3F0D9" w14:textId="77777777" w:rsidR="00164BE6" w:rsidRDefault="00000000">
            <w:r>
              <w:rPr>
                <w:sz w:val="20"/>
                <w:szCs w:val="20"/>
              </w:rPr>
              <w:t>OBJ-06, MET-03</w:t>
            </w:r>
          </w:p>
        </w:tc>
      </w:tr>
      <w:tr w:rsidR="00164BE6" w14:paraId="022050B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67A58B0" w14:textId="77777777" w:rsidR="00164BE6" w:rsidRDefault="00000000">
            <w:r>
              <w:rPr>
                <w:sz w:val="20"/>
                <w:szCs w:val="20"/>
              </w:rPr>
              <w:lastRenderedPageBreak/>
              <w:t>RT-06</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EA937C6" w14:textId="77777777" w:rsidR="00164BE6" w:rsidRDefault="00000000">
            <w:r>
              <w:rPr>
                <w:sz w:val="20"/>
                <w:szCs w:val="20"/>
              </w:rPr>
              <w:t>Garantizar alta disponibilidad y continuidad operativa (respaldo y plan de recuperación ante desastres).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CCD669F" w14:textId="77777777" w:rsidR="00164BE6" w:rsidRDefault="00000000">
            <w:r>
              <w:rPr>
                <w:sz w:val="20"/>
                <w:szCs w:val="20"/>
              </w:rPr>
              <w:t>RTO ≤ 4 h y RPO ≤ 1 h para servicios críticos; respaldos diarios verificados.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EE6A460"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13CBCB6" w14:textId="77777777" w:rsidR="00164BE6" w:rsidRDefault="00000000">
            <w:r>
              <w:rPr>
                <w:sz w:val="20"/>
                <w:szCs w:val="20"/>
              </w:rPr>
              <w:t>MET-04, OBJ-05</w:t>
            </w:r>
          </w:p>
        </w:tc>
      </w:tr>
      <w:tr w:rsidR="00164BE6" w14:paraId="6C49E30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CC416C0" w14:textId="77777777" w:rsidR="00164BE6" w:rsidRDefault="00000000">
            <w:r>
              <w:rPr>
                <w:sz w:val="20"/>
                <w:szCs w:val="20"/>
              </w:rPr>
              <w:t>RT-07</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9A9A109" w14:textId="77777777" w:rsidR="00164BE6" w:rsidRDefault="00000000">
            <w:r>
              <w:rPr>
                <w:sz w:val="20"/>
                <w:szCs w:val="20"/>
              </w:rPr>
              <w:t>Separar los entornos de cómputo (desarrollo, pruebas y producción) con despliegue controlado.</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B93CC94" w14:textId="77777777" w:rsidR="00164BE6" w:rsidRDefault="00000000">
            <w:r>
              <w:rPr>
                <w:sz w:val="20"/>
                <w:szCs w:val="20"/>
              </w:rPr>
              <w:t>3 entornos aislados con promoción mediante CI/CD.</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01C42C6" w14:textId="77777777" w:rsidR="00164BE6" w:rsidRDefault="00000000">
            <w:r>
              <w:rPr>
                <w:sz w:val="20"/>
                <w:szCs w:val="20"/>
              </w:rPr>
              <w:t>Should</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73A8D42" w14:textId="77777777" w:rsidR="00164BE6" w:rsidRDefault="00000000">
            <w:r>
              <w:rPr>
                <w:sz w:val="20"/>
                <w:szCs w:val="20"/>
              </w:rPr>
              <w:t>MET-04</w:t>
            </w:r>
          </w:p>
        </w:tc>
      </w:tr>
      <w:tr w:rsidR="00164BE6" w14:paraId="1A934C6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997A3BD" w14:textId="77777777" w:rsidR="00164BE6" w:rsidRDefault="00000000">
            <w:r>
              <w:rPr>
                <w:sz w:val="20"/>
                <w:szCs w:val="20"/>
              </w:rPr>
              <w:t>RT-08</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97170FC" w14:textId="77777777" w:rsidR="00164BE6" w:rsidRDefault="00000000">
            <w:r>
              <w:rPr>
                <w:sz w:val="20"/>
                <w:szCs w:val="20"/>
              </w:rPr>
              <w:t>Modernizar y segmentar la red de comunicaciones entre sedes municipales.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0085FE5" w14:textId="77777777" w:rsidR="00164BE6" w:rsidRDefault="00000000">
            <w:r>
              <w:rPr>
                <w:sz w:val="20"/>
                <w:szCs w:val="20"/>
              </w:rPr>
              <w:t>Red segmentada por zonas de seguridad; conectividad redundante a las sedes críticas.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C53A0D8" w14:textId="77777777" w:rsidR="00164BE6" w:rsidRDefault="00000000">
            <w:r>
              <w:rPr>
                <w:sz w:val="20"/>
                <w:szCs w:val="20"/>
              </w:rPr>
              <w:t>Should</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4E5157" w14:textId="77777777" w:rsidR="00164BE6" w:rsidRDefault="00000000">
            <w:r>
              <w:rPr>
                <w:sz w:val="20"/>
                <w:szCs w:val="20"/>
              </w:rPr>
              <w:t>MET-02</w:t>
            </w:r>
          </w:p>
        </w:tc>
      </w:tr>
      <w:tr w:rsidR="00164BE6" w14:paraId="7EF8CED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E6BE12" w14:textId="77777777" w:rsidR="00164BE6" w:rsidRDefault="00000000">
            <w:r>
              <w:rPr>
                <w:sz w:val="20"/>
                <w:szCs w:val="20"/>
              </w:rPr>
              <w:t>RT-09</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2168A48" w14:textId="77777777" w:rsidR="00164BE6" w:rsidRDefault="00000000">
            <w:r>
              <w:rPr>
                <w:sz w:val="20"/>
                <w:szCs w:val="20"/>
              </w:rPr>
              <w:t>Implementar observabilidad y monitoreo centralizado (logs, métricas y alertas).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5C3F2E0" w14:textId="77777777" w:rsidR="00164BE6" w:rsidRDefault="00000000">
            <w:r>
              <w:rPr>
                <w:sz w:val="20"/>
                <w:szCs w:val="20"/>
              </w:rPr>
              <w:t>Tablero único de disponibilidad y rendimiento; alertas automáticas por incumplimiento de SLA.</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9496BFE" w14:textId="77777777" w:rsidR="00164BE6" w:rsidRDefault="00000000">
            <w:r>
              <w:rPr>
                <w:sz w:val="20"/>
                <w:szCs w:val="20"/>
              </w:rPr>
              <w:t>Should</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0C0C957" w14:textId="77777777" w:rsidR="00164BE6" w:rsidRDefault="00000000">
            <w:r>
              <w:rPr>
                <w:sz w:val="20"/>
                <w:szCs w:val="20"/>
              </w:rPr>
              <w:t>MET-04</w:t>
            </w:r>
          </w:p>
        </w:tc>
      </w:tr>
      <w:tr w:rsidR="00164BE6" w14:paraId="7941356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A231B51" w14:textId="77777777" w:rsidR="00164BE6" w:rsidRDefault="00000000">
            <w:r>
              <w:rPr>
                <w:sz w:val="20"/>
                <w:szCs w:val="20"/>
              </w:rPr>
              <w:t>RT-10</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DBCD51" w14:textId="77777777" w:rsidR="00164BE6" w:rsidRDefault="00000000">
            <w:r>
              <w:rPr>
                <w:sz w:val="20"/>
                <w:szCs w:val="20"/>
              </w:rPr>
              <w:t>Racionalizar y decomisionar los componentes tecnológicos heredados redundantes.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E605C90" w14:textId="77777777" w:rsidR="00164BE6" w:rsidRDefault="00000000">
            <w:r>
              <w:rPr>
                <w:sz w:val="20"/>
                <w:szCs w:val="20"/>
              </w:rPr>
              <w:t>Plan de decomiso ejecutado para los sistemas redundantes priorizados.</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1CBECBB" w14:textId="77777777" w:rsidR="00164BE6" w:rsidRDefault="00000000">
            <w:r>
              <w:rPr>
                <w:sz w:val="20"/>
                <w:szCs w:val="20"/>
              </w:rPr>
              <w:t>Could</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745BBC4" w14:textId="77777777" w:rsidR="00164BE6" w:rsidRDefault="00000000">
            <w:r>
              <w:rPr>
                <w:sz w:val="20"/>
                <w:szCs w:val="20"/>
              </w:rPr>
              <w:t>MET-04, OBJ-03</w:t>
            </w:r>
          </w:p>
        </w:tc>
      </w:tr>
      <w:tr w:rsidR="00164BE6" w14:paraId="19E05CB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5A9A8A6" w14:textId="77777777" w:rsidR="00164BE6" w:rsidRDefault="00000000">
            <w:r>
              <w:rPr>
                <w:sz w:val="20"/>
                <w:szCs w:val="20"/>
              </w:rPr>
              <w:t>RT-11</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8B7BD0C" w14:textId="77777777" w:rsidR="00164BE6" w:rsidRDefault="00000000">
            <w:r>
              <w:rPr>
                <w:sz w:val="20"/>
                <w:szCs w:val="20"/>
              </w:rPr>
              <w:t>Consolidar un repositorio arquitectónico centralizado de los modelos tecnológicos.</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BDC5FE8" w14:textId="77777777" w:rsidR="00164BE6" w:rsidRDefault="00000000">
            <w:r>
              <w:rPr>
                <w:sz w:val="20"/>
                <w:szCs w:val="20"/>
              </w:rPr>
              <w:t>Modelos en ArchiMate 3.1 versionados en un repositorio único (Archi / Sparx EA).</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0582C5D" w14:textId="77777777" w:rsidR="00164BE6" w:rsidRDefault="00000000">
            <w:r>
              <w:rPr>
                <w:sz w:val="20"/>
                <w:szCs w:val="20"/>
              </w:rPr>
              <w:t>Should</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1AAA09C" w14:textId="77777777" w:rsidR="00164BE6" w:rsidRDefault="00000000">
            <w:r>
              <w:rPr>
                <w:sz w:val="20"/>
                <w:szCs w:val="20"/>
              </w:rPr>
              <w:t>OBJ-04</w:t>
            </w:r>
          </w:p>
        </w:tc>
      </w:tr>
      <w:tr w:rsidR="00164BE6" w14:paraId="2461418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F508FE6" w14:textId="77777777" w:rsidR="00164BE6" w:rsidRDefault="00000000">
            <w:r>
              <w:rPr>
                <w:sz w:val="20"/>
                <w:szCs w:val="20"/>
              </w:rPr>
              <w:t>RT-12</w:t>
            </w:r>
          </w:p>
        </w:tc>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0AD3ABA" w14:textId="77777777" w:rsidR="00164BE6" w:rsidRDefault="00000000">
            <w:r>
              <w:rPr>
                <w:sz w:val="20"/>
                <w:szCs w:val="20"/>
              </w:rPr>
              <w:t>Asegurar la residencia y soberanía de los datos conforme a la normativa nacional.</w:t>
            </w:r>
          </w:p>
        </w:tc>
        <w:tc>
          <w:tcPr>
            <w:tcW w:w="33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0B2D90B" w14:textId="77777777" w:rsidR="00164BE6" w:rsidRDefault="00000000">
            <w:r>
              <w:rPr>
                <w:sz w:val="20"/>
                <w:szCs w:val="20"/>
              </w:rPr>
              <w:t>Datos personales alojados conforme a la Ley 29733 y los lineamientos de la PCM.</w:t>
            </w:r>
          </w:p>
        </w:tc>
        <w:tc>
          <w:tcPr>
            <w:tcW w:w="7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83D7548" w14:textId="77777777" w:rsidR="00164BE6" w:rsidRDefault="00000000">
            <w:r>
              <w:rPr>
                <w:sz w:val="20"/>
                <w:szCs w:val="20"/>
              </w:rPr>
              <w:t>Must</w:t>
            </w:r>
          </w:p>
        </w:tc>
        <w:tc>
          <w:tcPr>
            <w:tcW w:w="144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8C90F6B" w14:textId="77777777" w:rsidR="00164BE6" w:rsidRDefault="00000000">
            <w:r>
              <w:rPr>
                <w:sz w:val="20"/>
                <w:szCs w:val="20"/>
              </w:rPr>
              <w:t>OBJ-06, MET-05</w:t>
            </w:r>
          </w:p>
        </w:tc>
      </w:tr>
    </w:tbl>
    <w:p w14:paraId="421CBB94" w14:textId="77777777" w:rsidR="00164BE6" w:rsidRDefault="00000000">
      <w:pPr>
        <w:spacing w:before="40" w:after="180"/>
      </w:pPr>
      <w:r>
        <w:rPr>
          <w:i/>
          <w:iCs/>
          <w:color w:val="595959"/>
          <w:sz w:val="18"/>
          <w:szCs w:val="18"/>
        </w:rPr>
        <w:t>Tabla 2.1. Catálogo de requisitos de la Arquitectura de Tecnología (Fase D).</w:t>
      </w:r>
    </w:p>
    <w:p w14:paraId="6354F22F" w14:textId="77777777" w:rsidR="00164BE6" w:rsidRDefault="00000000">
      <w:pPr>
        <w:pStyle w:val="Titre2"/>
      </w:pPr>
      <w:bookmarkStart w:id="3" w:name="_Toc232695263"/>
      <w:r>
        <w:rPr>
          <w:b w:val="0"/>
          <w:bCs w:val="0"/>
          <w:sz w:val="20"/>
          <w:szCs w:val="20"/>
        </w:rPr>
        <w:t>2.2. Requisitos de interoperabilidad</w:t>
      </w:r>
      <w:bookmarkEnd w:id="3"/>
    </w:p>
    <w:p w14:paraId="4CDBD19C" w14:textId="77777777" w:rsidR="00164BE6" w:rsidRDefault="00000000">
      <w:pPr>
        <w:spacing w:after="120"/>
      </w:pPr>
      <w:r>
        <w:t>Requisitos relativos a la interoperabilidad técnica entre plataformas, entornos y servicios, internos y del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60"/>
        <w:gridCol w:w="4200"/>
      </w:tblGrid>
      <w:tr w:rsidR="00164BE6" w14:paraId="00E6AB06"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28053407" w14:textId="77777777" w:rsidR="00164BE6" w:rsidRDefault="00000000">
            <w:r>
              <w:rPr>
                <w:b/>
                <w:bCs/>
                <w:color w:val="FFFFFF"/>
                <w:sz w:val="20"/>
                <w:szCs w:val="20"/>
              </w:rPr>
              <w:t>ID</w:t>
            </w:r>
          </w:p>
        </w:tc>
        <w:tc>
          <w:tcPr>
            <w:tcW w:w="42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6AA9A8A9" w14:textId="77777777" w:rsidR="00164BE6" w:rsidRDefault="00000000">
            <w:r>
              <w:rPr>
                <w:b/>
                <w:bCs/>
                <w:color w:val="FFFFFF"/>
                <w:sz w:val="20"/>
                <w:szCs w:val="20"/>
              </w:rPr>
              <w:t>Requisito de interoperabilidad técnica</w:t>
            </w:r>
          </w:p>
        </w:tc>
        <w:tc>
          <w:tcPr>
            <w:tcW w:w="42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9B85D79" w14:textId="77777777" w:rsidR="00164BE6" w:rsidRDefault="00000000">
            <w:r>
              <w:rPr>
                <w:b/>
                <w:bCs/>
                <w:color w:val="FFFFFF"/>
                <w:sz w:val="20"/>
                <w:szCs w:val="20"/>
              </w:rPr>
              <w:t>Criterio de aceptación</w:t>
            </w:r>
          </w:p>
        </w:tc>
      </w:tr>
      <w:tr w:rsidR="00164BE6" w14:paraId="6F00E27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C3BC445" w14:textId="77777777" w:rsidR="00164BE6" w:rsidRDefault="00000000">
            <w:r>
              <w:rPr>
                <w:sz w:val="20"/>
                <w:szCs w:val="20"/>
              </w:rPr>
              <w:t>RIT-01</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BE562AA" w14:textId="77777777" w:rsidR="00164BE6" w:rsidRDefault="00000000">
            <w:r>
              <w:rPr>
                <w:sz w:val="20"/>
                <w:szCs w:val="20"/>
              </w:rPr>
              <w:t>Exponer y consumir servicios mediante APIs REST documentadas.</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A06B955" w14:textId="77777777" w:rsidR="00164BE6" w:rsidRDefault="00000000">
            <w:r>
              <w:rPr>
                <w:sz w:val="20"/>
                <w:szCs w:val="20"/>
              </w:rPr>
              <w:t>Las APIs en alcance se publican con especificación OpenAPI y versionado.</w:t>
            </w:r>
          </w:p>
        </w:tc>
      </w:tr>
      <w:tr w:rsidR="00164BE6" w14:paraId="33D9DE9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FFC8C61" w14:textId="77777777" w:rsidR="00164BE6" w:rsidRDefault="00000000">
            <w:r>
              <w:rPr>
                <w:sz w:val="20"/>
                <w:szCs w:val="20"/>
              </w:rPr>
              <w:t>RIT-02</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6A2320A" w14:textId="77777777" w:rsidR="00164BE6" w:rsidRDefault="00000000">
            <w:r>
              <w:rPr>
                <w:sz w:val="20"/>
                <w:szCs w:val="20"/>
              </w:rPr>
              <w:t>Conectividad con la PIDE conforme a los estándares técnicos de la SGTD–PCM.</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7668A70" w14:textId="77777777" w:rsidR="00164BE6" w:rsidRDefault="00000000">
            <w:r>
              <w:rPr>
                <w:sz w:val="20"/>
                <w:szCs w:val="20"/>
              </w:rPr>
              <w:t>El intercambio con la PIDE cumple los esquemas y protocolos definidos por la PCM.</w:t>
            </w:r>
          </w:p>
        </w:tc>
      </w:tr>
      <w:tr w:rsidR="00164BE6" w14:paraId="1581269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83D93C9" w14:textId="77777777" w:rsidR="00164BE6" w:rsidRDefault="00000000">
            <w:r>
              <w:rPr>
                <w:sz w:val="20"/>
                <w:szCs w:val="20"/>
              </w:rPr>
              <w:t>RIT-03</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D5B57B0" w14:textId="77777777" w:rsidR="00164BE6" w:rsidRDefault="00000000">
            <w:r>
              <w:rPr>
                <w:sz w:val="20"/>
                <w:szCs w:val="20"/>
              </w:rPr>
              <w:t>Autenticación de servicios mediante estándares abiertos (OAuth 2.0 / OIDC).</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43FFAB1" w14:textId="77777777" w:rsidR="00164BE6" w:rsidRDefault="00000000">
            <w:r>
              <w:rPr>
                <w:sz w:val="20"/>
                <w:szCs w:val="20"/>
              </w:rPr>
              <w:t>Los servicios protegidos se autentican con tokens conforme a OAuth 2.0 / OIDC.</w:t>
            </w:r>
          </w:p>
        </w:tc>
      </w:tr>
      <w:tr w:rsidR="00164BE6" w14:paraId="63B92B43"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6B2B4AB" w14:textId="77777777" w:rsidR="00164BE6" w:rsidRDefault="00000000">
            <w:r>
              <w:rPr>
                <w:sz w:val="20"/>
                <w:szCs w:val="20"/>
              </w:rPr>
              <w:t>RIT-04</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0C9CBFA" w14:textId="77777777" w:rsidR="00164BE6" w:rsidRDefault="00000000">
            <w:r>
              <w:rPr>
                <w:sz w:val="20"/>
                <w:szCs w:val="20"/>
              </w:rPr>
              <w:t>Compatibilidad con la firma digital del Estado (certificados IOFE/RENIEC).</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8A31714" w14:textId="77777777" w:rsidR="00164BE6" w:rsidRDefault="00000000">
            <w:r>
              <w:rPr>
                <w:sz w:val="20"/>
                <w:szCs w:val="20"/>
              </w:rPr>
              <w:t>Las resoluciones y certificados se firman con certificados válidos del IOFE.</w:t>
            </w:r>
          </w:p>
        </w:tc>
      </w:tr>
      <w:tr w:rsidR="00164BE6" w14:paraId="193B705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1BD90BD" w14:textId="77777777" w:rsidR="00164BE6" w:rsidRDefault="00000000">
            <w:r>
              <w:rPr>
                <w:sz w:val="20"/>
                <w:szCs w:val="20"/>
              </w:rPr>
              <w:t>RIT-05</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06695F9" w14:textId="77777777" w:rsidR="00164BE6" w:rsidRDefault="00000000">
            <w:r>
              <w:rPr>
                <w:sz w:val="20"/>
                <w:szCs w:val="20"/>
              </w:rPr>
              <w:t>Interfaz con la pasarela de pagos del Estado / Gob.pe.</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A946034" w14:textId="77777777" w:rsidR="00164BE6" w:rsidRDefault="00000000">
            <w:r>
              <w:rPr>
                <w:sz w:val="20"/>
                <w:szCs w:val="20"/>
              </w:rPr>
              <w:t>Los pagos digitales se procesan por el servicio estatal habilitado, con conciliación.</w:t>
            </w:r>
          </w:p>
        </w:tc>
      </w:tr>
      <w:tr w:rsidR="00164BE6" w14:paraId="1E4E140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851EEC9" w14:textId="77777777" w:rsidR="00164BE6" w:rsidRDefault="00000000">
            <w:r>
              <w:rPr>
                <w:sz w:val="20"/>
                <w:szCs w:val="20"/>
              </w:rPr>
              <w:t>RIT-06</w:t>
            </w:r>
          </w:p>
        </w:tc>
        <w:tc>
          <w:tcPr>
            <w:tcW w:w="42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A425071" w14:textId="77777777" w:rsidR="00164BE6" w:rsidRDefault="00000000">
            <w:r>
              <w:rPr>
                <w:sz w:val="20"/>
                <w:szCs w:val="20"/>
              </w:rPr>
              <w:t>Modelado y documentación técnica común.</w:t>
            </w:r>
          </w:p>
        </w:tc>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D14B419" w14:textId="77777777" w:rsidR="00164BE6" w:rsidRDefault="00000000">
            <w:r>
              <w:rPr>
                <w:sz w:val="20"/>
                <w:szCs w:val="20"/>
              </w:rPr>
              <w:t>La Arquitectura de Tecnología se modela y documenta en ArchiMate 3.1.</w:t>
            </w:r>
          </w:p>
        </w:tc>
      </w:tr>
    </w:tbl>
    <w:p w14:paraId="346213A6" w14:textId="77777777" w:rsidR="00164BE6" w:rsidRDefault="00000000">
      <w:pPr>
        <w:pStyle w:val="Titre2"/>
      </w:pPr>
      <w:bookmarkStart w:id="4" w:name="_Toc232695264"/>
      <w:r>
        <w:rPr>
          <w:b w:val="0"/>
          <w:bCs w:val="0"/>
          <w:sz w:val="20"/>
          <w:szCs w:val="20"/>
        </w:rPr>
        <w:t>2.3. Restricciones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164BE6" w14:paraId="275DC20B"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3198A45E" w14:textId="77777777" w:rsidR="00164BE6" w:rsidRDefault="00000000">
            <w:r>
              <w:rPr>
                <w:b/>
                <w:bCs/>
                <w:color w:val="FFFFFF"/>
                <w:sz w:val="20"/>
                <w:szCs w:val="20"/>
              </w:rPr>
              <w:lastRenderedPageBreak/>
              <w:t>ID</w:t>
            </w:r>
          </w:p>
        </w:tc>
        <w:tc>
          <w:tcPr>
            <w:tcW w:w="66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47E6748D" w14:textId="77777777" w:rsidR="00164BE6" w:rsidRDefault="00000000">
            <w:r>
              <w:rPr>
                <w:b/>
                <w:bCs/>
                <w:color w:val="FFFFFF"/>
                <w:sz w:val="20"/>
                <w:szCs w:val="20"/>
              </w:rPr>
              <w:t>Restricción</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6F122D38" w14:textId="77777777" w:rsidR="00164BE6" w:rsidRDefault="00000000">
            <w:r>
              <w:rPr>
                <w:b/>
                <w:bCs/>
                <w:color w:val="FFFFFF"/>
                <w:sz w:val="20"/>
                <w:szCs w:val="20"/>
              </w:rPr>
              <w:t>Tipo</w:t>
            </w:r>
          </w:p>
        </w:tc>
      </w:tr>
      <w:tr w:rsidR="00164BE6" w14:paraId="239E2C6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2E9EDD9" w14:textId="77777777" w:rsidR="00164BE6" w:rsidRDefault="00000000">
            <w:r>
              <w:rPr>
                <w:sz w:val="20"/>
                <w:szCs w:val="20"/>
              </w:rPr>
              <w:t>RCT-01</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3566D1A" w14:textId="77777777" w:rsidR="00164BE6" w:rsidRDefault="00000000">
            <w:r>
              <w:rPr>
                <w:sz w:val="20"/>
                <w:szCs w:val="20"/>
              </w:rPr>
              <w:t>Coexistencia obligatoria con los sistemas heredados durante la transición.</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5A48564" w14:textId="77777777" w:rsidR="00164BE6" w:rsidRDefault="00000000">
            <w:r>
              <w:rPr>
                <w:sz w:val="20"/>
                <w:szCs w:val="20"/>
              </w:rPr>
              <w:t>Tecnológica</w:t>
            </w:r>
          </w:p>
        </w:tc>
      </w:tr>
      <w:tr w:rsidR="00164BE6" w14:paraId="290F79A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61AA53E" w14:textId="77777777" w:rsidR="00164BE6" w:rsidRDefault="00000000">
            <w:r>
              <w:rPr>
                <w:sz w:val="20"/>
                <w:szCs w:val="20"/>
              </w:rPr>
              <w:t>RCT-02</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74200FB" w14:textId="77777777" w:rsidR="00164BE6" w:rsidRDefault="00000000">
            <w:r>
              <w:rPr>
                <w:sz w:val="20"/>
                <w:szCs w:val="20"/>
              </w:rPr>
              <w:t>Dependencia de la disponibilidad de la PIDE y de los servicios del Estado.</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A2C85A2" w14:textId="77777777" w:rsidR="00164BE6" w:rsidRDefault="00000000">
            <w:r>
              <w:rPr>
                <w:sz w:val="20"/>
                <w:szCs w:val="20"/>
              </w:rPr>
              <w:t>Técnica</w:t>
            </w:r>
          </w:p>
        </w:tc>
      </w:tr>
      <w:tr w:rsidR="00164BE6" w14:paraId="41E7847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1BA1743" w14:textId="77777777" w:rsidR="00164BE6" w:rsidRDefault="00000000">
            <w:r>
              <w:rPr>
                <w:sz w:val="20"/>
                <w:szCs w:val="20"/>
              </w:rPr>
              <w:t>RCT-03</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B1B5641" w14:textId="77777777" w:rsidR="00164BE6" w:rsidRDefault="00000000">
            <w:r>
              <w:rPr>
                <w:sz w:val="20"/>
                <w:szCs w:val="20"/>
              </w:rPr>
              <w:t>Cumplimiento del D. L. N° 1412, D. S. N° 029-2021-PCM y el MADE.</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2C8F18E" w14:textId="77777777" w:rsidR="00164BE6" w:rsidRDefault="00000000">
            <w:r>
              <w:rPr>
                <w:sz w:val="20"/>
                <w:szCs w:val="20"/>
              </w:rPr>
              <w:t>Normativa</w:t>
            </w:r>
          </w:p>
        </w:tc>
      </w:tr>
      <w:tr w:rsidR="00164BE6" w14:paraId="61F0720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9D1A5B1" w14:textId="77777777" w:rsidR="00164BE6" w:rsidRDefault="00000000">
            <w:r>
              <w:rPr>
                <w:sz w:val="20"/>
                <w:szCs w:val="20"/>
              </w:rPr>
              <w:t>RCT-04</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ACE56B0" w14:textId="77777777" w:rsidR="00164BE6" w:rsidRDefault="00000000">
            <w:r>
              <w:rPr>
                <w:sz w:val="20"/>
                <w:szCs w:val="20"/>
              </w:rPr>
              <w:t>Protección y residencia de datos personales conforme a la Ley N° 29733.</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8E05A2E" w14:textId="77777777" w:rsidR="00164BE6" w:rsidRDefault="00000000">
            <w:r>
              <w:rPr>
                <w:sz w:val="20"/>
                <w:szCs w:val="20"/>
              </w:rPr>
              <w:t>Normativa</w:t>
            </w:r>
          </w:p>
        </w:tc>
      </w:tr>
      <w:tr w:rsidR="00164BE6" w14:paraId="6799C03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054204E" w14:textId="77777777" w:rsidR="00164BE6" w:rsidRDefault="00000000">
            <w:r>
              <w:rPr>
                <w:sz w:val="20"/>
                <w:szCs w:val="20"/>
              </w:rPr>
              <w:t>RCT-05</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6684A66" w14:textId="77777777" w:rsidR="00164BE6" w:rsidRDefault="00000000">
            <w:r>
              <w:rPr>
                <w:sz w:val="20"/>
                <w:szCs w:val="20"/>
              </w:rPr>
              <w:t>Presupuesto público limitado y sujeto a aprobación anual.</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9FADA69" w14:textId="77777777" w:rsidR="00164BE6" w:rsidRDefault="00000000">
            <w:r>
              <w:rPr>
                <w:sz w:val="20"/>
                <w:szCs w:val="20"/>
              </w:rPr>
              <w:t>Económica</w:t>
            </w:r>
          </w:p>
        </w:tc>
      </w:tr>
      <w:tr w:rsidR="00164BE6" w14:paraId="007F791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06EEDAC" w14:textId="77777777" w:rsidR="00164BE6" w:rsidRDefault="00000000">
            <w:r>
              <w:rPr>
                <w:sz w:val="20"/>
                <w:szCs w:val="20"/>
              </w:rPr>
              <w:t>RCT-06</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AA0991C" w14:textId="77777777" w:rsidR="00164BE6" w:rsidRDefault="00000000">
            <w:r>
              <w:rPr>
                <w:sz w:val="20"/>
                <w:szCs w:val="20"/>
              </w:rPr>
              <w:t>Madurez técnica aún incipiente del equipo de la GTI en las nuevas plataformas.</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E1E6E6F" w14:textId="77777777" w:rsidR="00164BE6" w:rsidRDefault="00000000">
            <w:r>
              <w:rPr>
                <w:sz w:val="20"/>
                <w:szCs w:val="20"/>
              </w:rPr>
              <w:t>Organizacional</w:t>
            </w:r>
          </w:p>
        </w:tc>
      </w:tr>
      <w:tr w:rsidR="00164BE6" w14:paraId="7D160B1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553FB08" w14:textId="77777777" w:rsidR="00164BE6" w:rsidRDefault="00000000">
            <w:r>
              <w:rPr>
                <w:sz w:val="20"/>
                <w:szCs w:val="20"/>
              </w:rPr>
              <w:t>RCT-07</w:t>
            </w:r>
          </w:p>
        </w:tc>
        <w:tc>
          <w:tcPr>
            <w:tcW w:w="66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1D23FCA" w14:textId="77777777" w:rsidR="00164BE6" w:rsidRDefault="00000000">
            <w:r>
              <w:rPr>
                <w:sz w:val="20"/>
                <w:szCs w:val="20"/>
              </w:rPr>
              <w:t>Seguridad de la información de extremo a extremo obligatoria (ISO/IEC 27001).</w:t>
            </w:r>
          </w:p>
        </w:tc>
        <w:tc>
          <w:tcPr>
            <w:tcW w:w="1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9E62494" w14:textId="77777777" w:rsidR="00164BE6" w:rsidRDefault="00000000">
            <w:r>
              <w:rPr>
                <w:sz w:val="20"/>
                <w:szCs w:val="20"/>
              </w:rPr>
              <w:t>De seguridad</w:t>
            </w:r>
          </w:p>
        </w:tc>
      </w:tr>
    </w:tbl>
    <w:p w14:paraId="51B5776E" w14:textId="77777777" w:rsidR="00164BE6" w:rsidRDefault="00000000">
      <w:pPr>
        <w:pStyle w:val="Titre2"/>
      </w:pPr>
      <w:bookmarkStart w:id="5" w:name="_Toc232695265"/>
      <w:r>
        <w:rPr>
          <w:b w:val="0"/>
          <w:bCs w:val="0"/>
          <w:sz w:val="20"/>
          <w:szCs w:val="20"/>
        </w:rPr>
        <w:t>2.4. Supuestos</w:t>
      </w:r>
      <w:bookmarkEnd w:id="5"/>
    </w:p>
    <w:p w14:paraId="39B3A8C7" w14:textId="77777777" w:rsidR="00164BE6" w:rsidRDefault="00000000">
      <w:pPr>
        <w:pStyle w:val="Paragraphedeliste"/>
        <w:numPr>
          <w:ilvl w:val="0"/>
          <w:numId w:val="2"/>
        </w:numPr>
        <w:spacing w:after="60"/>
      </w:pPr>
      <w:r>
        <w:t>Los servicios del Estado (PIDE, RENIEC, pagos, firma digital) están disponibles para la integración técnica.</w:t>
      </w:r>
    </w:p>
    <w:p w14:paraId="3C5EB0C3" w14:textId="77777777" w:rsidR="00164BE6" w:rsidRDefault="00000000">
      <w:pPr>
        <w:pStyle w:val="Paragraphedeliste"/>
        <w:numPr>
          <w:ilvl w:val="0"/>
          <w:numId w:val="2"/>
        </w:numPr>
        <w:spacing w:after="60"/>
      </w:pPr>
      <w:r>
        <w:t>Existe disponibilidad presupuestal para iniciar la migración a la nube y la plataforma de integración.</w:t>
      </w:r>
    </w:p>
    <w:p w14:paraId="17AFF3D9" w14:textId="77777777" w:rsidR="00164BE6" w:rsidRDefault="00000000">
      <w:pPr>
        <w:pStyle w:val="Paragraphedeliste"/>
        <w:numPr>
          <w:ilvl w:val="0"/>
          <w:numId w:val="2"/>
        </w:numPr>
        <w:spacing w:after="60"/>
      </w:pPr>
      <w:r>
        <w:t>La GTI participa en la transferencia de conocimiento y se capacita en las nuevas plataformas tecnológicas.</w:t>
      </w:r>
    </w:p>
    <w:p w14:paraId="542A787D" w14:textId="77777777" w:rsidR="00164BE6" w:rsidRDefault="00000000">
      <w:pPr>
        <w:pStyle w:val="Paragraphedeliste"/>
        <w:numPr>
          <w:ilvl w:val="0"/>
          <w:numId w:val="2"/>
        </w:numPr>
        <w:spacing w:after="60"/>
      </w:pPr>
      <w:r>
        <w:t>Las arquitecturas de Negocio (Fase B) y de Sistemas de Información (Fase C) están aprobadas y proveen los requisitos de entrada para la Fase D.</w:t>
      </w:r>
    </w:p>
    <w:p w14:paraId="7C5D3723" w14:textId="77777777" w:rsidR="00164BE6" w:rsidRDefault="00000000">
      <w:pPr>
        <w:pStyle w:val="Paragraphedeliste"/>
        <w:numPr>
          <w:ilvl w:val="0"/>
          <w:numId w:val="2"/>
        </w:numPr>
        <w:spacing w:after="60"/>
      </w:pPr>
      <w:r>
        <w:t>Los proveedores de nube cumplen los requisitos de seguridad y de residencia de datos exigidos por la normativa nacional.</w:t>
      </w:r>
    </w:p>
    <w:p w14:paraId="1F1930DA" w14:textId="77777777" w:rsidR="00164BE6" w:rsidRDefault="00000000">
      <w:pPr>
        <w:pStyle w:val="Titre2"/>
      </w:pPr>
      <w:bookmarkStart w:id="6" w:name="_Toc232695266"/>
      <w:r>
        <w:rPr>
          <w:b w:val="0"/>
          <w:bCs w:val="0"/>
          <w:sz w:val="20"/>
          <w:szCs w:val="20"/>
        </w:rPr>
        <w:t>2.5. Medidas de éxito (KPI)</w:t>
      </w:r>
      <w:bookmarkEnd w:id="6"/>
    </w:p>
    <w:p w14:paraId="2473EDD8" w14:textId="77777777" w:rsidR="00164BE6" w:rsidRDefault="00000000">
      <w:pPr>
        <w:spacing w:after="120"/>
      </w:pPr>
      <w:r>
        <w:t>Indicadores clave que cuantifican el logro de la Arquitectura de Tecnología objetivo.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060"/>
        <w:gridCol w:w="2100"/>
        <w:gridCol w:w="2100"/>
      </w:tblGrid>
      <w:tr w:rsidR="00164BE6" w14:paraId="736D5351" w14:textId="777777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E78385C" w14:textId="77777777" w:rsidR="00164BE6" w:rsidRDefault="00000000">
            <w:r>
              <w:rPr>
                <w:b/>
                <w:bCs/>
                <w:color w:val="FFFFFF"/>
                <w:sz w:val="20"/>
                <w:szCs w:val="20"/>
              </w:rPr>
              <w:t>ID</w:t>
            </w:r>
          </w:p>
        </w:tc>
        <w:tc>
          <w:tcPr>
            <w:tcW w:w="40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3516E070" w14:textId="77777777" w:rsidR="00164BE6" w:rsidRDefault="00000000">
            <w:r>
              <w:rPr>
                <w:b/>
                <w:bCs/>
                <w:color w:val="FFFFFF"/>
                <w:sz w:val="20"/>
                <w:szCs w:val="20"/>
              </w:rPr>
              <w:t>Indicador (KPI)</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49ACF94F" w14:textId="77777777" w:rsidR="00164BE6" w:rsidRDefault="00000000">
            <w:r>
              <w:rPr>
                <w:b/>
                <w:bCs/>
                <w:color w:val="FFFFFF"/>
                <w:sz w:val="20"/>
                <w:szCs w:val="20"/>
              </w:rPr>
              <w:t>Línea base</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BE536A0" w14:textId="77777777" w:rsidR="00164BE6" w:rsidRDefault="00000000">
            <w:r>
              <w:rPr>
                <w:b/>
                <w:bCs/>
                <w:color w:val="FFFFFF"/>
                <w:sz w:val="20"/>
                <w:szCs w:val="20"/>
              </w:rPr>
              <w:t>Meta</w:t>
            </w:r>
          </w:p>
        </w:tc>
      </w:tr>
      <w:tr w:rsidR="00164BE6" w14:paraId="1E2D462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422374C" w14:textId="77777777" w:rsidR="00164BE6" w:rsidRDefault="00000000">
            <w:r>
              <w:rPr>
                <w:sz w:val="20"/>
                <w:szCs w:val="20"/>
              </w:rPr>
              <w:t>KPI-T01</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FB03599" w14:textId="77777777" w:rsidR="00164BE6" w:rsidRDefault="00000000">
            <w:r>
              <w:rPr>
                <w:sz w:val="20"/>
                <w:szCs w:val="20"/>
              </w:rPr>
              <w:t>Disponibilidad de los servicios críticos.</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6052A5D" w14:textId="77777777" w:rsidR="00164BE6" w:rsidRDefault="00000000">
            <w:r>
              <w:rPr>
                <w:sz w:val="20"/>
                <w:szCs w:val="20"/>
              </w:rPr>
              <w:t>Limitada / reactiva</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370E53" w14:textId="77777777" w:rsidR="00164BE6" w:rsidRDefault="00000000">
            <w:r>
              <w:rPr>
                <w:sz w:val="20"/>
                <w:szCs w:val="20"/>
              </w:rPr>
              <w:t>≥ 99,5 %</w:t>
            </w:r>
          </w:p>
        </w:tc>
      </w:tr>
      <w:tr w:rsidR="00164BE6" w14:paraId="4AB31060"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9E8B190" w14:textId="77777777" w:rsidR="00164BE6" w:rsidRDefault="00000000">
            <w:r>
              <w:rPr>
                <w:sz w:val="20"/>
                <w:szCs w:val="20"/>
              </w:rPr>
              <w:t>KPI-T02</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EF0BD05" w14:textId="77777777" w:rsidR="00164BE6" w:rsidRDefault="00000000">
            <w:r>
              <w:rPr>
                <w:sz w:val="20"/>
                <w:szCs w:val="20"/>
              </w:rPr>
              <w:t>Cargas críticas operando en la nube.</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490759B" w14:textId="77777777" w:rsidR="00164BE6" w:rsidRDefault="00000000">
            <w:r>
              <w:rPr>
                <w:sz w:val="20"/>
                <w:szCs w:val="20"/>
              </w:rPr>
              <w:t>Baja</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4FCA0D6" w14:textId="77777777" w:rsidR="00164BE6" w:rsidRDefault="00000000">
            <w:r>
              <w:rPr>
                <w:sz w:val="20"/>
                <w:szCs w:val="20"/>
              </w:rPr>
              <w:t>≥ 70 %</w:t>
            </w:r>
          </w:p>
        </w:tc>
      </w:tr>
      <w:tr w:rsidR="00164BE6" w14:paraId="4F75D3F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2881C86" w14:textId="77777777" w:rsidR="00164BE6" w:rsidRDefault="00000000">
            <w:r>
              <w:rPr>
                <w:sz w:val="20"/>
                <w:szCs w:val="20"/>
              </w:rPr>
              <w:t>KPI-T03</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ABB1EDD" w14:textId="77777777" w:rsidR="00164BE6" w:rsidRDefault="00000000">
            <w:r>
              <w:rPr>
                <w:sz w:val="20"/>
                <w:szCs w:val="20"/>
              </w:rPr>
              <w:t>Continuidad de servicios críticos (RTO / RPO).</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79BEA7E" w14:textId="77777777" w:rsidR="00164BE6" w:rsidRDefault="00000000">
            <w:r>
              <w:rPr>
                <w:sz w:val="20"/>
                <w:szCs w:val="20"/>
              </w:rPr>
              <w:t>No definido</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37F8DF6" w14:textId="77777777" w:rsidR="00164BE6" w:rsidRDefault="00000000">
            <w:r>
              <w:rPr>
                <w:sz w:val="20"/>
                <w:szCs w:val="20"/>
              </w:rPr>
              <w:t>RTO ≤ 4 h / RPO ≤ 1 h</w:t>
            </w:r>
          </w:p>
        </w:tc>
      </w:tr>
      <w:tr w:rsidR="00164BE6" w14:paraId="245FBA5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65143AE" w14:textId="77777777" w:rsidR="00164BE6" w:rsidRDefault="00000000">
            <w:r>
              <w:rPr>
                <w:sz w:val="20"/>
                <w:szCs w:val="20"/>
              </w:rPr>
              <w:t>KPI-T04</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69E56B5" w14:textId="77777777" w:rsidR="00164BE6" w:rsidRDefault="00000000">
            <w:r>
              <w:rPr>
                <w:sz w:val="20"/>
                <w:szCs w:val="20"/>
              </w:rPr>
              <w:t>Integraciones a través del API Gateway (en alcance).</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3713832" w14:textId="77777777" w:rsidR="00164BE6" w:rsidRDefault="00000000">
            <w:r>
              <w:rPr>
                <w:sz w:val="20"/>
                <w:szCs w:val="20"/>
              </w:rPr>
              <w:t>Mínima</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98592DB" w14:textId="77777777" w:rsidR="00164BE6" w:rsidRDefault="00000000">
            <w:r>
              <w:rPr>
                <w:sz w:val="20"/>
                <w:szCs w:val="20"/>
              </w:rPr>
              <w:t>100 %</w:t>
            </w:r>
          </w:p>
        </w:tc>
      </w:tr>
      <w:tr w:rsidR="00164BE6" w14:paraId="2EDF0C5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77C9332" w14:textId="77777777" w:rsidR="00164BE6" w:rsidRDefault="00000000">
            <w:r>
              <w:rPr>
                <w:sz w:val="20"/>
                <w:szCs w:val="20"/>
              </w:rPr>
              <w:t>KPI-T05</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12794BE" w14:textId="77777777" w:rsidR="00164BE6" w:rsidRDefault="00000000">
            <w:r>
              <w:rPr>
                <w:sz w:val="20"/>
                <w:szCs w:val="20"/>
              </w:rPr>
              <w:t>Latencia media de integración entre sistemas.</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68223F9" w14:textId="77777777" w:rsidR="00164BE6" w:rsidRDefault="00000000">
            <w:r>
              <w:rPr>
                <w:sz w:val="20"/>
                <w:szCs w:val="20"/>
              </w:rPr>
              <w:t>—</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9AAF752" w14:textId="77777777" w:rsidR="00164BE6" w:rsidRDefault="00000000">
            <w:r>
              <w:rPr>
                <w:sz w:val="20"/>
                <w:szCs w:val="20"/>
              </w:rPr>
              <w:t>≤ 500 ms</w:t>
            </w:r>
          </w:p>
        </w:tc>
      </w:tr>
      <w:tr w:rsidR="00164BE6" w14:paraId="29E8905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DE90959" w14:textId="77777777" w:rsidR="00164BE6" w:rsidRDefault="00000000">
            <w:r>
              <w:rPr>
                <w:sz w:val="20"/>
                <w:szCs w:val="20"/>
              </w:rPr>
              <w:t>KPI-T06</w:t>
            </w:r>
          </w:p>
        </w:tc>
        <w:tc>
          <w:tcPr>
            <w:tcW w:w="4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0186776" w14:textId="77777777" w:rsidR="00164BE6" w:rsidRDefault="00000000">
            <w:r>
              <w:rPr>
                <w:sz w:val="20"/>
                <w:szCs w:val="20"/>
              </w:rPr>
              <w:t>Sistemas heredados redundantes decomisados.</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345E253" w14:textId="77777777" w:rsidR="00164BE6" w:rsidRDefault="00000000">
            <w:r>
              <w:rPr>
                <w:sz w:val="20"/>
                <w:szCs w:val="20"/>
              </w:rPr>
              <w:t>0</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B08566F" w14:textId="77777777" w:rsidR="00164BE6" w:rsidRDefault="00000000">
            <w:r>
              <w:rPr>
                <w:sz w:val="20"/>
                <w:szCs w:val="20"/>
              </w:rPr>
              <w:t>Los priorizados</w:t>
            </w:r>
          </w:p>
        </w:tc>
      </w:tr>
    </w:tbl>
    <w:p w14:paraId="59F6B718" w14:textId="77777777" w:rsidR="00164BE6" w:rsidRDefault="00000000">
      <w:pPr>
        <w:spacing w:before="40" w:after="180"/>
      </w:pPr>
      <w:r>
        <w:rPr>
          <w:i/>
          <w:iCs/>
          <w:color w:val="595959"/>
          <w:sz w:val="18"/>
          <w:szCs w:val="18"/>
        </w:rPr>
        <w:t>Tabla 2.2. Medidas de éxito de la Arquitectura de Tecnología.</w:t>
      </w:r>
    </w:p>
    <w:p w14:paraId="68DAEADC" w14:textId="77777777" w:rsidR="00164BE6" w:rsidRDefault="00000000">
      <w:pPr>
        <w:pStyle w:val="Titre1"/>
      </w:pPr>
      <w:bookmarkStart w:id="7" w:name="_Toc232695267"/>
      <w:r>
        <w:rPr>
          <w:b w:val="0"/>
          <w:bCs w:val="0"/>
          <w:sz w:val="20"/>
          <w:szCs w:val="20"/>
        </w:rPr>
        <w:t>3. Contratos de servicio</w:t>
      </w:r>
      <w:bookmarkEnd w:id="7"/>
    </w:p>
    <w:p w14:paraId="3170DD47" w14:textId="77777777" w:rsidR="00164BE6" w:rsidRDefault="00000000">
      <w:pPr>
        <w:pStyle w:val="Titre2"/>
      </w:pPr>
      <w:bookmarkStart w:id="8" w:name="_Toc232695268"/>
      <w:r>
        <w:rPr>
          <w:b w:val="0"/>
          <w:bCs w:val="0"/>
          <w:sz w:val="20"/>
          <w:szCs w:val="20"/>
        </w:rPr>
        <w:t>3.1. Contratos de servicio de aplicación</w:t>
      </w:r>
      <w:bookmarkEnd w:id="8"/>
    </w:p>
    <w:p w14:paraId="51E5C116" w14:textId="77777777" w:rsidR="00164BE6" w:rsidRDefault="00000000">
      <w:pPr>
        <w:spacing w:after="120"/>
      </w:pPr>
      <w:r>
        <w:lastRenderedPageBreak/>
        <w:t>Condiciones de los servicios de aplicación (APIs) soportados por la plataforma tecnológica, con sus niveles de servicio comprometidos.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164BE6" w14:paraId="11C6E3CC"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762D5017" w14:textId="77777777" w:rsidR="00164BE6" w:rsidRDefault="00000000">
            <w:r>
              <w:rPr>
                <w:b/>
                <w:bCs/>
                <w:color w:val="FFFFFF"/>
                <w:sz w:val="20"/>
                <w:szCs w:val="20"/>
              </w:rPr>
              <w:t>Servicio de aplicación</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43668029" w14:textId="77777777" w:rsidR="00164BE6" w:rsidRDefault="00000000">
            <w:r>
              <w:rPr>
                <w:b/>
                <w:bCs/>
                <w:color w:val="FFFFFF"/>
                <w:sz w:val="20"/>
                <w:szCs w:val="20"/>
              </w:rPr>
              <w:t>Provee</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4E4F7DD5" w14:textId="77777777" w:rsidR="00164BE6" w:rsidRDefault="00000000">
            <w:r>
              <w:rPr>
                <w:b/>
                <w:bCs/>
                <w:color w:val="FFFFFF"/>
                <w:sz w:val="20"/>
                <w:szCs w:val="20"/>
              </w:rPr>
              <w:t>Consume</w:t>
            </w:r>
          </w:p>
        </w:tc>
        <w:tc>
          <w:tcPr>
            <w:tcW w:w="21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5A9B4585" w14:textId="77777777" w:rsidR="00164BE6" w:rsidRDefault="00000000">
            <w:r>
              <w:rPr>
                <w:b/>
                <w:bCs/>
                <w:color w:val="FFFFFF"/>
                <w:sz w:val="20"/>
                <w:szCs w:val="20"/>
              </w:rPr>
              <w:t>Compromiso / Nivel de servicio</w:t>
            </w:r>
          </w:p>
        </w:tc>
      </w:tr>
      <w:tr w:rsidR="00164BE6" w14:paraId="43D57BC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61DD2D7" w14:textId="77777777" w:rsidR="00164BE6" w:rsidRDefault="00000000">
            <w:r>
              <w:rPr>
                <w:sz w:val="20"/>
                <w:szCs w:val="20"/>
              </w:rPr>
              <w:t>API de autenticación (IAM)</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12E51C2" w14:textId="77777777" w:rsidR="00164BE6" w:rsidRDefault="00000000">
            <w:r>
              <w:rPr>
                <w:sz w:val="20"/>
                <w:szCs w:val="20"/>
              </w:rPr>
              <w:t>Identidad validada y SSO</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903362D" w14:textId="77777777" w:rsidR="00164BE6" w:rsidRDefault="00000000">
            <w:r>
              <w:rPr>
                <w:sz w:val="20"/>
                <w:szCs w:val="20"/>
              </w:rPr>
              <w:t>Trámites y aplicaciones en alcance</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B4226C0" w14:textId="77777777" w:rsidR="00164BE6" w:rsidRDefault="00000000">
            <w:r>
              <w:rPr>
                <w:sz w:val="20"/>
                <w:szCs w:val="20"/>
              </w:rPr>
              <w:t>Alta disponibilidad; MFA para usuarios internos.</w:t>
            </w:r>
          </w:p>
        </w:tc>
      </w:tr>
      <w:tr w:rsidR="00164BE6" w14:paraId="0A1B86E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FF95315" w14:textId="77777777" w:rsidR="00164BE6" w:rsidRDefault="00000000">
            <w:r>
              <w:rPr>
                <w:sz w:val="20"/>
                <w:szCs w:val="20"/>
              </w:rPr>
              <w:t>API Gateway de integración</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AF540C4" w14:textId="77777777" w:rsidR="00164BE6" w:rsidRDefault="00000000">
            <w:r>
              <w:rPr>
                <w:sz w:val="20"/>
                <w:szCs w:val="20"/>
              </w:rPr>
              <w:t>Orquestación del intercambio interno y externo</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DC28E06" w14:textId="77777777" w:rsidR="00164BE6" w:rsidRDefault="00000000">
            <w:r>
              <w:rPr>
                <w:sz w:val="20"/>
                <w:szCs w:val="20"/>
              </w:rPr>
              <w:t>Sistemas internos / servicios del Estado</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BCF4874" w14:textId="77777777" w:rsidR="00164BE6" w:rsidRDefault="00000000">
            <w:r>
              <w:rPr>
                <w:sz w:val="20"/>
                <w:szCs w:val="20"/>
              </w:rPr>
              <w:t>Disponibilidad ≥ 99,5 %; latencia ≤ 500 ms.</w:t>
            </w:r>
          </w:p>
        </w:tc>
      </w:tr>
      <w:tr w:rsidR="00164BE6" w14:paraId="56847A2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D12E9AA" w14:textId="77777777" w:rsidR="00164BE6" w:rsidRDefault="00000000">
            <w:r>
              <w:rPr>
                <w:sz w:val="20"/>
                <w:szCs w:val="20"/>
              </w:rPr>
              <w:t>API de pagos</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99AFCDE" w14:textId="77777777" w:rsidR="00164BE6" w:rsidRDefault="00000000">
            <w:r>
              <w:rPr>
                <w:sz w:val="20"/>
                <w:szCs w:val="20"/>
              </w:rPr>
              <w:t>Procesamiento de pagos digitales</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9E3AFE3" w14:textId="77777777" w:rsidR="00164BE6" w:rsidRDefault="00000000">
            <w:r>
              <w:rPr>
                <w:sz w:val="20"/>
                <w:szCs w:val="20"/>
              </w:rPr>
              <w:t>Recaudación / licencias</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EDF45C4" w14:textId="77777777" w:rsidR="00164BE6" w:rsidRDefault="00000000">
            <w:r>
              <w:rPr>
                <w:sz w:val="20"/>
                <w:szCs w:val="20"/>
              </w:rPr>
              <w:t>Confirmación y conciliación automática.</w:t>
            </w:r>
          </w:p>
        </w:tc>
      </w:tr>
      <w:tr w:rsidR="00164BE6" w14:paraId="51C6165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34EC6B7" w14:textId="77777777" w:rsidR="00164BE6" w:rsidRDefault="00000000">
            <w:r>
              <w:rPr>
                <w:sz w:val="20"/>
                <w:szCs w:val="20"/>
              </w:rPr>
              <w:t>API de notificación</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02A3C2F" w14:textId="77777777" w:rsidR="00164BE6" w:rsidRDefault="00000000">
            <w:r>
              <w:rPr>
                <w:sz w:val="20"/>
                <w:szCs w:val="20"/>
              </w:rPr>
              <w:t>Envío de notificaciones electrónicas</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53D1E2" w14:textId="77777777" w:rsidR="00164BE6" w:rsidRDefault="00000000">
            <w:r>
              <w:rPr>
                <w:sz w:val="20"/>
                <w:szCs w:val="20"/>
              </w:rPr>
              <w:t>Todos los procesos en alcance</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DA799D9" w14:textId="77777777" w:rsidR="00164BE6" w:rsidRDefault="00000000">
            <w:r>
              <w:rPr>
                <w:sz w:val="20"/>
                <w:szCs w:val="20"/>
              </w:rPr>
              <w:t>Entrega registrada y trazable.</w:t>
            </w:r>
          </w:p>
        </w:tc>
      </w:tr>
      <w:tr w:rsidR="00164BE6" w14:paraId="39AD8BA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754C36E" w14:textId="77777777" w:rsidR="00164BE6" w:rsidRDefault="00000000">
            <w:r>
              <w:rPr>
                <w:sz w:val="20"/>
                <w:szCs w:val="20"/>
              </w:rPr>
              <w:t>Servicios PIDE</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9DA1E0A" w14:textId="77777777" w:rsidR="00164BE6" w:rsidRDefault="00000000">
            <w:r>
              <w:rPr>
                <w:sz w:val="20"/>
                <w:szCs w:val="20"/>
              </w:rPr>
              <w:t>Interoperabilidad interinstitucional</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FBF3F9F" w14:textId="77777777" w:rsidR="00164BE6" w:rsidRDefault="00000000">
            <w:r>
              <w:rPr>
                <w:sz w:val="20"/>
                <w:szCs w:val="20"/>
              </w:rPr>
              <w:t>Procesos integrados (RENIEC, SUNAT)</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6F8965E" w14:textId="77777777" w:rsidR="00164BE6" w:rsidRDefault="00000000">
            <w:r>
              <w:rPr>
                <w:sz w:val="20"/>
                <w:szCs w:val="20"/>
              </w:rPr>
              <w:t>Conforme a los estándares de la SGTD–PCM.</w:t>
            </w:r>
          </w:p>
        </w:tc>
      </w:tr>
    </w:tbl>
    <w:p w14:paraId="51D3A171" w14:textId="77777777" w:rsidR="00164BE6" w:rsidRDefault="00000000">
      <w:pPr>
        <w:pStyle w:val="Titre2"/>
      </w:pPr>
      <w:bookmarkStart w:id="9" w:name="_Toc232695269"/>
      <w:r>
        <w:rPr>
          <w:b w:val="0"/>
          <w:bCs w:val="0"/>
          <w:sz w:val="20"/>
          <w:szCs w:val="20"/>
        </w:rPr>
        <w:t>3.2. Contratos de servicio de tecnología / plataforma</w:t>
      </w:r>
      <w:bookmarkEnd w:id="9"/>
    </w:p>
    <w:p w14:paraId="3EE55E18" w14:textId="77777777" w:rsidR="00164BE6" w:rsidRDefault="00000000">
      <w:pPr>
        <w:spacing w:after="120"/>
      </w:pPr>
      <w:r>
        <w:t>Condiciones de los servicios de infraestructura y plataforma que sostienen la operación, con sus niveles de servicio operativos.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164BE6" w14:paraId="37176B09"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005783BB" w14:textId="77777777" w:rsidR="00164BE6" w:rsidRDefault="00000000">
            <w:r>
              <w:rPr>
                <w:b/>
                <w:bCs/>
                <w:color w:val="FFFFFF"/>
                <w:sz w:val="20"/>
                <w:szCs w:val="20"/>
              </w:rPr>
              <w:t>Servicio de tecnología</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38655B93" w14:textId="77777777" w:rsidR="00164BE6" w:rsidRDefault="00000000">
            <w:r>
              <w:rPr>
                <w:b/>
                <w:bCs/>
                <w:color w:val="FFFFFF"/>
                <w:sz w:val="20"/>
                <w:szCs w:val="20"/>
              </w:rPr>
              <w:t>Provee</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2376EA8D" w14:textId="77777777" w:rsidR="00164BE6" w:rsidRDefault="00000000">
            <w:r>
              <w:rPr>
                <w:b/>
                <w:bCs/>
                <w:color w:val="FFFFFF"/>
                <w:sz w:val="20"/>
                <w:szCs w:val="20"/>
              </w:rPr>
              <w:t>Consume</w:t>
            </w:r>
          </w:p>
        </w:tc>
        <w:tc>
          <w:tcPr>
            <w:tcW w:w="21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2410E46A" w14:textId="77777777" w:rsidR="00164BE6" w:rsidRDefault="00000000">
            <w:r>
              <w:rPr>
                <w:b/>
                <w:bCs/>
                <w:color w:val="FFFFFF"/>
                <w:sz w:val="20"/>
                <w:szCs w:val="20"/>
              </w:rPr>
              <w:t>Compromiso / Nivel de servicio</w:t>
            </w:r>
          </w:p>
        </w:tc>
      </w:tr>
      <w:tr w:rsidR="00164BE6" w14:paraId="0ABDCBF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871F869" w14:textId="77777777" w:rsidR="00164BE6" w:rsidRDefault="00000000">
            <w:r>
              <w:rPr>
                <w:sz w:val="20"/>
                <w:szCs w:val="20"/>
              </w:rPr>
              <w:t>Nube (IaaS/PaaS)</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7539A33" w14:textId="77777777" w:rsidR="00164BE6" w:rsidRDefault="00000000">
            <w:r>
              <w:rPr>
                <w:sz w:val="20"/>
                <w:szCs w:val="20"/>
              </w:rPr>
              <w:t>Cómputo y almacenamiento elástico</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D4F905D" w14:textId="77777777" w:rsidR="00164BE6" w:rsidRDefault="00000000">
            <w:r>
              <w:rPr>
                <w:sz w:val="20"/>
                <w:szCs w:val="20"/>
              </w:rPr>
              <w:t>Aplicaciones y datos en alcance</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0620099" w14:textId="77777777" w:rsidR="00164BE6" w:rsidRDefault="00000000">
            <w:r>
              <w:rPr>
                <w:sz w:val="20"/>
                <w:szCs w:val="20"/>
              </w:rPr>
              <w:t>Disponibilidad ≥ 99,5 %; autoescalado.</w:t>
            </w:r>
          </w:p>
        </w:tc>
      </w:tr>
      <w:tr w:rsidR="00164BE6" w14:paraId="6546D54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E47A405" w14:textId="77777777" w:rsidR="00164BE6" w:rsidRDefault="00000000">
            <w:r>
              <w:rPr>
                <w:sz w:val="20"/>
                <w:szCs w:val="20"/>
              </w:rPr>
              <w:t>Red y conectividad</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D6C1801" w14:textId="77777777" w:rsidR="00164BE6" w:rsidRDefault="00000000">
            <w:r>
              <w:rPr>
                <w:sz w:val="20"/>
                <w:szCs w:val="20"/>
              </w:rPr>
              <w:t>Conectividad entre sedes y hacia la nube</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6E19D15" w14:textId="77777777" w:rsidR="00164BE6" w:rsidRDefault="00000000">
            <w:r>
              <w:rPr>
                <w:sz w:val="20"/>
                <w:szCs w:val="20"/>
              </w:rPr>
              <w:t>Todas las cargas en alcance</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853E362" w14:textId="77777777" w:rsidR="00164BE6" w:rsidRDefault="00000000">
            <w:r>
              <w:rPr>
                <w:sz w:val="20"/>
                <w:szCs w:val="20"/>
              </w:rPr>
              <w:t>Enlace redundante a sedes críticas.</w:t>
            </w:r>
          </w:p>
        </w:tc>
      </w:tr>
      <w:tr w:rsidR="00164BE6" w14:paraId="5C21CF8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9710B36" w14:textId="77777777" w:rsidR="00164BE6" w:rsidRDefault="00000000">
            <w:r>
              <w:rPr>
                <w:sz w:val="20"/>
                <w:szCs w:val="20"/>
              </w:rPr>
              <w:t>Seguridad (SOC / IAM / cifrado)</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0C81193" w14:textId="77777777" w:rsidR="00164BE6" w:rsidRDefault="00000000">
            <w:r>
              <w:rPr>
                <w:sz w:val="20"/>
                <w:szCs w:val="20"/>
              </w:rPr>
              <w:t>Control de accesos, cifrado y monitoreo</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6571104" w14:textId="77777777" w:rsidR="00164BE6" w:rsidRDefault="00000000">
            <w:r>
              <w:rPr>
                <w:sz w:val="20"/>
                <w:szCs w:val="20"/>
              </w:rPr>
              <w:t>Toda la plataforma</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5348D69" w14:textId="77777777" w:rsidR="00164BE6" w:rsidRDefault="00000000">
            <w:r>
              <w:rPr>
                <w:sz w:val="20"/>
                <w:szCs w:val="20"/>
              </w:rPr>
              <w:t>Monitoreo 24/7; cumplimiento ISO 27001.</w:t>
            </w:r>
          </w:p>
        </w:tc>
      </w:tr>
      <w:tr w:rsidR="00164BE6" w14:paraId="22BD870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8228A51" w14:textId="77777777" w:rsidR="00164BE6" w:rsidRDefault="00000000">
            <w:r>
              <w:rPr>
                <w:sz w:val="20"/>
                <w:szCs w:val="20"/>
              </w:rPr>
              <w:t>Respaldo y continuidad (DRP)</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02101F9" w14:textId="77777777" w:rsidR="00164BE6" w:rsidRDefault="00000000">
            <w:r>
              <w:rPr>
                <w:sz w:val="20"/>
                <w:szCs w:val="20"/>
              </w:rPr>
              <w:t>Copias de respaldo y recuperación</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D5557F2" w14:textId="77777777" w:rsidR="00164BE6" w:rsidRDefault="00000000">
            <w:r>
              <w:rPr>
                <w:sz w:val="20"/>
                <w:szCs w:val="20"/>
              </w:rPr>
              <w:t>Servicios críticos</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E1B9205" w14:textId="77777777" w:rsidR="00164BE6" w:rsidRDefault="00000000">
            <w:r>
              <w:rPr>
                <w:sz w:val="20"/>
                <w:szCs w:val="20"/>
              </w:rPr>
              <w:t>RTO ≤ 4 h; RPO ≤ 1 h.</w:t>
            </w:r>
          </w:p>
        </w:tc>
      </w:tr>
      <w:tr w:rsidR="00164BE6" w14:paraId="27581EE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BF1CB21" w14:textId="77777777" w:rsidR="00164BE6" w:rsidRDefault="00000000">
            <w:r>
              <w:rPr>
                <w:sz w:val="20"/>
                <w:szCs w:val="20"/>
              </w:rPr>
              <w:t>Observabilidad / monitoreo</w:t>
            </w:r>
          </w:p>
        </w:tc>
        <w:tc>
          <w:tcPr>
            <w:tcW w:w="2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60AA04B" w14:textId="77777777" w:rsidR="00164BE6" w:rsidRDefault="00000000">
            <w:r>
              <w:rPr>
                <w:sz w:val="20"/>
                <w:szCs w:val="20"/>
              </w:rPr>
              <w:t>Logs, métricas y alertas</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0B44399" w14:textId="77777777" w:rsidR="00164BE6" w:rsidRDefault="00000000">
            <w:r>
              <w:rPr>
                <w:sz w:val="20"/>
                <w:szCs w:val="20"/>
              </w:rPr>
              <w:t>Operación de la plataforma</w:t>
            </w:r>
          </w:p>
        </w:tc>
        <w:tc>
          <w:tcPr>
            <w:tcW w:w="21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E922311" w14:textId="77777777" w:rsidR="00164BE6" w:rsidRDefault="00000000">
            <w:r>
              <w:rPr>
                <w:sz w:val="20"/>
                <w:szCs w:val="20"/>
              </w:rPr>
              <w:t>Tablero único; alertas por SLA.</w:t>
            </w:r>
          </w:p>
        </w:tc>
      </w:tr>
    </w:tbl>
    <w:p w14:paraId="7AA5D0E3" w14:textId="77777777" w:rsidR="00164BE6" w:rsidRDefault="00000000">
      <w:pPr>
        <w:pStyle w:val="Titre1"/>
      </w:pPr>
      <w:bookmarkStart w:id="10" w:name="_Toc232695270"/>
      <w:r>
        <w:rPr>
          <w:b w:val="0"/>
          <w:bCs w:val="0"/>
          <w:sz w:val="20"/>
          <w:szCs w:val="20"/>
        </w:rPr>
        <w:t>4. Implementación</w:t>
      </w:r>
      <w:bookmarkEnd w:id="10"/>
    </w:p>
    <w:p w14:paraId="464BA048" w14:textId="77777777" w:rsidR="00164BE6" w:rsidRDefault="00000000">
      <w:pPr>
        <w:pStyle w:val="Titre2"/>
      </w:pPr>
      <w:bookmarkStart w:id="11" w:name="_Toc232695271"/>
      <w:r>
        <w:rPr>
          <w:b w:val="0"/>
          <w:bCs w:val="0"/>
          <w:sz w:val="20"/>
          <w:szCs w:val="20"/>
        </w:rPr>
        <w:t>4.1. Directrices de implementación</w:t>
      </w:r>
      <w:bookmarkEnd w:id="11"/>
    </w:p>
    <w:p w14:paraId="5E50C1E5" w14:textId="77777777" w:rsidR="00164BE6" w:rsidRDefault="00000000">
      <w:pPr>
        <w:pStyle w:val="Paragraphedeliste"/>
        <w:numPr>
          <w:ilvl w:val="0"/>
          <w:numId w:val="2"/>
        </w:numPr>
        <w:spacing w:after="60"/>
      </w:pPr>
      <w:r>
        <w:t>Adoptar un enfoque «nube primero» (cloud-first) para las nuevas cargas, manteniendo la coexistencia con los sistemas heredados durante la transición.</w:t>
      </w:r>
    </w:p>
    <w:p w14:paraId="5B2B62EE" w14:textId="77777777" w:rsidR="00164BE6" w:rsidRDefault="00000000">
      <w:pPr>
        <w:pStyle w:val="Paragraphedeliste"/>
        <w:numPr>
          <w:ilvl w:val="0"/>
          <w:numId w:val="2"/>
        </w:numPr>
        <w:spacing w:after="60"/>
      </w:pPr>
      <w:r>
        <w:t>Integrar por servicios (API-first) a través del bus / API Gateway; evitar las integraciones punto a punto.</w:t>
      </w:r>
    </w:p>
    <w:p w14:paraId="2A7F1E27" w14:textId="77777777" w:rsidR="00164BE6" w:rsidRDefault="00000000">
      <w:pPr>
        <w:pStyle w:val="Paragraphedeliste"/>
        <w:numPr>
          <w:ilvl w:val="0"/>
          <w:numId w:val="2"/>
        </w:numPr>
        <w:spacing w:after="60"/>
      </w:pPr>
      <w:r>
        <w:t>Reutilizar los servicios comunes del Estado (PIDE, RENIEC, pagos, firma digital) en lugar de construir capacidades redundantes.</w:t>
      </w:r>
    </w:p>
    <w:p w14:paraId="69B481E7" w14:textId="77777777" w:rsidR="00164BE6" w:rsidRDefault="00000000">
      <w:pPr>
        <w:pStyle w:val="Paragraphedeliste"/>
        <w:numPr>
          <w:ilvl w:val="0"/>
          <w:numId w:val="2"/>
        </w:numPr>
        <w:spacing w:after="60"/>
      </w:pPr>
      <w:r>
        <w:lastRenderedPageBreak/>
        <w:t>Incorporar la seguridad por diseño (ISO/IEC 27001) y la protección de datos (Ley N° 29733) desde el primer incremento.</w:t>
      </w:r>
    </w:p>
    <w:p w14:paraId="4CE85C8D" w14:textId="77777777" w:rsidR="00164BE6" w:rsidRDefault="00000000">
      <w:pPr>
        <w:pStyle w:val="Paragraphedeliste"/>
        <w:numPr>
          <w:ilvl w:val="0"/>
          <w:numId w:val="2"/>
        </w:numPr>
        <w:spacing w:after="60"/>
      </w:pPr>
      <w:r>
        <w:t>Entregar por arquitecturas de transición, validando la disponibilidad y la continuidad con los KPI técnicos en cada paso.</w:t>
      </w:r>
    </w:p>
    <w:p w14:paraId="09335AB4" w14:textId="77777777" w:rsidR="00164BE6" w:rsidRDefault="00000000">
      <w:pPr>
        <w:pStyle w:val="Paragraphedeliste"/>
        <w:numPr>
          <w:ilvl w:val="0"/>
          <w:numId w:val="2"/>
        </w:numPr>
        <w:spacing w:after="60"/>
      </w:pPr>
      <w:r>
        <w:t>Separar los entornos (desarrollo, pruebas y producción) y automatizar el despliegue mediante CI/CD.</w:t>
      </w:r>
    </w:p>
    <w:p w14:paraId="122B57D4" w14:textId="77777777" w:rsidR="00164BE6" w:rsidRDefault="00000000">
      <w:pPr>
        <w:pStyle w:val="Paragraphedeliste"/>
        <w:numPr>
          <w:ilvl w:val="0"/>
          <w:numId w:val="2"/>
        </w:numPr>
        <w:spacing w:after="60"/>
      </w:pPr>
      <w:r>
        <w:t>Mantener los modelos tecnológicos actualizados en el repositorio arquitectónico (ArchiMate 3.1).</w:t>
      </w:r>
    </w:p>
    <w:p w14:paraId="23D5087B" w14:textId="77777777" w:rsidR="00164BE6" w:rsidRDefault="00000000">
      <w:pPr>
        <w:pStyle w:val="Titre2"/>
      </w:pPr>
      <w:bookmarkStart w:id="12" w:name="_Toc232695272"/>
      <w:r>
        <w:rPr>
          <w:b w:val="0"/>
          <w:bCs w:val="0"/>
          <w:sz w:val="20"/>
          <w:szCs w:val="20"/>
        </w:rPr>
        <w:t>4.2. Especificaciones de implementación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60"/>
        <w:gridCol w:w="2200"/>
      </w:tblGrid>
      <w:tr w:rsidR="00164BE6" w14:paraId="4C853F66" w14:textId="777777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3EB30D75" w14:textId="77777777" w:rsidR="00164BE6" w:rsidRDefault="00000000">
            <w:r>
              <w:rPr>
                <w:b/>
                <w:bCs/>
                <w:color w:val="FFFFFF"/>
                <w:sz w:val="20"/>
                <w:szCs w:val="20"/>
              </w:rPr>
              <w:t>ID</w:t>
            </w:r>
          </w:p>
        </w:tc>
        <w:tc>
          <w:tcPr>
            <w:tcW w:w="606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761812E0" w14:textId="77777777" w:rsidR="00164BE6" w:rsidRDefault="00000000">
            <w:r>
              <w:rPr>
                <w:b/>
                <w:bCs/>
                <w:color w:val="FFFFFF"/>
                <w:sz w:val="20"/>
                <w:szCs w:val="20"/>
              </w:rPr>
              <w:t>Especificación</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50" w:type="dxa"/>
              <w:left w:w="90" w:type="dxa"/>
              <w:bottom w:w="50" w:type="dxa"/>
              <w:right w:w="90" w:type="dxa"/>
            </w:tcMar>
            <w:vAlign w:val="center"/>
          </w:tcPr>
          <w:p w14:paraId="1498FF42" w14:textId="77777777" w:rsidR="00164BE6" w:rsidRDefault="00000000">
            <w:r>
              <w:rPr>
                <w:b/>
                <w:bCs/>
                <w:color w:val="FFFFFF"/>
                <w:sz w:val="20"/>
                <w:szCs w:val="20"/>
              </w:rPr>
              <w:t>Requisito asociado</w:t>
            </w:r>
          </w:p>
        </w:tc>
      </w:tr>
      <w:tr w:rsidR="00164BE6" w14:paraId="519539C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EDDFD47" w14:textId="77777777" w:rsidR="00164BE6" w:rsidRDefault="00000000">
            <w:r>
              <w:rPr>
                <w:sz w:val="20"/>
                <w:szCs w:val="20"/>
              </w:rPr>
              <w:t>ESP-T01</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54A62BD" w14:textId="77777777" w:rsidR="00164BE6" w:rsidRDefault="00000000">
            <w:r>
              <w:rPr>
                <w:sz w:val="20"/>
                <w:szCs w:val="20"/>
              </w:rPr>
              <w:t>Plataforma de nube (IaaS/PaaS) con autoescalado y respaldo.</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1BAAD3F" w14:textId="77777777" w:rsidR="00164BE6" w:rsidRDefault="00000000">
            <w:r>
              <w:rPr>
                <w:sz w:val="20"/>
                <w:szCs w:val="20"/>
              </w:rPr>
              <w:t>RT-01, RT-06</w:t>
            </w:r>
          </w:p>
        </w:tc>
      </w:tr>
      <w:tr w:rsidR="00164BE6" w14:paraId="1D6DA630"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4D58238" w14:textId="77777777" w:rsidR="00164BE6" w:rsidRDefault="00000000">
            <w:r>
              <w:rPr>
                <w:sz w:val="20"/>
                <w:szCs w:val="20"/>
              </w:rPr>
              <w:t>ESP-T02</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DF187C4" w14:textId="77777777" w:rsidR="00164BE6" w:rsidRDefault="00000000">
            <w:r>
              <w:rPr>
                <w:sz w:val="20"/>
                <w:szCs w:val="20"/>
              </w:rPr>
              <w:t>API Gateway / bus de servicios con catálogo de APIs (OpenAPI).</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5F259D8" w14:textId="77777777" w:rsidR="00164BE6" w:rsidRDefault="00000000">
            <w:r>
              <w:rPr>
                <w:sz w:val="20"/>
                <w:szCs w:val="20"/>
              </w:rPr>
              <w:t>RT-02, RIT-01</w:t>
            </w:r>
          </w:p>
        </w:tc>
      </w:tr>
      <w:tr w:rsidR="00164BE6" w14:paraId="0C96C3B4"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28D3670" w14:textId="77777777" w:rsidR="00164BE6" w:rsidRDefault="00000000">
            <w:r>
              <w:rPr>
                <w:sz w:val="20"/>
                <w:szCs w:val="20"/>
              </w:rPr>
              <w:t>ESP-T03</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E6E269A" w14:textId="77777777" w:rsidR="00164BE6" w:rsidRDefault="00000000">
            <w:r>
              <w:rPr>
                <w:sz w:val="20"/>
                <w:szCs w:val="20"/>
              </w:rPr>
              <w:t>Conector seguro a la PIDE y a los servicios del Estado.</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72CBB975" w14:textId="77777777" w:rsidR="00164BE6" w:rsidRDefault="00000000">
            <w:r>
              <w:rPr>
                <w:sz w:val="20"/>
                <w:szCs w:val="20"/>
              </w:rPr>
              <w:t>RT-03, RIT-02, RIT-04, RIT-05</w:t>
            </w:r>
          </w:p>
        </w:tc>
      </w:tr>
      <w:tr w:rsidR="00164BE6" w14:paraId="2C68A03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EDE9028" w14:textId="77777777" w:rsidR="00164BE6" w:rsidRDefault="00000000">
            <w:r>
              <w:rPr>
                <w:sz w:val="20"/>
                <w:szCs w:val="20"/>
              </w:rPr>
              <w:t>ESP-T04</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B4D181D" w14:textId="77777777" w:rsidR="00164BE6" w:rsidRDefault="00000000">
            <w:r>
              <w:rPr>
                <w:sz w:val="20"/>
                <w:szCs w:val="20"/>
              </w:rPr>
              <w:t>Plataforma IAM con inicio de sesión único (SSO) y MFA.</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7A2D240" w14:textId="77777777" w:rsidR="00164BE6" w:rsidRDefault="00000000">
            <w:r>
              <w:rPr>
                <w:sz w:val="20"/>
                <w:szCs w:val="20"/>
              </w:rPr>
              <w:t>RT-04, RIT-03</w:t>
            </w:r>
          </w:p>
        </w:tc>
      </w:tr>
      <w:tr w:rsidR="00164BE6" w14:paraId="4FED480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4D64175" w14:textId="77777777" w:rsidR="00164BE6" w:rsidRDefault="00000000">
            <w:r>
              <w:rPr>
                <w:sz w:val="20"/>
                <w:szCs w:val="20"/>
              </w:rPr>
              <w:t>ESP-T05</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6A99EE2F" w14:textId="77777777" w:rsidR="00164BE6" w:rsidRDefault="00000000">
            <w:r>
              <w:rPr>
                <w:sz w:val="20"/>
                <w:szCs w:val="20"/>
              </w:rPr>
              <w:t>Plataforma de seguridad: cifrado, SIEM/monitoreo 24/7 y registro de auditoría.</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E536242" w14:textId="77777777" w:rsidR="00164BE6" w:rsidRDefault="00000000">
            <w:r>
              <w:rPr>
                <w:sz w:val="20"/>
                <w:szCs w:val="20"/>
              </w:rPr>
              <w:t>RT-05, RT-09</w:t>
            </w:r>
          </w:p>
        </w:tc>
      </w:tr>
      <w:tr w:rsidR="00164BE6" w14:paraId="637C947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5CF039E2" w14:textId="77777777" w:rsidR="00164BE6" w:rsidRDefault="00000000">
            <w:r>
              <w:rPr>
                <w:sz w:val="20"/>
                <w:szCs w:val="20"/>
              </w:rPr>
              <w:t>ESP-T06</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6E9860C" w14:textId="77777777" w:rsidR="00164BE6" w:rsidRDefault="00000000">
            <w:r>
              <w:rPr>
                <w:sz w:val="20"/>
                <w:szCs w:val="20"/>
              </w:rPr>
              <w:t>Solución de respaldo y recuperación ante desastres (DRP) con RTO/RPO definidos.</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47C81FE6" w14:textId="77777777" w:rsidR="00164BE6" w:rsidRDefault="00000000">
            <w:r>
              <w:rPr>
                <w:sz w:val="20"/>
                <w:szCs w:val="20"/>
              </w:rPr>
              <w:t>RT-06</w:t>
            </w:r>
          </w:p>
        </w:tc>
      </w:tr>
      <w:tr w:rsidR="00164BE6" w14:paraId="367EEF8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D58983C" w14:textId="77777777" w:rsidR="00164BE6" w:rsidRDefault="00000000">
            <w:r>
              <w:rPr>
                <w:sz w:val="20"/>
                <w:szCs w:val="20"/>
              </w:rPr>
              <w:t>ESP-T07</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0AD50B12" w14:textId="77777777" w:rsidR="00164BE6" w:rsidRDefault="00000000">
            <w:r>
              <w:rPr>
                <w:sz w:val="20"/>
                <w:szCs w:val="20"/>
              </w:rPr>
              <w:t>Entornos de desarrollo, pruebas y producción con CI/CD.</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A1659C7" w14:textId="77777777" w:rsidR="00164BE6" w:rsidRDefault="00000000">
            <w:r>
              <w:rPr>
                <w:sz w:val="20"/>
                <w:szCs w:val="20"/>
              </w:rPr>
              <w:t>RT-07</w:t>
            </w:r>
          </w:p>
        </w:tc>
      </w:tr>
      <w:tr w:rsidR="00164BE6" w14:paraId="071335B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3EB7C56A" w14:textId="77777777" w:rsidR="00164BE6" w:rsidRDefault="00000000">
            <w:r>
              <w:rPr>
                <w:sz w:val="20"/>
                <w:szCs w:val="20"/>
              </w:rPr>
              <w:t>ESP-T08</w:t>
            </w:r>
          </w:p>
        </w:tc>
        <w:tc>
          <w:tcPr>
            <w:tcW w:w="606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2B1D5644" w14:textId="77777777" w:rsidR="00164BE6" w:rsidRDefault="00000000">
            <w:r>
              <w:rPr>
                <w:sz w:val="20"/>
                <w:szCs w:val="20"/>
              </w:rPr>
              <w:t>Repositorio arquitectónico centralizado (Archi / Sparx EA).</w:t>
            </w:r>
          </w:p>
        </w:tc>
        <w:tc>
          <w:tcPr>
            <w:tcW w:w="2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vAlign w:val="center"/>
          </w:tcPr>
          <w:p w14:paraId="1F83319E" w14:textId="77777777" w:rsidR="00164BE6" w:rsidRDefault="00000000">
            <w:r>
              <w:rPr>
                <w:sz w:val="20"/>
                <w:szCs w:val="20"/>
              </w:rPr>
              <w:t>RT-11</w:t>
            </w:r>
          </w:p>
        </w:tc>
      </w:tr>
    </w:tbl>
    <w:p w14:paraId="07018E79" w14:textId="77777777" w:rsidR="00164BE6" w:rsidRDefault="00000000">
      <w:pPr>
        <w:pStyle w:val="Titre2"/>
      </w:pPr>
      <w:bookmarkStart w:id="13" w:name="_Toc232695273"/>
      <w:r>
        <w:rPr>
          <w:b w:val="0"/>
          <w:bCs w:val="0"/>
          <w:sz w:val="20"/>
          <w:szCs w:val="20"/>
        </w:rPr>
        <w:t>4.3. Estándares de implementación</w:t>
      </w:r>
      <w:bookmarkEnd w:id="13"/>
    </w:p>
    <w:p w14:paraId="61C36044" w14:textId="77777777" w:rsidR="00164BE6" w:rsidRDefault="00000000">
      <w:pPr>
        <w:pStyle w:val="Paragraphedeliste"/>
        <w:numPr>
          <w:ilvl w:val="0"/>
          <w:numId w:val="2"/>
        </w:numPr>
        <w:spacing w:after="60"/>
      </w:pPr>
      <w:r>
        <w:t>Método y modelado: TOGAF (ADM) y ArchiMate 3.1.</w:t>
      </w:r>
    </w:p>
    <w:p w14:paraId="1F510645" w14:textId="77777777" w:rsidR="00164BE6" w:rsidRDefault="00000000">
      <w:pPr>
        <w:pStyle w:val="Paragraphedeliste"/>
        <w:numPr>
          <w:ilvl w:val="0"/>
          <w:numId w:val="2"/>
        </w:numPr>
        <w:spacing w:after="60"/>
      </w:pPr>
      <w:r>
        <w:t>Gobierno digital: D. L. N° 1412, D. S. N° 029-2021-PCM, MADE y lineamientos de la SGTD–PCM.</w:t>
      </w:r>
    </w:p>
    <w:p w14:paraId="026A3852" w14:textId="77777777" w:rsidR="00164BE6" w:rsidRDefault="00000000">
      <w:pPr>
        <w:pStyle w:val="Paragraphedeliste"/>
        <w:numPr>
          <w:ilvl w:val="0"/>
          <w:numId w:val="2"/>
        </w:numPr>
        <w:spacing w:after="60"/>
      </w:pPr>
      <w:r>
        <w:t>Seguridad y datos: ISO/IEC 27001 y Ley N° 29733 (protección de datos personales).</w:t>
      </w:r>
    </w:p>
    <w:p w14:paraId="3FFF5E8E" w14:textId="77777777" w:rsidR="00164BE6" w:rsidRDefault="00000000">
      <w:pPr>
        <w:pStyle w:val="Paragraphedeliste"/>
        <w:numPr>
          <w:ilvl w:val="0"/>
          <w:numId w:val="2"/>
        </w:numPr>
        <w:spacing w:after="60"/>
      </w:pPr>
      <w:r>
        <w:t>Interoperabilidad: estándares de la PIDE, APIs REST/OpenAPI, OAuth 2.0 / OIDC y firma digital del IOFE.</w:t>
      </w:r>
    </w:p>
    <w:p w14:paraId="42DB5357" w14:textId="77777777" w:rsidR="00164BE6" w:rsidRDefault="00000000">
      <w:pPr>
        <w:pStyle w:val="Paragraphedeliste"/>
        <w:numPr>
          <w:ilvl w:val="0"/>
          <w:numId w:val="2"/>
        </w:numPr>
        <w:spacing w:after="60"/>
      </w:pPr>
      <w:r>
        <w:t>Gestión de servicios y proyectos: ITIL 4 y PMI/PMBOK.</w:t>
      </w:r>
    </w:p>
    <w:p w14:paraId="731914B5" w14:textId="77777777" w:rsidR="00164BE6" w:rsidRDefault="00000000">
      <w:pPr>
        <w:pStyle w:val="Paragraphedeliste"/>
        <w:numPr>
          <w:ilvl w:val="0"/>
          <w:numId w:val="2"/>
        </w:numPr>
        <w:spacing w:after="60"/>
      </w:pPr>
      <w:r>
        <w:t>Nube y operación: prácticas de continuidad (RTO/RPO), respaldo verificado y despliegue automatizado (CI/CD).</w:t>
      </w:r>
    </w:p>
    <w:sectPr w:rsidR="00164BE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C4D8" w14:textId="77777777" w:rsidR="00E6420F" w:rsidRDefault="00E6420F">
      <w:r>
        <w:separator/>
      </w:r>
    </w:p>
  </w:endnote>
  <w:endnote w:type="continuationSeparator" w:id="0">
    <w:p w14:paraId="40C36915" w14:textId="77777777" w:rsidR="00E6420F" w:rsidRDefault="00E64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1F7B" w14:textId="77777777" w:rsidR="00164BE6" w:rsidRDefault="00000000">
    <w:pPr>
      <w:pBdr>
        <w:top w:val="single" w:sz="6" w:space="4" w:color="1F4E79"/>
      </w:pBdr>
      <w:tabs>
        <w:tab w:val="center" w:pos="4680"/>
        <w:tab w:val="right" w:pos="9360"/>
      </w:tabs>
    </w:pPr>
    <w:r>
      <w:rPr>
        <w:color w:val="595959"/>
        <w:sz w:val="16"/>
        <w:szCs w:val="16"/>
      </w:rPr>
      <w:t>Fase D — Arquitectura de Tecnología</w:t>
    </w:r>
    <w:r>
      <w:rPr>
        <w:color w:val="595959"/>
        <w:sz w:val="16"/>
        <w:szCs w:val="16"/>
      </w:rPr>
      <w:tab/>
      <w:t>Municipalidad Metropolitana de Lima</w:t>
    </w:r>
    <w:r>
      <w:rPr>
        <w:color w:val="595959"/>
        <w:sz w:val="16"/>
        <w:szCs w:val="16"/>
      </w:rPr>
      <w:tab/>
      <w:t xml:space="preserve">Pág. </w:t>
    </w:r>
    <w:r>
      <w:rPr>
        <w:color w:val="595959"/>
        <w:sz w:val="16"/>
        <w:szCs w:val="16"/>
      </w:rPr>
      <w:fldChar w:fldCharType="begin"/>
    </w:r>
    <w:r>
      <w:rPr>
        <w:color w:val="595959"/>
        <w:sz w:val="16"/>
        <w:szCs w:val="16"/>
      </w:rPr>
      <w:instrText>PAGE</w:instrText>
    </w:r>
    <w:r>
      <w:rPr>
        <w:color w:val="595959"/>
        <w:sz w:val="16"/>
        <w:szCs w:val="16"/>
      </w:rPr>
      <w:fldChar w:fldCharType="separate"/>
    </w:r>
    <w:r w:rsidR="00DB196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DB196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F1F1" w14:textId="77777777" w:rsidR="00E6420F" w:rsidRDefault="00E6420F">
      <w:r>
        <w:separator/>
      </w:r>
    </w:p>
  </w:footnote>
  <w:footnote w:type="continuationSeparator" w:id="0">
    <w:p w14:paraId="65745342" w14:textId="77777777" w:rsidR="00E6420F" w:rsidRDefault="00E64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04E2" w14:textId="77777777" w:rsidR="00164BE6" w:rsidRDefault="00000000">
    <w:pPr>
      <w:pBdr>
        <w:bottom w:val="single" w:sz="6" w:space="2" w:color="1F4E79"/>
      </w:pBdr>
      <w:tabs>
        <w:tab w:val="right" w:pos="9360"/>
      </w:tabs>
    </w:pPr>
    <w:r>
      <w:rPr>
        <w:b/>
        <w:bCs/>
        <w:color w:val="1F4E79"/>
        <w:sz w:val="16"/>
        <w:szCs w:val="16"/>
      </w:rPr>
      <w:t>TOGAF · MML — Fase D: Arquitectura de Tecnología</w:t>
    </w:r>
    <w:r>
      <w:rPr>
        <w:color w:val="595959"/>
        <w:sz w:val="16"/>
        <w:szCs w:val="16"/>
      </w:rPr>
      <w:tab/>
      <w:t>Especificación de Requisitos de Arquitectura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9B6"/>
    <w:multiLevelType w:val="hybridMultilevel"/>
    <w:tmpl w:val="EE805F78"/>
    <w:lvl w:ilvl="0" w:tplc="DAB2751C">
      <w:start w:val="1"/>
      <w:numFmt w:val="bullet"/>
      <w:lvlText w:val="●"/>
      <w:lvlJc w:val="left"/>
      <w:pPr>
        <w:ind w:left="720" w:hanging="360"/>
      </w:pPr>
    </w:lvl>
    <w:lvl w:ilvl="1" w:tplc="45A8CF1C">
      <w:start w:val="1"/>
      <w:numFmt w:val="bullet"/>
      <w:lvlText w:val="○"/>
      <w:lvlJc w:val="left"/>
      <w:pPr>
        <w:ind w:left="1440" w:hanging="360"/>
      </w:pPr>
    </w:lvl>
    <w:lvl w:ilvl="2" w:tplc="F5265C06">
      <w:start w:val="1"/>
      <w:numFmt w:val="bullet"/>
      <w:lvlText w:val="■"/>
      <w:lvlJc w:val="left"/>
      <w:pPr>
        <w:ind w:left="2160" w:hanging="360"/>
      </w:pPr>
    </w:lvl>
    <w:lvl w:ilvl="3" w:tplc="A8BCC7BC">
      <w:start w:val="1"/>
      <w:numFmt w:val="bullet"/>
      <w:lvlText w:val="●"/>
      <w:lvlJc w:val="left"/>
      <w:pPr>
        <w:ind w:left="2880" w:hanging="360"/>
      </w:pPr>
    </w:lvl>
    <w:lvl w:ilvl="4" w:tplc="3202E954">
      <w:start w:val="1"/>
      <w:numFmt w:val="bullet"/>
      <w:lvlText w:val="○"/>
      <w:lvlJc w:val="left"/>
      <w:pPr>
        <w:ind w:left="3600" w:hanging="360"/>
      </w:pPr>
    </w:lvl>
    <w:lvl w:ilvl="5" w:tplc="BB0E9C66">
      <w:start w:val="1"/>
      <w:numFmt w:val="bullet"/>
      <w:lvlText w:val="■"/>
      <w:lvlJc w:val="left"/>
      <w:pPr>
        <w:ind w:left="4320" w:hanging="360"/>
      </w:pPr>
    </w:lvl>
    <w:lvl w:ilvl="6" w:tplc="5C162672">
      <w:start w:val="1"/>
      <w:numFmt w:val="bullet"/>
      <w:lvlText w:val="●"/>
      <w:lvlJc w:val="left"/>
      <w:pPr>
        <w:ind w:left="5040" w:hanging="360"/>
      </w:pPr>
    </w:lvl>
    <w:lvl w:ilvl="7" w:tplc="6AF2431E">
      <w:start w:val="1"/>
      <w:numFmt w:val="bullet"/>
      <w:lvlText w:val="●"/>
      <w:lvlJc w:val="left"/>
      <w:pPr>
        <w:ind w:left="5760" w:hanging="360"/>
      </w:pPr>
    </w:lvl>
    <w:lvl w:ilvl="8" w:tplc="2606FD00">
      <w:start w:val="1"/>
      <w:numFmt w:val="bullet"/>
      <w:lvlText w:val="●"/>
      <w:lvlJc w:val="left"/>
      <w:pPr>
        <w:ind w:left="6480" w:hanging="360"/>
      </w:pPr>
    </w:lvl>
  </w:abstractNum>
  <w:abstractNum w:abstractNumId="1" w15:restartNumberingAfterBreak="0">
    <w:nsid w:val="1A0E498B"/>
    <w:multiLevelType w:val="hybridMultilevel"/>
    <w:tmpl w:val="25E2B138"/>
    <w:lvl w:ilvl="0" w:tplc="36502418">
      <w:start w:val="1"/>
      <w:numFmt w:val="bullet"/>
      <w:lvlText w:val="•"/>
      <w:lvlJc w:val="left"/>
      <w:pPr>
        <w:ind w:left="600" w:hanging="300"/>
      </w:pPr>
    </w:lvl>
    <w:lvl w:ilvl="1" w:tplc="2BAA8AFE">
      <w:numFmt w:val="decimal"/>
      <w:lvlText w:val=""/>
      <w:lvlJc w:val="left"/>
    </w:lvl>
    <w:lvl w:ilvl="2" w:tplc="B19E7B9E">
      <w:numFmt w:val="decimal"/>
      <w:lvlText w:val=""/>
      <w:lvlJc w:val="left"/>
    </w:lvl>
    <w:lvl w:ilvl="3" w:tplc="F970EEB2">
      <w:numFmt w:val="decimal"/>
      <w:lvlText w:val=""/>
      <w:lvlJc w:val="left"/>
    </w:lvl>
    <w:lvl w:ilvl="4" w:tplc="CC80D8EA">
      <w:numFmt w:val="decimal"/>
      <w:lvlText w:val=""/>
      <w:lvlJc w:val="left"/>
    </w:lvl>
    <w:lvl w:ilvl="5" w:tplc="43F8DB7A">
      <w:numFmt w:val="decimal"/>
      <w:lvlText w:val=""/>
      <w:lvlJc w:val="left"/>
    </w:lvl>
    <w:lvl w:ilvl="6" w:tplc="8BAE283C">
      <w:numFmt w:val="decimal"/>
      <w:lvlText w:val=""/>
      <w:lvlJc w:val="left"/>
    </w:lvl>
    <w:lvl w:ilvl="7" w:tplc="D0A25026">
      <w:numFmt w:val="decimal"/>
      <w:lvlText w:val=""/>
      <w:lvlJc w:val="left"/>
    </w:lvl>
    <w:lvl w:ilvl="8" w:tplc="194021CC">
      <w:numFmt w:val="decimal"/>
      <w:lvlText w:val=""/>
      <w:lvlJc w:val="left"/>
    </w:lvl>
  </w:abstractNum>
  <w:num w:numId="1" w16cid:durableId="1217474547">
    <w:abstractNumId w:val="0"/>
    <w:lvlOverride w:ilvl="0">
      <w:startOverride w:val="1"/>
    </w:lvlOverride>
  </w:num>
  <w:num w:numId="2" w16cid:durableId="587881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BE6"/>
    <w:rsid w:val="00164BE6"/>
    <w:rsid w:val="00D40361"/>
    <w:rsid w:val="00DB1965"/>
    <w:rsid w:val="00E642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12C4"/>
  <w15:docId w15:val="{18396E78-44D1-406D-9776-D7376D13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4E79"/>
      <w:sz w:val="28"/>
      <w:szCs w:val="28"/>
    </w:rPr>
  </w:style>
  <w:style w:type="paragraph" w:styleId="Titre2">
    <w:name w:val="heading 2"/>
    <w:uiPriority w:val="9"/>
    <w:unhideWhenUsed/>
    <w:qFormat/>
    <w:pPr>
      <w:spacing w:before="200" w:after="100"/>
      <w:outlineLvl w:val="1"/>
    </w:pPr>
    <w:rPr>
      <w:b/>
      <w:bCs/>
      <w:color w:val="2E549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B1965"/>
    <w:pPr>
      <w:spacing w:after="100"/>
    </w:pPr>
  </w:style>
  <w:style w:type="paragraph" w:styleId="TM2">
    <w:name w:val="toc 2"/>
    <w:basedOn w:val="Normal"/>
    <w:next w:val="Normal"/>
    <w:autoRedefine/>
    <w:uiPriority w:val="39"/>
    <w:unhideWhenUsed/>
    <w:rsid w:val="00DB196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2158</Words>
  <Characters>11873</Characters>
  <Application>Microsoft Office Word</Application>
  <DocSecurity>0</DocSecurity>
  <Lines>98</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Loriano CHAUVET</cp:lastModifiedBy>
  <cp:revision>2</cp:revision>
  <dcterms:created xsi:type="dcterms:W3CDTF">2026-06-18T22:18:00Z</dcterms:created>
  <dcterms:modified xsi:type="dcterms:W3CDTF">2026-06-18T22:18:00Z</dcterms:modified>
</cp:coreProperties>
</file>