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Arial" w:cs="Arial" w:eastAsia="Arial" w:hAnsi="Arial"/>
          <w:b/>
          <w:bCs/>
          <w:color w:val="2E8B8B"/>
          <w:spacing w:val="30"/>
          <w:sz w:val="24"/>
          <w:szCs w:val="24"/>
        </w:rPr>
        <w:t xml:space="preserve">MUNICIPALIDAD METROPOLITANA DE LIMA</w:t>
      </w:r>
    </w:p>
    <w:p>
      <w:pPr>
        <w:spacing w:after="20"/>
        <w:jc w:val="center"/>
      </w:pPr>
      <w:r>
        <w:rPr>
          <w:rFonts w:ascii="Arial" w:cs="Arial" w:eastAsia="Arial" w:hAnsi="Arial"/>
          <w:b/>
          <w:bCs/>
          <w:color w:val="5B2C87"/>
          <w:sz w:val="52"/>
          <w:szCs w:val="52"/>
        </w:rPr>
        <w:t xml:space="preserve">Hoja de Ruta de Arquitectura</w:t>
      </w:r>
    </w:p>
    <w:p>
      <w:pPr>
        <w:spacing w:after="6"/>
        <w:jc w:val="center"/>
      </w:pPr>
      <w:r>
        <w:rPr>
          <w:rFonts w:ascii="Arial" w:cs="Arial" w:eastAsia="Arial" w:hAnsi="Arial"/>
          <w:b/>
          <w:bCs/>
          <w:color w:val="2E8B8B"/>
          <w:sz w:val="28"/>
          <w:szCs w:val="28"/>
        </w:rPr>
        <w:t xml:space="preserve">Fase D — Arquitectura de Tecnología (Technology Architecture)</w:t>
      </w:r>
    </w:p>
    <w:p>
      <w:pPr>
        <w:pBdr>
          <w:bottom w:val="single" w:color="5B2C87" w:sz="12" w:space="10"/>
        </w:pBdr>
        <w:spacing w:after="8"/>
        <w:jc w:val="center"/>
      </w:pPr>
      <w:r>
        <w:rPr>
          <w:rFonts w:ascii="Arial" w:cs="Arial" w:eastAsia="Arial" w:hAnsi="Arial"/>
          <w:color w:val="2B2B2B"/>
          <w:sz w:val="20"/>
          <w:szCs w:val="20"/>
        </w:rPr>
        <w:t xml:space="preserve">Programa de Arquitectura Empresarial · Método ADM de TOGAF 9</w:t>
      </w:r>
    </w:p>
    <w:p>
      <w:pPr>
        <w:spacing w:after="4" w:before="140"/>
        <w:jc w:val="center"/>
      </w:pPr>
      <w:r>
        <w:rPr>
          <w:rFonts w:ascii="Arial" w:cs="Arial" w:eastAsia="Arial" w:hAnsi="Arial"/>
          <w:color w:val="2B2B2B"/>
          <w:sz w:val="20"/>
          <w:szCs w:val="20"/>
        </w:rPr>
        <w:t xml:space="preserve">TOGAF 9 (ADM)   ·   MADE — D.S. 029-2021-PCM   ·   ArchiMate 3.1</w:t>
      </w:r>
    </w:p>
    <w:p>
      <w:pPr>
        <w:spacing w:after="240" w:before="60"/>
        <w:jc w:val="center"/>
      </w:pPr>
      <w:r>
        <w:rPr>
          <w:rFonts w:ascii="Arial" w:cs="Arial" w:eastAsia="Arial" w:hAnsi="Arial"/>
          <w:i/>
          <w:iCs/>
          <w:color w:val="2E8B8B"/>
          <w:sz w:val="22"/>
          <w:szCs w:val="22"/>
        </w:rPr>
        <w:t xml:space="preserve">Versión 0.1 — Borrador</w:t>
      </w:r>
    </w:p>
    <w:p>
      <w:pPr>
        <w:spacing w:after="80" w:before="0" w:line="264"/>
        <w:jc w:val="left"/>
      </w:pPr>
      <w:r>
        <w:rPr>
          <w:rFonts w:ascii="Arial" w:cs="Arial" w:eastAsia="Arial" w:hAnsi="Arial"/>
          <w:b/>
          <w:bCs/>
          <w:i w:val="false"/>
          <w:iCs w:val="false"/>
          <w:color w:val="5B2C87"/>
          <w:sz w:val="24"/>
          <w:szCs w:val="24"/>
        </w:rPr>
        <w:t xml:space="preserve">Información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13"/>
        <w:gridCol w:w="2300"/>
        <w:gridCol w:w="2013"/>
      </w:tblGrid>
      <w:tr>
        <w:tc>
          <w:tcPr>
            <w:tcW w:type="dxa" w:w="2300"/>
            <w:gridSpan w:val="1"/>
            <w:tcBorders>
              <w:top w:val="single" w:color="D8CEE6" w:sz="2"/>
              <w:left w:val="single" w:color="D8CEE6" w:sz="2"/>
              <w:bottom w:val="single" w:color="D8CEE6" w:sz="2"/>
              <w:right w:val="single" w:color="D8CEE6" w:sz="2"/>
            </w:tcBorders>
            <w:shd w:fill="EDE7F3" w:val="clear"/>
            <w:tcMar>
              <w:top w:type="dxa" w:w="60"/>
              <w:left w:type="dxa" w:w="110"/>
              <w:bottom w:type="dxa" w:w="60"/>
              <w:right w:type="dxa" w:w="110"/>
            </w:tcMar>
            <w:vAlign w:val="center"/>
          </w:tcPr>
          <w:p>
            <w:pPr>
              <w:spacing w:after="0" w:line="244"/>
            </w:pPr>
            <w:r>
              <w:rPr>
                <w:rFonts w:ascii="Arial" w:cs="Arial" w:eastAsia="Arial" w:hAnsi="Arial"/>
                <w:b/>
                <w:bCs/>
                <w:color w:val="5B2C87"/>
                <w:sz w:val="19"/>
                <w:szCs w:val="19"/>
              </w:rPr>
              <w:t xml:space="preserve">Nombre del Proyecto:</w:t>
            </w:r>
          </w:p>
        </w:tc>
        <w:tc>
          <w:tcPr>
            <w:tcW w:type="dxa" w:w="6726"/>
            <w:gridSpan w:val="3"/>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Arquitectura Empresarial — Municipalidad Metropolitana de Lima</w:t>
            </w:r>
          </w:p>
        </w:tc>
      </w:tr>
      <w:tr>
        <w:tc>
          <w:tcPr>
            <w:tcW w:type="dxa" w:w="2300"/>
            <w:gridSpan w:val="1"/>
            <w:tcBorders>
              <w:top w:val="single" w:color="D8CEE6" w:sz="2"/>
              <w:left w:val="single" w:color="D8CEE6" w:sz="2"/>
              <w:bottom w:val="single" w:color="D8CEE6" w:sz="2"/>
              <w:right w:val="single" w:color="D8CEE6" w:sz="2"/>
            </w:tcBorders>
            <w:shd w:fill="EDE7F3" w:val="clear"/>
            <w:tcMar>
              <w:top w:type="dxa" w:w="60"/>
              <w:left w:type="dxa" w:w="110"/>
              <w:bottom w:type="dxa" w:w="60"/>
              <w:right w:type="dxa" w:w="110"/>
            </w:tcMar>
            <w:vAlign w:val="center"/>
          </w:tcPr>
          <w:p>
            <w:pPr>
              <w:spacing w:after="0" w:line="244"/>
            </w:pPr>
            <w:r>
              <w:rPr>
                <w:rFonts w:ascii="Arial" w:cs="Arial" w:eastAsia="Arial" w:hAnsi="Arial"/>
                <w:b/>
                <w:bCs/>
                <w:color w:val="5B2C87"/>
                <w:sz w:val="19"/>
                <w:szCs w:val="19"/>
              </w:rPr>
              <w:t xml:space="preserve">Preparado por:</w:t>
            </w:r>
          </w:p>
        </w:tc>
        <w:tc>
          <w:tcPr>
            <w:tcW w:type="dxa" w:w="2413"/>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Equipo de Arquitectura Empresarial — Dominio de Tecnología</w:t>
            </w:r>
          </w:p>
        </w:tc>
        <w:tc>
          <w:tcPr>
            <w:tcW w:type="dxa" w:w="2300"/>
            <w:gridSpan w:val="1"/>
            <w:tcBorders>
              <w:top w:val="single" w:color="D8CEE6" w:sz="2"/>
              <w:left w:val="single" w:color="D8CEE6" w:sz="2"/>
              <w:bottom w:val="single" w:color="D8CEE6" w:sz="2"/>
              <w:right w:val="single" w:color="D8CEE6" w:sz="2"/>
            </w:tcBorders>
            <w:shd w:fill="EDE7F3" w:val="clear"/>
            <w:tcMar>
              <w:top w:type="dxa" w:w="60"/>
              <w:left w:type="dxa" w:w="110"/>
              <w:bottom w:type="dxa" w:w="60"/>
              <w:right w:type="dxa" w:w="110"/>
            </w:tcMar>
            <w:vAlign w:val="center"/>
          </w:tcPr>
          <w:p>
            <w:pPr>
              <w:spacing w:after="0" w:line="244"/>
            </w:pPr>
            <w:r>
              <w:rPr>
                <w:rFonts w:ascii="Arial" w:cs="Arial" w:eastAsia="Arial" w:hAnsi="Arial"/>
                <w:b/>
                <w:bCs/>
                <w:color w:val="5B2C87"/>
                <w:sz w:val="19"/>
                <w:szCs w:val="19"/>
              </w:rPr>
              <w:t xml:space="preserve">Versión del Documento:</w:t>
            </w:r>
          </w:p>
        </w:tc>
        <w:tc>
          <w:tcPr>
            <w:tcW w:type="dxa" w:w="2013"/>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0.1</w:t>
            </w:r>
          </w:p>
        </w:tc>
      </w:tr>
      <w:tr>
        <w:tc>
          <w:tcPr>
            <w:tcW w:type="dxa" w:w="2300"/>
            <w:gridSpan w:val="1"/>
            <w:tcBorders>
              <w:top w:val="single" w:color="D8CEE6" w:sz="2"/>
              <w:left w:val="single" w:color="D8CEE6" w:sz="2"/>
              <w:bottom w:val="single" w:color="D8CEE6" w:sz="2"/>
              <w:right w:val="single" w:color="D8CEE6" w:sz="2"/>
            </w:tcBorders>
            <w:shd w:fill="EDE7F3" w:val="clear"/>
            <w:tcMar>
              <w:top w:type="dxa" w:w="60"/>
              <w:left w:type="dxa" w:w="110"/>
              <w:bottom w:type="dxa" w:w="60"/>
              <w:right w:type="dxa" w:w="110"/>
            </w:tcMar>
            <w:vAlign w:val="center"/>
          </w:tcPr>
          <w:p>
            <w:pPr>
              <w:spacing w:after="0" w:line="244"/>
            </w:pPr>
            <w:r>
              <w:rPr>
                <w:rFonts w:ascii="Arial" w:cs="Arial" w:eastAsia="Arial" w:hAnsi="Arial"/>
                <w:b/>
                <w:bCs/>
                <w:color w:val="5B2C87"/>
                <w:sz w:val="19"/>
                <w:szCs w:val="19"/>
              </w:rPr>
              <w:t xml:space="preserve">Título:</w:t>
            </w:r>
          </w:p>
        </w:tc>
        <w:tc>
          <w:tcPr>
            <w:tcW w:type="dxa" w:w="2413"/>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Hoja de Ruta de Arquitectura — Fase D</w:t>
            </w:r>
          </w:p>
        </w:tc>
        <w:tc>
          <w:tcPr>
            <w:tcW w:type="dxa" w:w="2300"/>
            <w:gridSpan w:val="1"/>
            <w:tcBorders>
              <w:top w:val="single" w:color="D8CEE6" w:sz="2"/>
              <w:left w:val="single" w:color="D8CEE6" w:sz="2"/>
              <w:bottom w:val="single" w:color="D8CEE6" w:sz="2"/>
              <w:right w:val="single" w:color="D8CEE6" w:sz="2"/>
            </w:tcBorders>
            <w:shd w:fill="EDE7F3" w:val="clear"/>
            <w:tcMar>
              <w:top w:type="dxa" w:w="60"/>
              <w:left w:type="dxa" w:w="110"/>
              <w:bottom w:type="dxa" w:w="60"/>
              <w:right w:type="dxa" w:w="110"/>
            </w:tcMar>
            <w:vAlign w:val="center"/>
          </w:tcPr>
          <w:p>
            <w:pPr>
              <w:spacing w:after="0" w:line="244"/>
            </w:pPr>
            <w:r>
              <w:rPr>
                <w:rFonts w:ascii="Arial" w:cs="Arial" w:eastAsia="Arial" w:hAnsi="Arial"/>
                <w:b/>
                <w:bCs/>
                <w:color w:val="5B2C87"/>
                <w:sz w:val="19"/>
                <w:szCs w:val="19"/>
              </w:rPr>
              <w:t xml:space="preserve">Fecha de la Versión:</w:t>
            </w:r>
          </w:p>
        </w:tc>
        <w:tc>
          <w:tcPr>
            <w:tcW w:type="dxa" w:w="2013"/>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18/06/2026</w:t>
            </w:r>
          </w:p>
        </w:tc>
      </w:tr>
      <w:tr>
        <w:tc>
          <w:tcPr>
            <w:tcW w:type="dxa" w:w="2300"/>
            <w:gridSpan w:val="1"/>
            <w:tcBorders>
              <w:top w:val="single" w:color="D8CEE6" w:sz="2"/>
              <w:left w:val="single" w:color="D8CEE6" w:sz="2"/>
              <w:bottom w:val="single" w:color="D8CEE6" w:sz="2"/>
              <w:right w:val="single" w:color="D8CEE6" w:sz="2"/>
            </w:tcBorders>
            <w:shd w:fill="EDE7F3" w:val="clear"/>
            <w:tcMar>
              <w:top w:type="dxa" w:w="60"/>
              <w:left w:type="dxa" w:w="110"/>
              <w:bottom w:type="dxa" w:w="60"/>
              <w:right w:type="dxa" w:w="110"/>
            </w:tcMar>
            <w:vAlign w:val="center"/>
          </w:tcPr>
          <w:p>
            <w:pPr>
              <w:spacing w:after="0" w:line="244"/>
            </w:pPr>
            <w:r>
              <w:rPr>
                <w:rFonts w:ascii="Arial" w:cs="Arial" w:eastAsia="Arial" w:hAnsi="Arial"/>
                <w:b/>
                <w:bCs/>
                <w:color w:val="5B2C87"/>
                <w:sz w:val="19"/>
                <w:szCs w:val="19"/>
              </w:rPr>
              <w:t xml:space="preserve">Revisado por:</w:t>
            </w:r>
          </w:p>
        </w:tc>
        <w:tc>
          <w:tcPr>
            <w:tcW w:type="dxa" w:w="2413"/>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Arquitecto Empresarial Principal</w:t>
            </w:r>
          </w:p>
        </w:tc>
        <w:tc>
          <w:tcPr>
            <w:tcW w:type="dxa" w:w="2300"/>
            <w:gridSpan w:val="1"/>
            <w:tcBorders>
              <w:top w:val="single" w:color="D8CEE6" w:sz="2"/>
              <w:left w:val="single" w:color="D8CEE6" w:sz="2"/>
              <w:bottom w:val="single" w:color="D8CEE6" w:sz="2"/>
              <w:right w:val="single" w:color="D8CEE6" w:sz="2"/>
            </w:tcBorders>
            <w:shd w:fill="EDE7F3" w:val="clear"/>
            <w:tcMar>
              <w:top w:type="dxa" w:w="60"/>
              <w:left w:type="dxa" w:w="110"/>
              <w:bottom w:type="dxa" w:w="60"/>
              <w:right w:type="dxa" w:w="110"/>
            </w:tcMar>
            <w:vAlign w:val="center"/>
          </w:tcPr>
          <w:p>
            <w:pPr>
              <w:spacing w:after="0" w:line="244"/>
            </w:pPr>
            <w:r>
              <w:rPr>
                <w:rFonts w:ascii="Arial" w:cs="Arial" w:eastAsia="Arial" w:hAnsi="Arial"/>
                <w:b/>
                <w:bCs/>
                <w:color w:val="5B2C87"/>
                <w:sz w:val="19"/>
                <w:szCs w:val="19"/>
              </w:rPr>
              <w:t xml:space="preserve">Fecha de Revisión:</w:t>
            </w:r>
          </w:p>
        </w:tc>
        <w:tc>
          <w:tcPr>
            <w:tcW w:type="dxa" w:w="2013"/>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w:t>
            </w:r>
          </w:p>
        </w:tc>
      </w:tr>
    </w:tbl>
    <w:p>
      <w:pPr>
        <w:spacing w:after="140"/>
      </w:pPr>
    </w:p>
    <w:p>
      <w:pPr>
        <w:spacing w:after="80" w:before="0" w:line="264"/>
        <w:jc w:val="left"/>
      </w:pPr>
      <w:r>
        <w:rPr>
          <w:rFonts w:ascii="Arial" w:cs="Arial" w:eastAsia="Arial" w:hAnsi="Arial"/>
          <w:b/>
          <w:bCs/>
          <w:i w:val="false"/>
          <w:iCs w:val="false"/>
          <w:color w:val="5B2C87"/>
          <w:sz w:val="24"/>
          <w:szCs w:val="24"/>
        </w:rPr>
        <w:t xml:space="preserve">Lista de Distribución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26"/>
      </w:tblGrid>
      <w:tr>
        <w:trPr>
          <w:tblHeader/>
        </w:trPr>
        <w:tc>
          <w:tcPr>
            <w:tcW w:type="dxa" w:w="38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De</w:t>
            </w:r>
          </w:p>
        </w:tc>
        <w:tc>
          <w:tcPr>
            <w:tcW w:type="dxa" w:w="22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Fecha</w:t>
            </w:r>
          </w:p>
        </w:tc>
        <w:tc>
          <w:tcPr>
            <w:tcW w:type="dxa" w:w="302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Teléfono / Fax / Email</w:t>
            </w:r>
          </w:p>
        </w:tc>
      </w:tr>
      <w:tr>
        <w:tc>
          <w:tcPr>
            <w:tcW w:type="dxa" w:w="38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Equipo de Arquitectura Empresarial — Dominio de Tecnología</w:t>
            </w:r>
          </w:p>
        </w:tc>
        <w:tc>
          <w:tcPr>
            <w:tcW w:type="dxa" w:w="22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18/06/2026</w:t>
            </w:r>
          </w:p>
        </w:tc>
        <w:tc>
          <w:tcPr>
            <w:tcW w:type="dxa" w:w="30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ae-tecnologia@munlima.gob.pe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1800"/>
        <w:gridCol w:w="2526"/>
      </w:tblGrid>
      <w:tr>
        <w:trPr>
          <w:tblHeader/>
        </w:trPr>
        <w:tc>
          <w:tcPr>
            <w:tcW w:type="dxa" w:w="31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Para</w:t>
            </w:r>
          </w:p>
        </w:tc>
        <w:tc>
          <w:tcPr>
            <w:tcW w:type="dxa" w:w="16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Acción*</w:t>
            </w:r>
          </w:p>
        </w:tc>
        <w:tc>
          <w:tcPr>
            <w:tcW w:type="dxa" w:w="18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Fecha Límite</w:t>
            </w:r>
          </w:p>
        </w:tc>
        <w:tc>
          <w:tcPr>
            <w:tcW w:type="dxa" w:w="252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Teléfono / Fax / Email</w:t>
            </w:r>
          </w:p>
        </w:tc>
      </w:tr>
      <w:tr>
        <w:tc>
          <w:tcPr>
            <w:tcW w:type="dxa" w:w="31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Comité de Arquitectura Empresarial</w:t>
            </w:r>
          </w:p>
        </w:tc>
        <w:tc>
          <w:tcPr>
            <w:tcW w:type="dxa" w:w="16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Aprobar</w:t>
            </w:r>
          </w:p>
        </w:tc>
        <w:tc>
          <w:tcPr>
            <w:tcW w:type="dxa" w:w="18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30/06/2026</w:t>
            </w:r>
          </w:p>
        </w:tc>
        <w:tc>
          <w:tcPr>
            <w:tcW w:type="dxa" w:w="25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comite-ae@munlima.gob.pe</w:t>
            </w:r>
          </w:p>
        </w:tc>
      </w:tr>
      <w:tr>
        <w:tc>
          <w:tcPr>
            <w:tcW w:type="dxa" w:w="31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Arquitecto Empresarial Principal</w:t>
            </w:r>
          </w:p>
        </w:tc>
        <w:tc>
          <w:tcPr>
            <w:tcW w:type="dxa" w:w="16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Revisar</w:t>
            </w:r>
          </w:p>
        </w:tc>
        <w:tc>
          <w:tcPr>
            <w:tcW w:type="dxa" w:w="18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25/06/2026</w:t>
            </w:r>
          </w:p>
        </w:tc>
        <w:tc>
          <w:tcPr>
            <w:tcW w:type="dxa" w:w="25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arq.principal@munlima.gob.pe</w:t>
            </w:r>
          </w:p>
        </w:tc>
      </w:tr>
      <w:tr>
        <w:tc>
          <w:tcPr>
            <w:tcW w:type="dxa" w:w="31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Gerencia de Tecnologías de la Información</w:t>
            </w:r>
          </w:p>
        </w:tc>
        <w:tc>
          <w:tcPr>
            <w:tcW w:type="dxa" w:w="16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Informar</w:t>
            </w:r>
          </w:p>
        </w:tc>
        <w:tc>
          <w:tcPr>
            <w:tcW w:type="dxa" w:w="18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30/06/2026</w:t>
            </w:r>
          </w:p>
        </w:tc>
        <w:tc>
          <w:tcPr>
            <w:tcW w:type="dxa" w:w="25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gti@munlima.gob.pe</w:t>
            </w:r>
          </w:p>
        </w:tc>
      </w:tr>
    </w:tbl>
    <w:p>
      <w:pPr>
        <w:spacing w:after="140" w:before="40"/>
      </w:pPr>
      <w:r>
        <w:rPr>
          <w:rFonts w:ascii="Arial" w:cs="Arial" w:eastAsia="Arial" w:hAnsi="Arial"/>
          <w:i/>
          <w:iCs/>
          <w:color w:val="2B2B2B"/>
          <w:sz w:val="16"/>
          <w:szCs w:val="16"/>
        </w:rPr>
        <w:t xml:space="preserve">* Tipos de acción: Aprobar, Revisar, Informar, Archivar, Acción requerida, Asistir a reunión, Otro (especificar).</w:t>
      </w:r>
    </w:p>
    <w:p>
      <w:pPr>
        <w:spacing w:after="80" w:before="0" w:line="264"/>
        <w:jc w:val="left"/>
      </w:pPr>
      <w:r>
        <w:rPr>
          <w:rFonts w:ascii="Arial" w:cs="Arial" w:eastAsia="Arial" w:hAnsi="Arial"/>
          <w:b/>
          <w:bCs/>
          <w:i w:val="false"/>
          <w:iCs w:val="false"/>
          <w:color w:val="5B2C87"/>
          <w:sz w:val="24"/>
          <w:szCs w:val="24"/>
        </w:rPr>
        <w:t xml:space="preserve">Historial de Versiones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200"/>
        <w:gridCol w:w="3026"/>
        <w:gridCol w:w="1600"/>
      </w:tblGrid>
      <w:tr>
        <w:trPr>
          <w:tblHeader/>
        </w:trPr>
        <w:tc>
          <w:tcPr>
            <w:tcW w:type="dxa" w:w="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N.º Ver.</w:t>
            </w:r>
          </w:p>
        </w:tc>
        <w:tc>
          <w:tcPr>
            <w:tcW w:type="dxa" w:w="13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Fecha Ver.</w:t>
            </w:r>
          </w:p>
        </w:tc>
        <w:tc>
          <w:tcPr>
            <w:tcW w:type="dxa" w:w="22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Revisado por</w:t>
            </w:r>
          </w:p>
        </w:tc>
        <w:tc>
          <w:tcPr>
            <w:tcW w:type="dxa" w:w="302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Descripción</w:t>
            </w:r>
          </w:p>
        </w:tc>
        <w:tc>
          <w:tcPr>
            <w:tcW w:type="dxa" w:w="16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Archivo</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0.1</w:t>
            </w:r>
          </w:p>
        </w:tc>
        <w:tc>
          <w:tcPr>
            <w:tcW w:type="dxa" w:w="13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18/06/2026</w:t>
            </w:r>
          </w:p>
        </w:tc>
        <w:tc>
          <w:tcPr>
            <w:tcW w:type="dxa" w:w="22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Equipo de Arq. de Tecnología</w:t>
            </w:r>
          </w:p>
        </w:tc>
        <w:tc>
          <w:tcPr>
            <w:tcW w:type="dxa" w:w="30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Versión inicial (Borrador) de la Hoja de Ruta de la Fase D: lista de proyectos, plan de migración por arquitecturas de transición y recomendaciones de implementación.</w:t>
            </w:r>
          </w:p>
        </w:tc>
        <w:tc>
          <w:tcPr>
            <w:tcW w:type="dxa" w:w="16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06_Hoja_de_Ruta_Arquitectura_FaseD.docx</w:t>
            </w:r>
          </w:p>
        </w:tc>
      </w:tr>
    </w:tbl>
    <w:p>
      <w:r>
        <w:br w:type="page"/>
      </w:r>
    </w:p>
    <w:p>
      <w:pPr>
        <w:spacing w:after="160" w:before="0" w:line="264"/>
        <w:jc w:val="left"/>
      </w:pPr>
      <w:r>
        <w:rPr>
          <w:rFonts w:ascii="Arial" w:cs="Arial" w:eastAsia="Arial" w:hAnsi="Arial"/>
          <w:b/>
          <w:bCs/>
          <w:i w:val="false"/>
          <w:iCs w:val="false"/>
          <w:color w:val="5B2C87"/>
          <w:sz w:val="30"/>
          <w:szCs w:val="30"/>
        </w:rPr>
        <w:t xml:space="preserve">Tabla de Contenido</w:t>
      </w:r>
    </w:p>
    <w:p>
      <w:pPr>
        <w:tabs>
          <w:tab w:val="right" w:pos="9026" w:leader="dot"/>
        </w:tabs>
        <w:spacing w:after="70" w:line="260"/>
        <w:ind w:left="0"/>
      </w:pPr>
      <w:hyperlink w:history="1" w:anchor="s1">
        <w:r>
          <w:rPr>
            <w:rFonts w:ascii="Arial" w:cs="Arial" w:eastAsia="Arial" w:hAnsi="Arial"/>
            <w:b/>
            <w:bCs/>
            <w:color w:val="5B2C87"/>
            <w:sz w:val="22"/>
            <w:szCs w:val="22"/>
          </w:rPr>
          <w:t xml:space="preserve">1   Propósito del Documento</w:t>
        </w:r>
      </w:hyperlink>
      <w:r>
        <w:rPr>
          <w:rFonts w:ascii="Arial" w:cs="Arial" w:eastAsia="Arial" w:hAnsi="Arial"/>
          <w:b/>
          <w:bCs/>
          <w:color w:val="5B2C87"/>
          <w:sz w:val="22"/>
          <w:szCs w:val="22"/>
        </w:rPr>
        <w:ptab w:alignment="right" w:relativeTo="margin" w:leader="dot"/>
        <w:t xml:space="preserve">3</w:t>
      </w:r>
    </w:p>
    <w:p>
      <w:pPr>
        <w:tabs>
          <w:tab w:val="right" w:pos="9026" w:leader="dot"/>
        </w:tabs>
        <w:spacing w:after="70" w:line="260"/>
        <w:ind w:left="0"/>
      </w:pPr>
      <w:hyperlink w:history="1" w:anchor="s2">
        <w:r>
          <w:rPr>
            <w:rFonts w:ascii="Arial" w:cs="Arial" w:eastAsia="Arial" w:hAnsi="Arial"/>
            <w:b/>
            <w:bCs/>
            <w:color w:val="5B2C87"/>
            <w:sz w:val="22"/>
            <w:szCs w:val="22"/>
          </w:rPr>
          <w:t xml:space="preserve">2   Lista de Proyectos</w:t>
        </w:r>
      </w:hyperlink>
      <w:r>
        <w:rPr>
          <w:rFonts w:ascii="Arial" w:cs="Arial" w:eastAsia="Arial" w:hAnsi="Arial"/>
          <w:b/>
          <w:bCs/>
          <w:color w:val="5B2C87"/>
          <w:sz w:val="22"/>
          <w:szCs w:val="22"/>
        </w:rPr>
        <w:ptab w:alignment="right" w:relativeTo="margin" w:leader="dot"/>
        <w:t xml:space="preserve">4</w:t>
      </w:r>
    </w:p>
    <w:p>
      <w:pPr>
        <w:tabs>
          <w:tab w:val="right" w:pos="9026" w:leader="dot"/>
        </w:tabs>
        <w:spacing w:after="70" w:line="260"/>
        <w:ind w:left="360"/>
      </w:pPr>
      <w:hyperlink w:history="1" w:anchor="s21">
        <w:r>
          <w:rPr>
            <w:rFonts w:ascii="Arial" w:cs="Arial" w:eastAsia="Arial" w:hAnsi="Arial"/>
            <w:b w:val="false"/>
            <w:bCs w:val="false"/>
            <w:color w:val="2B2B2B"/>
            <w:sz w:val="21"/>
            <w:szCs w:val="21"/>
          </w:rPr>
          <w:t xml:space="preserve">2.1   Proyectos</w:t>
        </w:r>
      </w:hyperlink>
      <w:r>
        <w:rPr>
          <w:rFonts w:ascii="Arial" w:cs="Arial" w:eastAsia="Arial" w:hAnsi="Arial"/>
          <w:b w:val="false"/>
          <w:bCs w:val="false"/>
          <w:color w:val="2B2B2B"/>
          <w:sz w:val="21"/>
          <w:szCs w:val="21"/>
        </w:rPr>
        <w:ptab w:alignment="right" w:relativeTo="margin" w:leader="dot"/>
        <w:t xml:space="preserve">4</w:t>
      </w:r>
    </w:p>
    <w:p>
      <w:pPr>
        <w:tabs>
          <w:tab w:val="right" w:pos="9026" w:leader="dot"/>
        </w:tabs>
        <w:spacing w:after="70" w:line="260"/>
        <w:ind w:left="360"/>
      </w:pPr>
      <w:hyperlink w:history="1" w:anchor="s22">
        <w:r>
          <w:rPr>
            <w:rFonts w:ascii="Arial" w:cs="Arial" w:eastAsia="Arial" w:hAnsi="Arial"/>
            <w:b w:val="false"/>
            <w:bCs w:val="false"/>
            <w:color w:val="2B2B2B"/>
            <w:sz w:val="21"/>
            <w:szCs w:val="21"/>
          </w:rPr>
          <w:t xml:space="preserve">2.2   Objetivos de los Proyectos</w:t>
        </w:r>
      </w:hyperlink>
      <w:r>
        <w:rPr>
          <w:rFonts w:ascii="Arial" w:cs="Arial" w:eastAsia="Arial" w:hAnsi="Arial"/>
          <w:b w:val="false"/>
          <w:bCs w:val="false"/>
          <w:color w:val="2B2B2B"/>
          <w:sz w:val="21"/>
          <w:szCs w:val="21"/>
        </w:rPr>
        <w:ptab w:alignment="right" w:relativeTo="margin" w:leader="dot"/>
        <w:t xml:space="preserve">5</w:t>
      </w:r>
    </w:p>
    <w:p>
      <w:pPr>
        <w:tabs>
          <w:tab w:val="right" w:pos="9026" w:leader="dot"/>
        </w:tabs>
        <w:spacing w:after="70" w:line="260"/>
        <w:ind w:left="360"/>
      </w:pPr>
      <w:hyperlink w:history="1" w:anchor="s23">
        <w:r>
          <w:rPr>
            <w:rFonts w:ascii="Arial" w:cs="Arial" w:eastAsia="Arial" w:hAnsi="Arial"/>
            <w:b w:val="false"/>
            <w:bCs w:val="false"/>
            <w:color w:val="2B2B2B"/>
            <w:sz w:val="21"/>
            <w:szCs w:val="21"/>
          </w:rPr>
          <w:t xml:space="preserve">2.3   Beneficios</w:t>
        </w:r>
      </w:hyperlink>
      <w:r>
        <w:rPr>
          <w:rFonts w:ascii="Arial" w:cs="Arial" w:eastAsia="Arial" w:hAnsi="Arial"/>
          <w:b w:val="false"/>
          <w:bCs w:val="false"/>
          <w:color w:val="2B2B2B"/>
          <w:sz w:val="21"/>
          <w:szCs w:val="21"/>
        </w:rPr>
        <w:ptab w:alignment="right" w:relativeTo="margin" w:leader="dot"/>
        <w:t xml:space="preserve">5</w:t>
      </w:r>
    </w:p>
    <w:p>
      <w:pPr>
        <w:tabs>
          <w:tab w:val="right" w:pos="9026" w:leader="dot"/>
        </w:tabs>
        <w:spacing w:after="70" w:line="260"/>
        <w:ind w:left="360"/>
      </w:pPr>
      <w:hyperlink w:history="1" w:anchor="s24">
        <w:r>
          <w:rPr>
            <w:rFonts w:ascii="Arial" w:cs="Arial" w:eastAsia="Arial" w:hAnsi="Arial"/>
            <w:b w:val="false"/>
            <w:bCs w:val="false"/>
            <w:color w:val="2B2B2B"/>
            <w:sz w:val="21"/>
            <w:szCs w:val="21"/>
          </w:rPr>
          <w:t xml:space="preserve">2.4   Lista Priorizada de Proyectos Impactados</w:t>
        </w:r>
      </w:hyperlink>
      <w:r>
        <w:rPr>
          <w:rFonts w:ascii="Arial" w:cs="Arial" w:eastAsia="Arial" w:hAnsi="Arial"/>
          <w:b w:val="false"/>
          <w:bCs w:val="false"/>
          <w:color w:val="2B2B2B"/>
          <w:sz w:val="21"/>
          <w:szCs w:val="21"/>
        </w:rPr>
        <w:ptab w:alignment="right" w:relativeTo="margin" w:leader="dot"/>
        <w:t xml:space="preserve">6</w:t>
      </w:r>
    </w:p>
    <w:p>
      <w:pPr>
        <w:tabs>
          <w:tab w:val="right" w:pos="9026" w:leader="dot"/>
        </w:tabs>
        <w:spacing w:after="70" w:line="260"/>
        <w:ind w:left="0"/>
      </w:pPr>
      <w:hyperlink w:history="1" w:anchor="s3">
        <w:r>
          <w:rPr>
            <w:rFonts w:ascii="Arial" w:cs="Arial" w:eastAsia="Arial" w:hAnsi="Arial"/>
            <w:b/>
            <w:bCs/>
            <w:color w:val="5B2C87"/>
            <w:sz w:val="22"/>
            <w:szCs w:val="22"/>
          </w:rPr>
          <w:t xml:space="preserve">3   Plan de Migración Orientado al Tiempo</w:t>
        </w:r>
      </w:hyperlink>
      <w:r>
        <w:rPr>
          <w:rFonts w:ascii="Arial" w:cs="Arial" w:eastAsia="Arial" w:hAnsi="Arial"/>
          <w:b/>
          <w:bCs/>
          <w:color w:val="5B2C87"/>
          <w:sz w:val="22"/>
          <w:szCs w:val="22"/>
        </w:rPr>
        <w:ptab w:alignment="right" w:relativeTo="margin" w:leader="dot"/>
        <w:t xml:space="preserve">7</w:t>
      </w:r>
    </w:p>
    <w:p>
      <w:pPr>
        <w:tabs>
          <w:tab w:val="right" w:pos="9026" w:leader="dot"/>
        </w:tabs>
        <w:spacing w:after="70" w:line="260"/>
        <w:ind w:left="360"/>
      </w:pPr>
      <w:hyperlink w:history="1" w:anchor="s31">
        <w:r>
          <w:rPr>
            <w:rFonts w:ascii="Arial" w:cs="Arial" w:eastAsia="Arial" w:hAnsi="Arial"/>
            <w:b w:val="false"/>
            <w:bCs w:val="false"/>
            <w:color w:val="2B2B2B"/>
            <w:sz w:val="21"/>
            <w:szCs w:val="21"/>
          </w:rPr>
          <w:t xml:space="preserve">3.1   Plan de Migración</w:t>
        </w:r>
      </w:hyperlink>
      <w:r>
        <w:rPr>
          <w:rFonts w:ascii="Arial" w:cs="Arial" w:eastAsia="Arial" w:hAnsi="Arial"/>
          <w:b w:val="false"/>
          <w:bCs w:val="false"/>
          <w:color w:val="2B2B2B"/>
          <w:sz w:val="21"/>
          <w:szCs w:val="21"/>
        </w:rPr>
        <w:ptab w:alignment="right" w:relativeTo="margin" w:leader="dot"/>
        <w:t xml:space="preserve">7</w:t>
      </w:r>
    </w:p>
    <w:p>
      <w:pPr>
        <w:tabs>
          <w:tab w:val="right" w:pos="9026" w:leader="dot"/>
        </w:tabs>
        <w:spacing w:after="70" w:line="260"/>
        <w:ind w:left="360"/>
      </w:pPr>
      <w:hyperlink w:history="1" w:anchor="s32">
        <w:r>
          <w:rPr>
            <w:rFonts w:ascii="Arial" w:cs="Arial" w:eastAsia="Arial" w:hAnsi="Arial"/>
            <w:b w:val="false"/>
            <w:bCs w:val="false"/>
            <w:color w:val="2B2B2B"/>
            <w:sz w:val="21"/>
            <w:szCs w:val="21"/>
          </w:rPr>
          <w:t xml:space="preserve">3.2   Opciones de Migración</w:t>
        </w:r>
      </w:hyperlink>
      <w:r>
        <w:rPr>
          <w:rFonts w:ascii="Arial" w:cs="Arial" w:eastAsia="Arial" w:hAnsi="Arial"/>
          <w:b w:val="false"/>
          <w:bCs w:val="false"/>
          <w:color w:val="2B2B2B"/>
          <w:sz w:val="21"/>
          <w:szCs w:val="21"/>
        </w:rPr>
        <w:ptab w:alignment="right" w:relativeTo="margin" w:leader="dot"/>
        <w:t xml:space="preserve">7</w:t>
      </w:r>
    </w:p>
    <w:p>
      <w:pPr>
        <w:tabs>
          <w:tab w:val="right" w:pos="9026" w:leader="dot"/>
        </w:tabs>
        <w:spacing w:after="70" w:line="260"/>
        <w:ind w:left="360"/>
      </w:pPr>
      <w:hyperlink w:history="1" w:anchor="s33">
        <w:r>
          <w:rPr>
            <w:rFonts w:ascii="Arial" w:cs="Arial" w:eastAsia="Arial" w:hAnsi="Arial"/>
            <w:b w:val="false"/>
            <w:bCs w:val="false"/>
            <w:color w:val="2B2B2B"/>
            <w:sz w:val="21"/>
            <w:szCs w:val="21"/>
          </w:rPr>
          <w:t xml:space="preserve">3.3   Beneficios de la Migración</w:t>
        </w:r>
      </w:hyperlink>
      <w:r>
        <w:rPr>
          <w:rFonts w:ascii="Arial" w:cs="Arial" w:eastAsia="Arial" w:hAnsi="Arial"/>
          <w:b w:val="false"/>
          <w:bCs w:val="false"/>
          <w:color w:val="2B2B2B"/>
          <w:sz w:val="21"/>
          <w:szCs w:val="21"/>
        </w:rPr>
        <w:ptab w:alignment="right" w:relativeTo="margin" w:leader="dot"/>
        <w:t xml:space="preserve">8</w:t>
      </w:r>
    </w:p>
    <w:p>
      <w:pPr>
        <w:tabs>
          <w:tab w:val="right" w:pos="9026" w:leader="dot"/>
        </w:tabs>
        <w:spacing w:after="70" w:line="260"/>
        <w:ind w:left="360"/>
      </w:pPr>
      <w:hyperlink w:history="1" w:anchor="s34">
        <w:r>
          <w:rPr>
            <w:rFonts w:ascii="Arial" w:cs="Arial" w:eastAsia="Arial" w:hAnsi="Arial"/>
            <w:b w:val="false"/>
            <w:bCs w:val="false"/>
            <w:color w:val="2B2B2B"/>
            <w:sz w:val="21"/>
            <w:szCs w:val="21"/>
          </w:rPr>
          <w:t xml:space="preserve">3.4   Costos Estimados de las Opciones de Migración</w:t>
        </w:r>
      </w:hyperlink>
      <w:r>
        <w:rPr>
          <w:rFonts w:ascii="Arial" w:cs="Arial" w:eastAsia="Arial" w:hAnsi="Arial"/>
          <w:b w:val="false"/>
          <w:bCs w:val="false"/>
          <w:color w:val="2B2B2B"/>
          <w:sz w:val="21"/>
          <w:szCs w:val="21"/>
        </w:rPr>
        <w:ptab w:alignment="right" w:relativeTo="margin" w:leader="dot"/>
        <w:t xml:space="preserve">8</w:t>
      </w:r>
    </w:p>
    <w:p>
      <w:pPr>
        <w:tabs>
          <w:tab w:val="right" w:pos="9026" w:leader="dot"/>
        </w:tabs>
        <w:spacing w:after="70" w:line="260"/>
        <w:ind w:left="0"/>
      </w:pPr>
      <w:hyperlink w:history="1" w:anchor="s4">
        <w:r>
          <w:rPr>
            <w:rFonts w:ascii="Arial" w:cs="Arial" w:eastAsia="Arial" w:hAnsi="Arial"/>
            <w:b/>
            <w:bCs/>
            <w:color w:val="5B2C87"/>
            <w:sz w:val="22"/>
            <w:szCs w:val="22"/>
          </w:rPr>
          <w:t xml:space="preserve">4   Recomendaciones de Implementación</w:t>
        </w:r>
      </w:hyperlink>
      <w:r>
        <w:rPr>
          <w:rFonts w:ascii="Arial" w:cs="Arial" w:eastAsia="Arial" w:hAnsi="Arial"/>
          <w:b/>
          <w:bCs/>
          <w:color w:val="5B2C87"/>
          <w:sz w:val="22"/>
          <w:szCs w:val="22"/>
        </w:rPr>
        <w:ptab w:alignment="right" w:relativeTo="margin" w:leader="dot"/>
        <w:t xml:space="preserve">9</w:t>
      </w:r>
    </w:p>
    <w:p>
      <w:pPr>
        <w:tabs>
          <w:tab w:val="right" w:pos="9026" w:leader="dot"/>
        </w:tabs>
        <w:spacing w:after="70" w:line="260"/>
        <w:ind w:left="360"/>
      </w:pPr>
      <w:hyperlink w:history="1" w:anchor="s41">
        <w:r>
          <w:rPr>
            <w:rFonts w:ascii="Arial" w:cs="Arial" w:eastAsia="Arial" w:hAnsi="Arial"/>
            <w:b w:val="false"/>
            <w:bCs w:val="false"/>
            <w:color w:val="2B2B2B"/>
            <w:sz w:val="21"/>
            <w:szCs w:val="21"/>
          </w:rPr>
          <w:t xml:space="preserve">4.1   Criterios / Medidas de Efectividad de los Proyectos</w:t>
        </w:r>
      </w:hyperlink>
      <w:r>
        <w:rPr>
          <w:rFonts w:ascii="Arial" w:cs="Arial" w:eastAsia="Arial" w:hAnsi="Arial"/>
          <w:b w:val="false"/>
          <w:bCs w:val="false"/>
          <w:color w:val="2B2B2B"/>
          <w:sz w:val="21"/>
          <w:szCs w:val="21"/>
        </w:rPr>
        <w:ptab w:alignment="right" w:relativeTo="margin" w:leader="dot"/>
        <w:t xml:space="preserve">9</w:t>
      </w:r>
    </w:p>
    <w:p>
      <w:pPr>
        <w:tabs>
          <w:tab w:val="right" w:pos="9026" w:leader="dot"/>
        </w:tabs>
        <w:spacing w:after="70" w:line="260"/>
        <w:ind w:left="360"/>
      </w:pPr>
      <w:hyperlink w:history="1" w:anchor="s42">
        <w:r>
          <w:rPr>
            <w:rFonts w:ascii="Arial" w:cs="Arial" w:eastAsia="Arial" w:hAnsi="Arial"/>
            <w:b w:val="false"/>
            <w:bCs w:val="false"/>
            <w:color w:val="2B2B2B"/>
            <w:sz w:val="21"/>
            <w:szCs w:val="21"/>
          </w:rPr>
          <w:t xml:space="preserve">4.2   Riesgos e Incidencias</w:t>
        </w:r>
      </w:hyperlink>
      <w:r>
        <w:rPr>
          <w:rFonts w:ascii="Arial" w:cs="Arial" w:eastAsia="Arial" w:hAnsi="Arial"/>
          <w:b w:val="false"/>
          <w:bCs w:val="false"/>
          <w:color w:val="2B2B2B"/>
          <w:sz w:val="21"/>
          <w:szCs w:val="21"/>
        </w:rPr>
        <w:ptab w:alignment="right" w:relativeTo="margin" w:leader="dot"/>
        <w:t xml:space="preserve">9</w:t>
      </w:r>
    </w:p>
    <w:p>
      <w:pPr>
        <w:tabs>
          <w:tab w:val="right" w:pos="9026" w:leader="dot"/>
        </w:tabs>
        <w:spacing w:after="70" w:line="260"/>
        <w:ind w:left="360"/>
      </w:pPr>
      <w:hyperlink w:history="1" w:anchor="s43">
        <w:r>
          <w:rPr>
            <w:rFonts w:ascii="Arial" w:cs="Arial" w:eastAsia="Arial" w:hAnsi="Arial"/>
            <w:b w:val="false"/>
            <w:bCs w:val="false"/>
            <w:color w:val="2B2B2B"/>
            <w:sz w:val="21"/>
            <w:szCs w:val="21"/>
          </w:rPr>
          <w:t xml:space="preserve">4.3   Bloques de Construcción de Solución (SBBs)</w:t>
        </w:r>
      </w:hyperlink>
      <w:r>
        <w:rPr>
          <w:rFonts w:ascii="Arial" w:cs="Arial" w:eastAsia="Arial" w:hAnsi="Arial"/>
          <w:b w:val="false"/>
          <w:bCs w:val="false"/>
          <w:color w:val="2B2B2B"/>
          <w:sz w:val="21"/>
          <w:szCs w:val="21"/>
        </w:rPr>
        <w:ptab w:alignment="right" w:relativeTo="margin" w:leader="dot"/>
        <w:t xml:space="preserve">10</w:t>
      </w:r>
    </w:p>
    <w:p>
      <w:r>
        <w:br w:type="page"/>
      </w:r>
    </w:p>
    <w:p>
      <w:pPr>
        <w:pStyle w:val="Heading1"/>
        <w:spacing w:after="140" w:before="300"/>
      </w:pPr>
      <w:bookmarkStart w:name="s1" w:id="101"/>
      <w:r>
        <w:rPr>
          <w:rFonts w:ascii="Arial" w:cs="Arial" w:eastAsia="Arial" w:hAnsi="Arial"/>
          <w:b/>
          <w:bCs/>
          <w:color w:val="5B2C87"/>
          <w:sz w:val="30"/>
          <w:szCs w:val="30"/>
        </w:rPr>
        <w:t xml:space="preserve">1  Propósito del Documento</w:t>
      </w:r>
      <w:bookmarkEnd w:id="101"/>
    </w:p>
    <w:p>
      <w:pPr>
        <w:pBdr>
          <w:top w:val="single" w:color="D8CEE6" w:sz="2" w:space="6"/>
          <w:left w:val="single" w:color="2E8B8B" w:sz="18" w:space="8"/>
          <w:bottom w:val="single" w:color="D8CEE6" w:sz="2" w:space="6"/>
          <w:right w:val="single" w:color="D8CEE6" w:sz="2" w:space="6"/>
        </w:pBdr>
        <w:shd w:fill="EDE7F3" w:val="clear"/>
        <w:spacing w:after="160" w:before="60" w:line="264"/>
        <w:ind w:left="120" w:right="120"/>
      </w:pPr>
      <w:r>
        <w:rPr>
          <w:rFonts w:ascii="Arial" w:cs="Arial" w:eastAsia="Arial" w:hAnsi="Arial"/>
          <w:b/>
          <w:bCs/>
          <w:i w:val="false"/>
          <w:iCs w:val="false"/>
          <w:color w:val="5B2C87"/>
          <w:sz w:val="21"/>
          <w:szCs w:val="21"/>
        </w:rPr>
        <w:t xml:space="preserve">Definición (TOGAF). </w:t>
      </w:r>
      <w:r>
        <w:rPr>
          <w:rFonts w:ascii="Arial" w:cs="Arial" w:eastAsia="Arial" w:hAnsi="Arial"/>
          <w:b w:val="false"/>
          <w:bCs w:val="false"/>
          <w:i/>
          <w:iCs/>
          <w:color w:val="2B2B2B"/>
          <w:sz w:val="21"/>
          <w:szCs w:val="21"/>
        </w:rPr>
        <w:t xml:space="preserve">La Hoja de Ruta de Arquitectura enumera los incrementos individuales de cambio y los ordena en una línea de tiempo que muestra la progresión desde la arquitectura de línea base (AS-IS) hasta la arquitectura objetivo (TO-BE). Es un componente clave de las Arquitecturas de Transición y se construye de forma incremental a lo largo de las fases B, C, D, E y F del ADM.</w:t>
      </w:r>
    </w:p>
    <w:p>
      <w:pPr>
        <w:spacing w:after="120" w:before="0" w:line="264"/>
        <w:jc w:val="both"/>
      </w:pPr>
      <w:r>
        <w:rPr>
          <w:rFonts w:ascii="Arial" w:cs="Arial" w:eastAsia="Arial" w:hAnsi="Arial"/>
          <w:b w:val="false"/>
          <w:bCs w:val="false"/>
          <w:i w:val="false"/>
          <w:iCs w:val="false"/>
          <w:color w:val="2B2B2B"/>
          <w:sz w:val="22"/>
          <w:szCs w:val="22"/>
        </w:rPr>
        <w:t xml:space="preserve">El presente documento define la Hoja de Ruta del dominio de Tecnología (Fase D del ADM) para la Municipalidad Metropolitana de Lima (MML). Ordena, en una línea de tiempo, los proyectos tecnológicos y las arquitecturas de transición necesarias para evolucionar la plataforma tecnológica institucional desde su estado actual —fragmentado, manual y con baja interoperabilidad— hacia la arquitectura objetivo definida en la visión y los principios del programa.</w:t>
      </w:r>
    </w:p>
    <w:p>
      <w:pPr>
        <w:spacing w:after="120" w:before="0" w:line="264"/>
        <w:jc w:val="both"/>
      </w:pPr>
      <w:r>
        <w:rPr>
          <w:rFonts w:ascii="Arial" w:cs="Arial" w:eastAsia="Arial" w:hAnsi="Arial"/>
          <w:b/>
          <w:bCs/>
          <w:i w:val="false"/>
          <w:iCs w:val="false"/>
          <w:color w:val="5B2C87"/>
          <w:sz w:val="22"/>
          <w:szCs w:val="22"/>
        </w:rPr>
        <w:t xml:space="preserve">Dominio y subdominios cubiertos. </w:t>
      </w:r>
      <w:r>
        <w:rPr>
          <w:rFonts w:ascii="Arial" w:cs="Arial" w:eastAsia="Arial" w:hAnsi="Arial"/>
          <w:b w:val="false"/>
          <w:bCs w:val="false"/>
          <w:i w:val="false"/>
          <w:iCs w:val="false"/>
          <w:color w:val="2B2B2B"/>
          <w:sz w:val="22"/>
          <w:szCs w:val="22"/>
        </w:rPr>
        <w:t xml:space="preserve">La hoja de ruta corresponde a la Arquitectura de Tecnología y abarca los subdominios de: infraestructura y cómputo, redes y conectividad, seguridad y ciberseguridad, interoperabilidad e integración técnica, identidad y acceso, continuidad operativa y respaldo, monitoreo y observabilidad, y gobierno técnico de la arquitectura.</w:t>
      </w:r>
    </w:p>
    <w:p>
      <w:pPr>
        <w:spacing w:after="120" w:before="0" w:line="264"/>
        <w:jc w:val="both"/>
      </w:pPr>
      <w:r>
        <w:rPr>
          <w:rFonts w:ascii="Arial" w:cs="Arial" w:eastAsia="Arial" w:hAnsi="Arial"/>
          <w:b/>
          <w:bCs/>
          <w:i w:val="false"/>
          <w:iCs w:val="false"/>
          <w:color w:val="5B2C87"/>
          <w:sz w:val="22"/>
          <w:szCs w:val="22"/>
        </w:rPr>
        <w:t xml:space="preserve">Contexto y antecedentes. </w:t>
      </w:r>
      <w:r>
        <w:rPr>
          <w:rFonts w:ascii="Arial" w:cs="Arial" w:eastAsia="Arial" w:hAnsi="Arial"/>
          <w:b w:val="false"/>
          <w:bCs w:val="false"/>
          <w:i w:val="false"/>
          <w:iCs w:val="false"/>
          <w:color w:val="2B2B2B"/>
          <w:sz w:val="22"/>
          <w:szCs w:val="22"/>
        </w:rPr>
        <w:t xml:space="preserve">La MML opera sobre infraestructura heredada con escasa virtualización y sin servicios de nube gobernados, redes sin segmentación adecuada, ausencia de un Sistema de Gestión de Seguridad de la Información (SGSI) formal, sistemas que funcionan de manera aislada sin una capa de integración, y ausencia de planes formales de continuidad y recuperación ante desastres. Esta situación genera duplicidad de información, demoras administrativas y riesgos sobre los datos personales de la ciudadanía.</w:t>
      </w:r>
    </w:p>
    <w:p>
      <w:pPr>
        <w:spacing w:after="120" w:before="0" w:line="264"/>
        <w:jc w:val="both"/>
      </w:pPr>
      <w:r>
        <w:rPr>
          <w:rFonts w:ascii="Arial" w:cs="Arial" w:eastAsia="Arial" w:hAnsi="Arial"/>
          <w:b/>
          <w:bCs/>
          <w:i w:val="false"/>
          <w:iCs w:val="false"/>
          <w:color w:val="5B2C87"/>
          <w:sz w:val="22"/>
          <w:szCs w:val="22"/>
        </w:rPr>
        <w:t xml:space="preserve">Propósito y alcance. </w:t>
      </w:r>
      <w:r>
        <w:rPr>
          <w:rFonts w:ascii="Arial" w:cs="Arial" w:eastAsia="Arial" w:hAnsi="Arial"/>
          <w:b w:val="false"/>
          <w:bCs w:val="false"/>
          <w:i w:val="false"/>
          <w:iCs w:val="false"/>
          <w:color w:val="2B2B2B"/>
          <w:sz w:val="22"/>
          <w:szCs w:val="22"/>
        </w:rPr>
        <w:t xml:space="preserve">El propósito es establecer una ruta de implementación tecnológica priorizada, viable y verificable. El alcance se limita al dominio de Tecnología; no incluye los proyectos propios del Roadmap de negocio (Fase B) ni de datos y aplicaciones (Fase C), aunque mantiene dependencias explícitas con ellos. La ejecución se cumple en cumplimiento del Decreto Legislativo N.° 1412 (Gobierno Digital), el D.S. 029-2021-PCM y el Marco de Arquitectura Digital del Estado (MADE), la Ley N.° 29733 de Protección de Datos Personales y la integración con la Plataforma de Interoperabilidad del Estado (PIDE).</w:t>
      </w:r>
    </w:p>
    <w:p>
      <w:pPr>
        <w:spacing w:after="100" w:before="0" w:line="264"/>
        <w:jc w:val="both"/>
      </w:pPr>
      <w:r>
        <w:rPr>
          <w:rFonts w:ascii="Arial" w:cs="Arial" w:eastAsia="Arial" w:hAnsi="Arial"/>
          <w:b/>
          <w:bCs/>
          <w:i w:val="false"/>
          <w:iCs w:val="false"/>
          <w:color w:val="5B2C87"/>
          <w:sz w:val="22"/>
          <w:szCs w:val="22"/>
        </w:rPr>
        <w:t xml:space="preserve">Partes interesadas. </w:t>
      </w:r>
      <w:r>
        <w:rPr>
          <w:rFonts w:ascii="Arial" w:cs="Arial" w:eastAsia="Arial" w:hAnsi="Arial"/>
          <w:b w:val="false"/>
          <w:bCs w:val="false"/>
          <w:i w:val="false"/>
          <w:iCs w:val="false"/>
          <w:color w:val="2B2B2B"/>
          <w:sz w:val="22"/>
          <w:szCs w:val="22"/>
        </w:rPr>
        <w:t xml:space="preserve">Los principales interesados de esta hoja de ruta se resumen a continuación.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Parte interesada</w:t>
            </w:r>
          </w:p>
        </w:tc>
        <w:tc>
          <w:tcPr>
            <w:tcW w:type="dxa" w:w="33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Rol en la hoja de ruta</w:t>
            </w:r>
          </w:p>
        </w:tc>
        <w:tc>
          <w:tcPr>
            <w:tcW w:type="dxa" w:w="312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Interés principal</w:t>
            </w:r>
          </w:p>
        </w:tc>
      </w:tr>
      <w:tr>
        <w:tc>
          <w:tcPr>
            <w:tcW w:type="dxa" w:w="26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Comité de Arquitectura Empresarial</w:t>
            </w:r>
          </w:p>
        </w:tc>
        <w:tc>
          <w:tcPr>
            <w:tcW w:type="dxa" w:w="33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Aprueba la hoja de ruta y las prioridades del portafolio</w:t>
            </w:r>
          </w:p>
        </w:tc>
        <w:tc>
          <w:tcPr>
            <w:tcW w:type="dxa" w:w="31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Alineamiento estratégico y control del gasto público</w:t>
            </w:r>
          </w:p>
        </w:tc>
      </w:tr>
      <w:tr>
        <w:tc>
          <w:tcPr>
            <w:tcW w:type="dxa" w:w="26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Arquitecto Empresarial Principal</w:t>
            </w:r>
          </w:p>
        </w:tc>
        <w:tc>
          <w:tcPr>
            <w:tcW w:type="dxa" w:w="33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Conduce y mantiene la hoja de ruta; valida transiciones</w:t>
            </w:r>
          </w:p>
        </w:tc>
        <w:tc>
          <w:tcPr>
            <w:tcW w:type="dxa" w:w="31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Coherencia técnica y trazabilidad ABB↔SBB</w:t>
            </w:r>
          </w:p>
        </w:tc>
      </w:tr>
      <w:tr>
        <w:tc>
          <w:tcPr>
            <w:tcW w:type="dxa" w:w="26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Gerencia de Tecnologías de la Información</w:t>
            </w:r>
          </w:p>
        </w:tc>
        <w:tc>
          <w:tcPr>
            <w:tcW w:type="dxa" w:w="33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Ejecuta y opera los proyectos de tecnología</w:t>
            </w:r>
          </w:p>
        </w:tc>
        <w:tc>
          <w:tcPr>
            <w:tcW w:type="dxa" w:w="31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Disponibilidad, seguridad y sostenibilidad operativa</w:t>
            </w:r>
          </w:p>
        </w:tc>
      </w:tr>
      <w:tr>
        <w:tc>
          <w:tcPr>
            <w:tcW w:type="dxa" w:w="26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Equipos de dominio (procesos, información, aplicaciones)</w:t>
            </w:r>
          </w:p>
        </w:tc>
        <w:tc>
          <w:tcPr>
            <w:tcW w:type="dxa" w:w="33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Sincronizan dependencias con sus roadmaps</w:t>
            </w:r>
          </w:p>
        </w:tc>
        <w:tc>
          <w:tcPr>
            <w:tcW w:type="dxa" w:w="31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Habilitación tecnológica de sus capacidades</w:t>
            </w:r>
          </w:p>
        </w:tc>
      </w:tr>
      <w:tr>
        <w:tc>
          <w:tcPr>
            <w:tcW w:type="dxa" w:w="26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Secretaría de Gobierno y Transformación Digital (PCM)</w:t>
            </w:r>
          </w:p>
        </w:tc>
        <w:tc>
          <w:tcPr>
            <w:tcW w:type="dxa" w:w="33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Ente rector; estándares MADE y PIDE</w:t>
            </w:r>
          </w:p>
        </w:tc>
        <w:tc>
          <w:tcPr>
            <w:tcW w:type="dxa" w:w="31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Interoperabilidad y cumplimiento normativo del Estado</w:t>
            </w:r>
          </w:p>
        </w:tc>
      </w:tr>
      <w:tr>
        <w:tc>
          <w:tcPr>
            <w:tcW w:type="dxa" w:w="26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Ciudadanía y áreas usuarias</w:t>
            </w:r>
          </w:p>
        </w:tc>
        <w:tc>
          <w:tcPr>
            <w:tcW w:type="dxa" w:w="33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Beneficiarios finales de los servicios</w:t>
            </w:r>
          </w:p>
        </w:tc>
        <w:tc>
          <w:tcPr>
            <w:tcW w:type="dxa" w:w="31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Servicios digitales ágiles, seguros y confiables</w:t>
            </w:r>
          </w:p>
        </w:tc>
      </w:tr>
    </w:tbl>
    <w:p>
      <w:pPr>
        <w:pBdr>
          <w:top w:val="single" w:color="D8CEE6" w:sz="2" w:space="6"/>
          <w:left w:val="single" w:color="2E8B8B" w:sz="18" w:space="8"/>
          <w:bottom w:val="single" w:color="D8CEE6" w:sz="2" w:space="6"/>
          <w:right w:val="single" w:color="D8CEE6" w:sz="2" w:space="6"/>
        </w:pBdr>
        <w:shd w:fill="EDE7F3" w:val="clear"/>
        <w:spacing w:after="160" w:before="60" w:line="264"/>
        <w:ind w:left="120" w:right="120"/>
      </w:pPr>
      <w:r>
        <w:rPr>
          <w:rFonts w:ascii="Arial" w:cs="Arial" w:eastAsia="Arial" w:hAnsi="Arial"/>
          <w:b/>
          <w:bCs/>
          <w:i w:val="false"/>
          <w:iCs w:val="false"/>
          <w:color w:val="5B2C87"/>
          <w:sz w:val="21"/>
          <w:szCs w:val="21"/>
        </w:rPr>
        <w:t xml:space="preserve">Sincronización. </w:t>
      </w:r>
      <w:r>
        <w:rPr>
          <w:rFonts w:ascii="Arial" w:cs="Arial" w:eastAsia="Arial" w:hAnsi="Arial"/>
          <w:b w:val="false"/>
          <w:bCs w:val="false"/>
          <w:i/>
          <w:iCs/>
          <w:color w:val="2B2B2B"/>
          <w:sz w:val="21"/>
          <w:szCs w:val="21"/>
        </w:rPr>
        <w:t xml:space="preserve">Esta hoja de ruta debe sincronizarse con los componentes de Roadmap de las Fases B y C para evitar la duplicación de esfuerzo y de contenido. Los proyectos de tecnología aquí descritos habilitan —y dependen de— las iniciativas de negocio, datos y aplicaciones definidas en dichas fases.</w:t>
      </w:r>
    </w:p>
    <w:p>
      <w:pPr>
        <w:pStyle w:val="Heading1"/>
        <w:spacing w:after="140" w:before="300"/>
      </w:pPr>
      <w:bookmarkStart w:name="s2" w:id="102"/>
      <w:r>
        <w:rPr>
          <w:rFonts w:ascii="Arial" w:cs="Arial" w:eastAsia="Arial" w:hAnsi="Arial"/>
          <w:b/>
          <w:bCs/>
          <w:color w:val="5B2C87"/>
          <w:sz w:val="30"/>
          <w:szCs w:val="30"/>
        </w:rPr>
        <w:t xml:space="preserve">2  Lista de Proyectos</w:t>
      </w:r>
      <w:bookmarkEnd w:id="102"/>
    </w:p>
    <w:p>
      <w:pPr>
        <w:spacing w:after="120" w:before="0" w:line="264"/>
        <w:jc w:val="both"/>
      </w:pPr>
      <w:r>
        <w:rPr>
          <w:rFonts w:ascii="Arial" w:cs="Arial" w:eastAsia="Arial" w:hAnsi="Arial"/>
          <w:b w:val="false"/>
          <w:bCs w:val="false"/>
          <w:i w:val="false"/>
          <w:iCs w:val="false"/>
          <w:color w:val="2B2B2B"/>
          <w:sz w:val="22"/>
          <w:szCs w:val="22"/>
        </w:rPr>
        <w:t xml:space="preserve">Esta sección enumera y describe los proyectos con resultado arquitectónico significativo que entregarán la arquitectura objetivo de Tecnología de la MML. Cada proyecto materializa uno o más Bloques de Construcción de Arquitectura (ABB) y cierra una brecha identificada en el análisis de brechas de la Fase D.</w:t>
      </w:r>
    </w:p>
    <w:p>
      <w:pPr>
        <w:pStyle w:val="Heading2"/>
        <w:spacing w:after="100" w:before="220"/>
      </w:pPr>
      <w:bookmarkStart w:name="s21" w:id="103"/>
      <w:r>
        <w:rPr>
          <w:rFonts w:ascii="Arial" w:cs="Arial" w:eastAsia="Arial" w:hAnsi="Arial"/>
          <w:b/>
          <w:bCs/>
          <w:color w:val="2E8B8B"/>
          <w:sz w:val="25"/>
          <w:szCs w:val="25"/>
        </w:rPr>
        <w:t xml:space="preserve">2.1  Proyectos</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50"/>
        <w:gridCol w:w="4076"/>
        <w:gridCol w:w="1300"/>
      </w:tblGrid>
      <w:tr>
        <w:trPr>
          <w:tblHeader/>
        </w:trPr>
        <w:tc>
          <w:tcPr>
            <w:tcW w:type="dxa" w:w="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Ref-ID</w:t>
            </w:r>
          </w:p>
        </w:tc>
        <w:tc>
          <w:tcPr>
            <w:tcW w:type="dxa" w:w="27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Proyecto</w:t>
            </w:r>
          </w:p>
        </w:tc>
        <w:tc>
          <w:tcPr>
            <w:tcW w:type="dxa" w:w="407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Descripción</w:t>
            </w:r>
          </w:p>
        </w:tc>
        <w:tc>
          <w:tcPr>
            <w:tcW w:type="dxa" w:w="13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Subdominio (Tecnología)</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T-01</w:t>
            </w:r>
          </w:p>
        </w:tc>
        <w:tc>
          <w:tcPr>
            <w:tcW w:type="dxa" w:w="27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Plataforma de Interoperabilidad e Integración</w:t>
            </w:r>
          </w:p>
        </w:tc>
        <w:tc>
          <w:tcPr>
            <w:tcW w:type="dxa" w:w="40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Implementación de un bus de servicios (ESB) y una puerta de enlace de API (API Gateway) que integren los sistemas municipales y los conecten con la PIDE, RENIEC y demás servicios del Estado.</w:t>
            </w:r>
          </w:p>
        </w:tc>
        <w:tc>
          <w:tcPr>
            <w:tcW w:type="dxa" w:w="13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Interoperabilidad e integración</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T-02</w:t>
            </w:r>
          </w:p>
        </w:tc>
        <w:tc>
          <w:tcPr>
            <w:tcW w:type="dxa" w:w="27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Modernización de Infraestructura y Nube Híbrida</w:t>
            </w:r>
          </w:p>
        </w:tc>
        <w:tc>
          <w:tcPr>
            <w:tcW w:type="dxa" w:w="40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Virtualización y consolidación del centro de datos, adopción de nube gobierno y contenedores, y racionalización de servidores heredados.</w:t>
            </w:r>
          </w:p>
        </w:tc>
        <w:tc>
          <w:tcPr>
            <w:tcW w:type="dxa" w:w="13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Infraestructura y cómputo</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T-03</w:t>
            </w:r>
          </w:p>
        </w:tc>
        <w:tc>
          <w:tcPr>
            <w:tcW w:type="dxa" w:w="27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Plataforma de Ciberseguridad y SGSI</w:t>
            </w:r>
          </w:p>
        </w:tc>
        <w:tc>
          <w:tcPr>
            <w:tcW w:type="dxa" w:w="40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Despliegue de controles de seguridad (NGFW, SIEM, SOC) y de un Sistema de Gestión de Seguridad de la Información alineado a ISO/IEC 27001 y al MADE.</w:t>
            </w:r>
          </w:p>
        </w:tc>
        <w:tc>
          <w:tcPr>
            <w:tcW w:type="dxa" w:w="13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Seguridad y ciberseguridad</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T-04</w:t>
            </w:r>
          </w:p>
        </w:tc>
        <w:tc>
          <w:tcPr>
            <w:tcW w:type="dxa" w:w="27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Identidad Digital y Firma Electrónica</w:t>
            </w:r>
          </w:p>
        </w:tc>
        <w:tc>
          <w:tcPr>
            <w:tcW w:type="dxa" w:w="40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Implantación de una plataforma de gestión de identidad y acceso (IAM) con inicio de sesión único (SSO), múltiple factor (MFA) y firma digital del Estado.</w:t>
            </w:r>
          </w:p>
        </w:tc>
        <w:tc>
          <w:tcPr>
            <w:tcW w:type="dxa" w:w="13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Identidad y acceso</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T-05</w:t>
            </w:r>
          </w:p>
        </w:tc>
        <w:tc>
          <w:tcPr>
            <w:tcW w:type="dxa" w:w="27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Continuidad Operativa y Respaldo</w:t>
            </w:r>
          </w:p>
        </w:tc>
        <w:tc>
          <w:tcPr>
            <w:tcW w:type="dxa" w:w="40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Definición e implementación de DRP/BCP, sitio alterno de recuperación y respaldos automatizados con objetivos de RTO/RPO por servicio crítico.</w:t>
            </w:r>
          </w:p>
        </w:tc>
        <w:tc>
          <w:tcPr>
            <w:tcW w:type="dxa" w:w="13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Continuidad operativa</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T-06</w:t>
            </w:r>
          </w:p>
        </w:tc>
        <w:tc>
          <w:tcPr>
            <w:tcW w:type="dxa" w:w="27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Red y Conectividad Institucional</w:t>
            </w:r>
          </w:p>
        </w:tc>
        <w:tc>
          <w:tcPr>
            <w:tcW w:type="dxa" w:w="40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Modernización y segmentación de la red, conectividad entre sedes (SD-WAN) y ampliación de ancho de banda bajo un enfoque de confianza cero.</w:t>
            </w:r>
          </w:p>
        </w:tc>
        <w:tc>
          <w:tcPr>
            <w:tcW w:type="dxa" w:w="13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Redes y conectividad</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T-07</w:t>
            </w:r>
          </w:p>
        </w:tc>
        <w:tc>
          <w:tcPr>
            <w:tcW w:type="dxa" w:w="27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Monitoreo y Observabilidad Centralizada</w:t>
            </w:r>
          </w:p>
        </w:tc>
        <w:tc>
          <w:tcPr>
            <w:tcW w:type="dxa" w:w="40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Plataforma de monitoreo, observabilidad y gestión de eventos (NOC) para servicios, infraestructura y aplicaciones.</w:t>
            </w:r>
          </w:p>
        </w:tc>
        <w:tc>
          <w:tcPr>
            <w:tcW w:type="dxa" w:w="13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Monitoreo y observabilidad</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T-08</w:t>
            </w:r>
          </w:p>
        </w:tc>
        <w:tc>
          <w:tcPr>
            <w:tcW w:type="dxa" w:w="27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Plataforma de Gestión de la Arquitectura</w:t>
            </w:r>
          </w:p>
        </w:tc>
        <w:tc>
          <w:tcPr>
            <w:tcW w:type="dxa" w:w="40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Institucionalización del repositorio arquitectónico y de las herramientas de modelado (Archi, Sparx EA) con trazabilidad entre procesos, aplicaciones y tecnología.</w:t>
            </w:r>
          </w:p>
        </w:tc>
        <w:tc>
          <w:tcPr>
            <w:tcW w:type="dxa" w:w="13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Gobierno técnico</w:t>
            </w:r>
          </w:p>
        </w:tc>
      </w:tr>
    </w:tbl>
    <w:p>
      <w:pPr>
        <w:pStyle w:val="Heading2"/>
        <w:spacing w:after="100" w:before="220"/>
      </w:pPr>
      <w:bookmarkStart w:name="s22" w:id="104"/>
      <w:r>
        <w:rPr>
          <w:rFonts w:ascii="Arial" w:cs="Arial" w:eastAsia="Arial" w:hAnsi="Arial"/>
          <w:b/>
          <w:bCs/>
          <w:color w:val="2E8B8B"/>
          <w:sz w:val="25"/>
          <w:szCs w:val="25"/>
        </w:rPr>
        <w:t xml:space="preserve">2.2  Objetivos de los Proyectos</w:t>
      </w:r>
      <w:bookmarkEnd w:id="104"/>
    </w:p>
    <w:p>
      <w:pPr>
        <w:spacing w:after="120" w:before="0" w:line="264"/>
        <w:jc w:val="both"/>
      </w:pPr>
      <w:r>
        <w:rPr>
          <w:rFonts w:ascii="Arial" w:cs="Arial" w:eastAsia="Arial" w:hAnsi="Arial"/>
          <w:b w:val="false"/>
          <w:bCs w:val="false"/>
          <w:i w:val="false"/>
          <w:iCs w:val="false"/>
          <w:color w:val="2B2B2B"/>
          <w:sz w:val="22"/>
          <w:szCs w:val="22"/>
        </w:rPr>
        <w:t xml:space="preserve">Se especifica el objetivo arquitectónico que persigue cada proyecto y la brecha del análisis de brechas que cierra.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50"/>
        <w:gridCol w:w="3076"/>
        <w:gridCol w:w="2500"/>
      </w:tblGrid>
      <w:tr>
        <w:trPr>
          <w:tblHeader/>
        </w:trPr>
        <w:tc>
          <w:tcPr>
            <w:tcW w:type="dxa" w:w="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Ref-ID</w:t>
            </w:r>
          </w:p>
        </w:tc>
        <w:tc>
          <w:tcPr>
            <w:tcW w:type="dxa" w:w="25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Proyecto</w:t>
            </w:r>
          </w:p>
        </w:tc>
        <w:tc>
          <w:tcPr>
            <w:tcW w:type="dxa" w:w="307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Objetivo</w:t>
            </w:r>
          </w:p>
        </w:tc>
        <w:tc>
          <w:tcPr>
            <w:tcW w:type="dxa" w:w="25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Brecha que cierra</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T-01</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Plataforma de Interoperabilidad</w:t>
            </w:r>
          </w:p>
        </w:tc>
        <w:tc>
          <w:tcPr>
            <w:tcW w:type="dxa" w:w="30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Habilitar el intercambio de información en tiempo real entre áreas y con el Estado mediante servicios estandarizados.</w:t>
            </w:r>
          </w:p>
        </w:tc>
        <w:tc>
          <w:tcPr>
            <w:tcW w:type="dxa" w:w="25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Sistemas aislados y baja interoperabilidad; ausencia de integración técnica con la PIDE.</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T-02</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Modernización de Infraestructura</w:t>
            </w:r>
          </w:p>
        </w:tc>
        <w:tc>
          <w:tcPr>
            <w:tcW w:type="dxa" w:w="30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Disponer de una base de cómputo escalable, elástica y de menor costo operativo.</w:t>
            </w:r>
          </w:p>
        </w:tc>
        <w:tc>
          <w:tcPr>
            <w:tcW w:type="dxa" w:w="25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Infraestructura heredada, sin virtualización ni nube; baja escalabilidad y disponibilidad.</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T-03</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Ciberseguridad y SGSI</w:t>
            </w:r>
          </w:p>
        </w:tc>
        <w:tc>
          <w:tcPr>
            <w:tcW w:type="dxa" w:w="30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Proteger la información institucional y los datos personales con controles gobernados.</w:t>
            </w:r>
          </w:p>
        </w:tc>
        <w:tc>
          <w:tcPr>
            <w:tcW w:type="dxa" w:w="25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Seguridad reactiva, sin SGSI ni SOC; incumplimiento de ISO 27001 y del MADE.</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T-04</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Identidad y Firma Electrónica</w:t>
            </w:r>
          </w:p>
        </w:tc>
        <w:tc>
          <w:tcPr>
            <w:tcW w:type="dxa" w:w="30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Centralizar la identidad y habilitar trámites con firma digital y autenticación robusta.</w:t>
            </w:r>
          </w:p>
        </w:tc>
        <w:tc>
          <w:tcPr>
            <w:tcW w:type="dxa" w:w="25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Autenticación fragmentada; ausencia de SSO y de firma digital integrada.</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T-05</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Continuidad y Respaldo</w:t>
            </w:r>
          </w:p>
        </w:tc>
        <w:tc>
          <w:tcPr>
            <w:tcW w:type="dxa" w:w="30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Garantizar la recuperación de los servicios críticos ante incidentes y desastres.</w:t>
            </w:r>
          </w:p>
        </w:tc>
        <w:tc>
          <w:tcPr>
            <w:tcW w:type="dxa" w:w="25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Ausencia de DRP/BCP; respaldos manuales y riesgo de pérdida de información.</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T-06</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Red y Conectividad</w:t>
            </w:r>
          </w:p>
        </w:tc>
        <w:tc>
          <w:tcPr>
            <w:tcW w:type="dxa" w:w="30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Proveer una red segura, segmentada y de alto desempeño entre sedes.</w:t>
            </w:r>
          </w:p>
        </w:tc>
        <w:tc>
          <w:tcPr>
            <w:tcW w:type="dxa" w:w="25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Red obsoleta y sin segmentación; cuellos de botella de conectividad.</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T-07</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Monitoreo y Observabilidad</w:t>
            </w:r>
          </w:p>
        </w:tc>
        <w:tc>
          <w:tcPr>
            <w:tcW w:type="dxa" w:w="30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Detectar y resolver incidentes de forma proactiva sobre toda la plataforma.</w:t>
            </w:r>
          </w:p>
        </w:tc>
        <w:tc>
          <w:tcPr>
            <w:tcW w:type="dxa" w:w="25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Gestión reactiva de incidentes; ausencia de monitoreo centralizado.</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T-08</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Gestión de la Arquitectura</w:t>
            </w:r>
          </w:p>
        </w:tc>
        <w:tc>
          <w:tcPr>
            <w:tcW w:type="dxa" w:w="30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Sostener el modelo de arquitectura y su trazabilidad de forma centralizada.</w:t>
            </w:r>
          </w:p>
        </w:tc>
        <w:tc>
          <w:tcPr>
            <w:tcW w:type="dxa" w:w="25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Ausencia de repositorio y de herramientas formales de arquitectura.</w:t>
            </w:r>
          </w:p>
        </w:tc>
      </w:tr>
    </w:tbl>
    <w:p>
      <w:pPr>
        <w:pStyle w:val="Heading2"/>
        <w:spacing w:after="100" w:before="220"/>
      </w:pPr>
      <w:bookmarkStart w:name="s23" w:id="105"/>
      <w:r>
        <w:rPr>
          <w:rFonts w:ascii="Arial" w:cs="Arial" w:eastAsia="Arial" w:hAnsi="Arial"/>
          <w:b/>
          <w:bCs/>
          <w:color w:val="2E8B8B"/>
          <w:sz w:val="25"/>
          <w:szCs w:val="25"/>
        </w:rPr>
        <w:t xml:space="preserve">2.3  Beneficios</w:t>
      </w:r>
      <w:bookmarkEnd w:id="10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50"/>
        <w:gridCol w:w="3326"/>
        <w:gridCol w:w="2250"/>
      </w:tblGrid>
      <w:tr>
        <w:trPr>
          <w:tblHeader/>
        </w:trPr>
        <w:tc>
          <w:tcPr>
            <w:tcW w:type="dxa" w:w="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Ref-ID</w:t>
            </w:r>
          </w:p>
        </w:tc>
        <w:tc>
          <w:tcPr>
            <w:tcW w:type="dxa" w:w="25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Proyecto</w:t>
            </w:r>
          </w:p>
        </w:tc>
        <w:tc>
          <w:tcPr>
            <w:tcW w:type="dxa" w:w="332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Beneficio esperado</w:t>
            </w:r>
          </w:p>
        </w:tc>
        <w:tc>
          <w:tcPr>
            <w:tcW w:type="dxa" w:w="22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Métrica de beneficio</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T-01</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Plataforma de Interoperabilidad</w:t>
            </w:r>
          </w:p>
        </w:tc>
        <w:tc>
          <w:tcPr>
            <w:tcW w:type="dxa" w:w="33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Reducción de la duplicidad de datos y trámites más rápidos por integración con el Estado.</w:t>
            </w:r>
          </w:p>
        </w:tc>
        <w:tc>
          <w:tcPr>
            <w:tcW w:type="dxa" w:w="22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N.° de servicios integrados vía PIDE; % de trámites interoperables.</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T-02</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Modernización de Infraestructura</w:t>
            </w:r>
          </w:p>
        </w:tc>
        <w:tc>
          <w:tcPr>
            <w:tcW w:type="dxa" w:w="33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Mayor disponibilidad y reducción del costo total de propiedad de la infraestructura.</w:t>
            </w:r>
          </w:p>
        </w:tc>
        <w:tc>
          <w:tcPr>
            <w:tcW w:type="dxa" w:w="22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Disponibilidad (uptime %); % de cargas migradas a nube/virtualización.</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T-03</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Ciberseguridad y SGSI</w:t>
            </w:r>
          </w:p>
        </w:tc>
        <w:tc>
          <w:tcPr>
            <w:tcW w:type="dxa" w:w="33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Menor exposición a incidentes y cumplimiento normativo verificable.</w:t>
            </w:r>
          </w:p>
        </w:tc>
        <w:tc>
          <w:tcPr>
            <w:tcW w:type="dxa" w:w="22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 de controles ISO 27001 implementados; MTTD/MTTR de incidentes.</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T-04</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Identidad y Firma Electrónica</w:t>
            </w:r>
          </w:p>
        </w:tc>
        <w:tc>
          <w:tcPr>
            <w:tcW w:type="dxa" w:w="33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Trámites 100 % digitales y experiencia de acceso unificada y segura.</w:t>
            </w:r>
          </w:p>
        </w:tc>
        <w:tc>
          <w:tcPr>
            <w:tcW w:type="dxa" w:w="22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 de trámites con firma digital; N.° de sistemas con SSO.</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T-05</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Continuidad y Respaldo</w:t>
            </w:r>
          </w:p>
        </w:tc>
        <w:tc>
          <w:tcPr>
            <w:tcW w:type="dxa" w:w="33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Resiliencia operativa y protección frente a la pérdida de servicios.</w:t>
            </w:r>
          </w:p>
        </w:tc>
        <w:tc>
          <w:tcPr>
            <w:tcW w:type="dxa" w:w="22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RTO/RPO alcanzados; % de servicios críticos con DRP probado.</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T-06</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Red y Conectividad</w:t>
            </w:r>
          </w:p>
        </w:tc>
        <w:tc>
          <w:tcPr>
            <w:tcW w:type="dxa" w:w="33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Servicios más estables y desempeño homogéneo entre sedes.</w:t>
            </w:r>
          </w:p>
        </w:tc>
        <w:tc>
          <w:tcPr>
            <w:tcW w:type="dxa" w:w="22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Disponibilidad de red; latencia media; % de sedes segmentadas.</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T-07</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Monitoreo y Observabilidad</w:t>
            </w:r>
          </w:p>
        </w:tc>
        <w:tc>
          <w:tcPr>
            <w:tcW w:type="dxa" w:w="33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Reducción del tiempo de detección y de la indisponibilidad no planificada.</w:t>
            </w:r>
          </w:p>
        </w:tc>
        <w:tc>
          <w:tcPr>
            <w:tcW w:type="dxa" w:w="22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 de servicios monitoreados; reducción de incidentes no detectados.</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T-08</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Gestión de la Arquitectura</w:t>
            </w:r>
          </w:p>
        </w:tc>
        <w:tc>
          <w:tcPr>
            <w:tcW w:type="dxa" w:w="33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Decisiones de TI respaldadas y trazables a lo largo del ciclo del ADM.</w:t>
            </w:r>
          </w:p>
        </w:tc>
        <w:tc>
          <w:tcPr>
            <w:tcW w:type="dxa" w:w="22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N.° de modelos en repositorio; % de decisiones con respaldo arquitectónico.</w:t>
            </w:r>
          </w:p>
        </w:tc>
      </w:tr>
    </w:tbl>
    <w:p>
      <w:pPr>
        <w:pStyle w:val="Heading2"/>
        <w:spacing w:after="100" w:before="220"/>
      </w:pPr>
      <w:bookmarkStart w:name="s24" w:id="106"/>
      <w:r>
        <w:rPr>
          <w:rFonts w:ascii="Arial" w:cs="Arial" w:eastAsia="Arial" w:hAnsi="Arial"/>
          <w:b/>
          <w:bCs/>
          <w:color w:val="2E8B8B"/>
          <w:sz w:val="25"/>
          <w:szCs w:val="25"/>
        </w:rPr>
        <w:t xml:space="preserve">2.4  Lista Priorizada de Proyectos Impactados</w:t>
      </w:r>
      <w:bookmarkEnd w:id="106"/>
    </w:p>
    <w:p>
      <w:pPr>
        <w:spacing w:after="120" w:before="0" w:line="264"/>
        <w:jc w:val="both"/>
      </w:pPr>
      <w:r>
        <w:rPr>
          <w:rFonts w:ascii="Arial" w:cs="Arial" w:eastAsia="Arial" w:hAnsi="Arial"/>
          <w:b w:val="false"/>
          <w:bCs w:val="false"/>
          <w:i w:val="false"/>
          <w:iCs w:val="false"/>
          <w:color w:val="2B2B2B"/>
          <w:sz w:val="22"/>
          <w:szCs w:val="22"/>
        </w:rPr>
        <w:t xml:space="preserve">Los proyectos se priorizan según su valor para la institución, sus dependencias y su nivel de riesgo. La prioridad determina su ubicación en la línea de tiempo y la arquitectura de transición a la que pertenecen.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550"/>
        <w:gridCol w:w="3376"/>
        <w:gridCol w:w="2000"/>
      </w:tblGrid>
      <w:tr>
        <w:trPr>
          <w:tblHeader/>
        </w:trPr>
        <w:tc>
          <w:tcPr>
            <w:tcW w:type="dxa" w:w="11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Prioridad</w:t>
            </w:r>
          </w:p>
        </w:tc>
        <w:tc>
          <w:tcPr>
            <w:tcW w:type="dxa" w:w="25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Proyecto</w:t>
            </w:r>
          </w:p>
        </w:tc>
        <w:tc>
          <w:tcPr>
            <w:tcW w:type="dxa" w:w="337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Justificación de la prioridad</w:t>
            </w:r>
          </w:p>
        </w:tc>
        <w:tc>
          <w:tcPr>
            <w:tcW w:type="dxa" w:w="20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Dependencias</w:t>
            </w:r>
          </w:p>
        </w:tc>
      </w:tr>
      <w:tr>
        <w:tc>
          <w:tcPr>
            <w:tcW w:type="dxa" w:w="11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1</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T-06 Red y Conectividad</w:t>
            </w:r>
          </w:p>
        </w:tc>
        <w:tc>
          <w:tcPr>
            <w:tcW w:type="dxa" w:w="33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Base física indispensable; sin red segura y estable ningún otro servicio es viable.</w:t>
            </w:r>
          </w:p>
        </w:tc>
        <w:tc>
          <w:tcPr>
            <w:tcW w:type="dxa" w:w="20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Ninguna (habilitador inicial).</w:t>
            </w:r>
          </w:p>
        </w:tc>
      </w:tr>
      <w:tr>
        <w:tc>
          <w:tcPr>
            <w:tcW w:type="dxa" w:w="11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2</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T-08 Gestión de la Arquitectura</w:t>
            </w:r>
          </w:p>
        </w:tc>
        <w:tc>
          <w:tcPr>
            <w:tcW w:type="dxa" w:w="33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Habilita el gobierno técnico y la trazabilidad de todo el programa con baja inversión.</w:t>
            </w:r>
          </w:p>
        </w:tc>
        <w:tc>
          <w:tcPr>
            <w:tcW w:type="dxa" w:w="20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Fase Preliminar (principios y repositorio).</w:t>
            </w:r>
          </w:p>
        </w:tc>
      </w:tr>
      <w:tr>
        <w:tc>
          <w:tcPr>
            <w:tcW w:type="dxa" w:w="11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3</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T-03 Ciberseguridad y SGSI</w:t>
            </w:r>
          </w:p>
        </w:tc>
        <w:tc>
          <w:tcPr>
            <w:tcW w:type="dxa" w:w="33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La seguridad debe establecerse antes de exponer e integrar servicios.</w:t>
            </w:r>
          </w:p>
        </w:tc>
        <w:tc>
          <w:tcPr>
            <w:tcW w:type="dxa" w:w="20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T-06; lineamientos del MADE.</w:t>
            </w:r>
          </w:p>
        </w:tc>
      </w:tr>
      <w:tr>
        <w:tc>
          <w:tcPr>
            <w:tcW w:type="dxa" w:w="11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4</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T-02 Modernización de Infraestructura</w:t>
            </w:r>
          </w:p>
        </w:tc>
        <w:tc>
          <w:tcPr>
            <w:tcW w:type="dxa" w:w="33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Provee la capacidad de cómputo para integración, identidad y continuidad.</w:t>
            </w:r>
          </w:p>
        </w:tc>
        <w:tc>
          <w:tcPr>
            <w:tcW w:type="dxa" w:w="20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T-06, T-03.</w:t>
            </w:r>
          </w:p>
        </w:tc>
      </w:tr>
      <w:tr>
        <w:tc>
          <w:tcPr>
            <w:tcW w:type="dxa" w:w="11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5</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T-04 Identidad y Firma Electrónica</w:t>
            </w:r>
          </w:p>
        </w:tc>
        <w:tc>
          <w:tcPr>
            <w:tcW w:type="dxa" w:w="33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Requisito para servicios digitales seguros y trámites con valor legal.</w:t>
            </w:r>
          </w:p>
        </w:tc>
        <w:tc>
          <w:tcPr>
            <w:tcW w:type="dxa" w:w="20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T-02, T-03; firma digital del Estado.</w:t>
            </w:r>
          </w:p>
        </w:tc>
      </w:tr>
      <w:tr>
        <w:tc>
          <w:tcPr>
            <w:tcW w:type="dxa" w:w="11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6</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T-01 Plataforma de Interoperabilidad</w:t>
            </w:r>
          </w:p>
        </w:tc>
        <w:tc>
          <w:tcPr>
            <w:tcW w:type="dxa" w:w="33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Mayor valor ciudadano; depende de base, seguridad e identidad.</w:t>
            </w:r>
          </w:p>
        </w:tc>
        <w:tc>
          <w:tcPr>
            <w:tcW w:type="dxa" w:w="20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T-02, T-03, T-04; PIDE/RENIEC.</w:t>
            </w:r>
          </w:p>
        </w:tc>
      </w:tr>
      <w:tr>
        <w:tc>
          <w:tcPr>
            <w:tcW w:type="dxa" w:w="11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7</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T-05 Continuidad y Respaldo</w:t>
            </w:r>
          </w:p>
        </w:tc>
        <w:tc>
          <w:tcPr>
            <w:tcW w:type="dxa" w:w="33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Asegura la resiliencia una vez desplegada la infraestructura objetivo.</w:t>
            </w:r>
          </w:p>
        </w:tc>
        <w:tc>
          <w:tcPr>
            <w:tcW w:type="dxa" w:w="20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T-02, T-06.</w:t>
            </w:r>
          </w:p>
        </w:tc>
      </w:tr>
      <w:tr>
        <w:tc>
          <w:tcPr>
            <w:tcW w:type="dxa" w:w="11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8</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T-07 Monitoreo y Observabilidad</w:t>
            </w:r>
          </w:p>
        </w:tc>
        <w:tc>
          <w:tcPr>
            <w:tcW w:type="dxa" w:w="33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Optimiza la operación sobre servicios e infraestructura ya en producción.</w:t>
            </w:r>
          </w:p>
        </w:tc>
        <w:tc>
          <w:tcPr>
            <w:tcW w:type="dxa" w:w="20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T-01, T-02, T-06.</w:t>
            </w:r>
          </w:p>
        </w:tc>
      </w:tr>
    </w:tbl>
    <w:p>
      <w:pPr>
        <w:pStyle w:val="Heading1"/>
        <w:spacing w:after="140" w:before="300"/>
      </w:pPr>
      <w:bookmarkStart w:name="s3" w:id="107"/>
      <w:r>
        <w:rPr>
          <w:rFonts w:ascii="Arial" w:cs="Arial" w:eastAsia="Arial" w:hAnsi="Arial"/>
          <w:b/>
          <w:bCs/>
          <w:color w:val="5B2C87"/>
          <w:sz w:val="30"/>
          <w:szCs w:val="30"/>
        </w:rPr>
        <w:t xml:space="preserve">3  Plan de Migración Orientado al Tiempo</w:t>
      </w:r>
      <w:bookmarkEnd w:id="107"/>
    </w:p>
    <w:p>
      <w:pPr>
        <w:pStyle w:val="Heading2"/>
        <w:spacing w:after="100" w:before="220"/>
      </w:pPr>
      <w:bookmarkStart w:name="s31" w:id="108"/>
      <w:r>
        <w:rPr>
          <w:rFonts w:ascii="Arial" w:cs="Arial" w:eastAsia="Arial" w:hAnsi="Arial"/>
          <w:b/>
          <w:bCs/>
          <w:color w:val="2E8B8B"/>
          <w:sz w:val="25"/>
          <w:szCs w:val="25"/>
        </w:rPr>
        <w:t xml:space="preserve">3.1  Plan de Migración</w:t>
      </w:r>
      <w:bookmarkEnd w:id="108"/>
    </w:p>
    <w:p>
      <w:pPr>
        <w:spacing w:after="120" w:before="0" w:line="264"/>
        <w:jc w:val="both"/>
      </w:pPr>
      <w:r>
        <w:rPr>
          <w:rFonts w:ascii="Arial" w:cs="Arial" w:eastAsia="Arial" w:hAnsi="Arial"/>
          <w:b w:val="false"/>
          <w:bCs w:val="false"/>
          <w:i w:val="false"/>
          <w:iCs w:val="false"/>
          <w:color w:val="2B2B2B"/>
          <w:sz w:val="22"/>
          <w:szCs w:val="22"/>
        </w:rPr>
        <w:t xml:space="preserve">El plan ordena los proyectos e incrementos en una línea de tiempo y muestra las arquitecturas de transición intermedias entre la línea base (AS-IS) y la arquitectura objetivo (TO-BE). Se definen tres arquitecturas de transición a lo largo de un horizonte de treinta meses.</w:t>
      </w:r>
    </w:p>
    <w:p>
      <w:pPr>
        <w:spacing w:after="40" w:before="60"/>
        <w:jc w:val="center"/>
      </w:pPr>
      <w:r>
        <w:drawing>
          <wp:inline distT="0" distB="0" distL="0" distR="0">
            <wp:extent cx="5715000" cy="2724150"/>
            <wp:effectExtent t="0" r="0" b="0" l="0"/>
            <wp:docPr id="1" name="GanttFaseD" descr="Diagrama de línea de tiempo de los proyectos de tecnología por arquitectura de transición." title="Hoja de Ruta de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24150"/>
                    </a:xfrm>
                    <a:prstGeom prst="rect">
                      <a:avLst/>
                    </a:prstGeom>
                  </pic:spPr>
                </pic:pic>
              </a:graphicData>
            </a:graphic>
          </wp:inline>
        </w:drawing>
      </w:r>
    </w:p>
    <w:p>
      <w:pPr>
        <w:spacing w:after="160"/>
        <w:jc w:val="center"/>
      </w:pPr>
      <w:r>
        <w:rPr>
          <w:rFonts w:ascii="Arial" w:cs="Arial" w:eastAsia="Arial" w:hAnsi="Arial"/>
          <w:i/>
          <w:iCs/>
          <w:color w:val="2B2B2B"/>
          <w:sz w:val="18"/>
          <w:szCs w:val="18"/>
        </w:rPr>
        <w:t xml:space="preserve">Figura 1. Línea de tiempo de la Hoja de Ruta de Tecnología por arquitecturas de transición.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50"/>
        <w:gridCol w:w="900"/>
        <w:gridCol w:w="900"/>
        <w:gridCol w:w="3376"/>
      </w:tblGrid>
      <w:tr>
        <w:trPr>
          <w:tblHeader/>
        </w:trPr>
        <w:tc>
          <w:tcPr>
            <w:tcW w:type="dxa" w:w="17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Incremento / Transición</w:t>
            </w:r>
          </w:p>
        </w:tc>
        <w:tc>
          <w:tcPr>
            <w:tcW w:type="dxa" w:w="21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center"/>
            </w:pPr>
            <w:r>
              <w:rPr>
                <w:rFonts w:ascii="Arial" w:cs="Arial" w:eastAsia="Arial" w:hAnsi="Arial"/>
                <w:b/>
                <w:bCs/>
                <w:color w:val="FFFFFF"/>
                <w:sz w:val="19"/>
                <w:szCs w:val="19"/>
              </w:rPr>
              <w:t xml:space="preserve">Proyectos incluidos</w:t>
            </w:r>
          </w:p>
        </w:tc>
        <w:tc>
          <w:tcPr>
            <w:tcW w:type="dxa" w:w="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center"/>
            </w:pPr>
            <w:r>
              <w:rPr>
                <w:rFonts w:ascii="Arial" w:cs="Arial" w:eastAsia="Arial" w:hAnsi="Arial"/>
                <w:b/>
                <w:bCs/>
                <w:color w:val="FFFFFF"/>
                <w:sz w:val="19"/>
                <w:szCs w:val="19"/>
              </w:rPr>
              <w:t xml:space="preserve">Inicio</w:t>
            </w:r>
          </w:p>
        </w:tc>
        <w:tc>
          <w:tcPr>
            <w:tcW w:type="dxa" w:w="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center"/>
            </w:pPr>
            <w:r>
              <w:rPr>
                <w:rFonts w:ascii="Arial" w:cs="Arial" w:eastAsia="Arial" w:hAnsi="Arial"/>
                <w:b/>
                <w:bCs/>
                <w:color w:val="FFFFFF"/>
                <w:sz w:val="19"/>
                <w:szCs w:val="19"/>
              </w:rPr>
              <w:t xml:space="preserve">Fin</w:t>
            </w:r>
          </w:p>
        </w:tc>
        <w:tc>
          <w:tcPr>
            <w:tcW w:type="dxa" w:w="337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center"/>
            </w:pPr>
            <w:r>
              <w:rPr>
                <w:rFonts w:ascii="Arial" w:cs="Arial" w:eastAsia="Arial" w:hAnsi="Arial"/>
                <w:b/>
                <w:bCs/>
                <w:color w:val="FFFFFF"/>
                <w:sz w:val="19"/>
                <w:szCs w:val="19"/>
              </w:rPr>
              <w:t xml:space="preserve">Estado objetivo alcanzado</w:t>
            </w:r>
          </w:p>
        </w:tc>
      </w:tr>
      <w:tr>
        <w:tc>
          <w:tcPr>
            <w:tcW w:type="dxa" w:w="17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AT-1 — Cimientos Tecnológicos</w:t>
            </w:r>
          </w:p>
        </w:tc>
        <w:tc>
          <w:tcPr>
            <w:tcW w:type="dxa" w:w="21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T-06, T-08, T-03 (inicio), T-02 (inicio)</w:t>
            </w:r>
          </w:p>
        </w:tc>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Mes 1</w:t>
            </w:r>
          </w:p>
        </w:tc>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Mes 9</w:t>
            </w:r>
          </w:p>
        </w:tc>
        <w:tc>
          <w:tcPr>
            <w:tcW w:type="dxa" w:w="33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Conectividad segura, repositorio de arquitectura operativo y línea base de seguridad establecidos.</w:t>
            </w:r>
          </w:p>
        </w:tc>
      </w:tr>
      <w:tr>
        <w:tc>
          <w:tcPr>
            <w:tcW w:type="dxa" w:w="17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AT-2 — Integración y Seguridad</w:t>
            </w:r>
          </w:p>
        </w:tc>
        <w:tc>
          <w:tcPr>
            <w:tcW w:type="dxa" w:w="21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T-01, T-04, T-03 (consolidación), T-02 (avance)</w:t>
            </w:r>
          </w:p>
        </w:tc>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Mes 7</w:t>
            </w:r>
          </w:p>
        </w:tc>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Mes 18</w:t>
            </w:r>
          </w:p>
        </w:tc>
        <w:tc>
          <w:tcPr>
            <w:tcW w:type="dxa" w:w="33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Servicios integrados con el Estado (PIDE/RENIEC), identidad y firma digital habilitadas, SGSI gobernado.</w:t>
            </w:r>
          </w:p>
        </w:tc>
      </w:tr>
      <w:tr>
        <w:tc>
          <w:tcPr>
            <w:tcW w:type="dxa" w:w="17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AT-3 — Consolidación y Resiliencia</w:t>
            </w:r>
          </w:p>
        </w:tc>
        <w:tc>
          <w:tcPr>
            <w:tcW w:type="dxa" w:w="21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T-05, T-07, T-02 (cierre)</w:t>
            </w:r>
          </w:p>
        </w:tc>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Mes 16</w:t>
            </w:r>
          </w:p>
        </w:tc>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Mes 30</w:t>
            </w:r>
          </w:p>
        </w:tc>
        <w:tc>
          <w:tcPr>
            <w:tcW w:type="dxa" w:w="33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Arquitectura de Tecnología objetivo (TO-BE) consolidada, resiliente y monitoreada de extremo a extremo.</w:t>
            </w:r>
          </w:p>
        </w:tc>
      </w:tr>
    </w:tbl>
    <w:p>
      <w:pPr>
        <w:pStyle w:val="Heading2"/>
        <w:spacing w:after="100" w:before="220"/>
      </w:pPr>
      <w:bookmarkStart w:name="s32" w:id="109"/>
      <w:r>
        <w:rPr>
          <w:rFonts w:ascii="Arial" w:cs="Arial" w:eastAsia="Arial" w:hAnsi="Arial"/>
          <w:b/>
          <w:bCs/>
          <w:color w:val="2E8B8B"/>
          <w:sz w:val="25"/>
          <w:szCs w:val="25"/>
        </w:rPr>
        <w:t xml:space="preserve">3.2  Opciones de Migración</w:t>
      </w:r>
      <w:bookmarkEnd w:id="109"/>
    </w:p>
    <w:p>
      <w:pPr>
        <w:spacing w:after="120" w:before="0" w:line="264"/>
        <w:jc w:val="both"/>
      </w:pPr>
      <w:r>
        <w:rPr>
          <w:rFonts w:ascii="Arial" w:cs="Arial" w:eastAsia="Arial" w:hAnsi="Arial"/>
          <w:b w:val="false"/>
          <w:bCs w:val="false"/>
          <w:i w:val="false"/>
          <w:iCs w:val="false"/>
          <w:color w:val="2B2B2B"/>
          <w:sz w:val="22"/>
          <w:szCs w:val="22"/>
        </w:rPr>
        <w:t xml:space="preserve">Se evaluaron tres opciones de migración tecnológica. La opción recomendada es la migración incremental por arquitecturas de transición, complementada con el encapsulamiento de los sistemas heredados a través de la plataforma de interoperabilidad.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50"/>
        <w:gridCol w:w="2576"/>
        <w:gridCol w:w="1450"/>
        <w:gridCol w:w="1450"/>
      </w:tblGrid>
      <w:tr>
        <w:trPr>
          <w:tblHeader/>
        </w:trPr>
        <w:tc>
          <w:tcPr>
            <w:tcW w:type="dxa" w:w="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Ref-ID</w:t>
            </w:r>
          </w:p>
        </w:tc>
        <w:tc>
          <w:tcPr>
            <w:tcW w:type="dxa" w:w="20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Opción de Migración</w:t>
            </w:r>
          </w:p>
        </w:tc>
        <w:tc>
          <w:tcPr>
            <w:tcW w:type="dxa" w:w="257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Descripción</w:t>
            </w:r>
          </w:p>
        </w:tc>
        <w:tc>
          <w:tcPr>
            <w:tcW w:type="dxa" w:w="14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Ventajas</w:t>
            </w:r>
          </w:p>
        </w:tc>
        <w:tc>
          <w:tcPr>
            <w:tcW w:type="dxa" w:w="14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Desventajas</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OM-A</w:t>
            </w:r>
          </w:p>
        </w:tc>
        <w:tc>
          <w:tcPr>
            <w:tcW w:type="dxa" w:w="20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Reemplazo total (Big Bang)</w:t>
            </w:r>
          </w:p>
        </w:tc>
        <w:tc>
          <w:tcPr>
            <w:tcW w:type="dxa" w:w="25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Sustitución simultánea de la infraestructura y los sistemas heredados en una única ventana.</w:t>
            </w:r>
          </w:p>
        </w:tc>
        <w:tc>
          <w:tcPr>
            <w:tcW w:type="dxa" w:w="14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Resultado rápido; sin coexistencia prolongada.</w:t>
            </w:r>
          </w:p>
        </w:tc>
        <w:tc>
          <w:tcPr>
            <w:tcW w:type="dxa" w:w="14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Riesgo muy alto; interrupción del servicio; difícil reversión.</w:t>
            </w:r>
          </w:p>
        </w:tc>
      </w:tr>
      <w:tr>
        <w:tc>
          <w:tcPr>
            <w:tcW w:type="dxa" w:w="900"/>
            <w:gridSpan w:val="1"/>
            <w:tcBorders>
              <w:top w:val="single" w:color="D8CEE6" w:sz="2"/>
              <w:left w:val="single" w:color="D8CEE6" w:sz="2"/>
              <w:bottom w:val="single" w:color="D8CEE6" w:sz="2"/>
              <w:right w:val="single" w:color="D8CEE6" w:sz="2"/>
            </w:tcBorders>
            <w:shd w:fill="E2F0F0"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OM-B</w:t>
            </w:r>
          </w:p>
        </w:tc>
        <w:tc>
          <w:tcPr>
            <w:tcW w:type="dxa" w:w="2050"/>
            <w:gridSpan w:val="1"/>
            <w:tcBorders>
              <w:top w:val="single" w:color="D8CEE6" w:sz="2"/>
              <w:left w:val="single" w:color="D8CEE6" w:sz="2"/>
              <w:bottom w:val="single" w:color="D8CEE6" w:sz="2"/>
              <w:right w:val="single" w:color="D8CEE6" w:sz="2"/>
            </w:tcBorders>
            <w:shd w:fill="E2F0F0"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Migración incremental por transiciones (recomendada)</w:t>
            </w:r>
          </w:p>
        </w:tc>
        <w:tc>
          <w:tcPr>
            <w:tcW w:type="dxa" w:w="2576"/>
            <w:gridSpan w:val="1"/>
            <w:tcBorders>
              <w:top w:val="single" w:color="D8CEE6" w:sz="2"/>
              <w:left w:val="single" w:color="D8CEE6" w:sz="2"/>
              <w:bottom w:val="single" w:color="D8CEE6" w:sz="2"/>
              <w:right w:val="single" w:color="D8CEE6" w:sz="2"/>
            </w:tcBorders>
            <w:shd w:fill="E2F0F0"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Despliegue por oleadas alineadas a AT-1, AT-2 y AT-3, con valor entregado en cada etapa.</w:t>
            </w:r>
          </w:p>
        </w:tc>
        <w:tc>
          <w:tcPr>
            <w:tcW w:type="dxa" w:w="1450"/>
            <w:gridSpan w:val="1"/>
            <w:tcBorders>
              <w:top w:val="single" w:color="D8CEE6" w:sz="2"/>
              <w:left w:val="single" w:color="D8CEE6" w:sz="2"/>
              <w:bottom w:val="single" w:color="D8CEE6" w:sz="2"/>
              <w:right w:val="single" w:color="D8CEE6" w:sz="2"/>
            </w:tcBorders>
            <w:shd w:fill="E2F0F0"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Riesgo controlado; aprendizaje progresivo; financiamiento por etapas.</w:t>
            </w:r>
          </w:p>
        </w:tc>
        <w:tc>
          <w:tcPr>
            <w:tcW w:type="dxa" w:w="1450"/>
            <w:gridSpan w:val="1"/>
            <w:tcBorders>
              <w:top w:val="single" w:color="D8CEE6" w:sz="2"/>
              <w:left w:val="single" w:color="D8CEE6" w:sz="2"/>
              <w:bottom w:val="single" w:color="D8CEE6" w:sz="2"/>
              <w:right w:val="single" w:color="D8CEE6" w:sz="2"/>
            </w:tcBorders>
            <w:shd w:fill="E2F0F0"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Mayor duración total; requiere gobierno y coordinación sostenidos.</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OM-C</w:t>
            </w:r>
          </w:p>
        </w:tc>
        <w:tc>
          <w:tcPr>
            <w:tcW w:type="dxa" w:w="20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Coexistencia y encapsulamiento (Strangler)</w:t>
            </w:r>
          </w:p>
        </w:tc>
        <w:tc>
          <w:tcPr>
            <w:tcW w:type="dxa" w:w="25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Encapsulamiento de legados con la capa de integración y su retiro gradual.</w:t>
            </w:r>
          </w:p>
        </w:tc>
        <w:tc>
          <w:tcPr>
            <w:tcW w:type="dxa" w:w="14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Continuidad del servicio; bajo impacto inicial.</w:t>
            </w:r>
          </w:p>
        </w:tc>
        <w:tc>
          <w:tcPr>
            <w:tcW w:type="dxa" w:w="14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Mantenimiento prolongado de legados; deuda técnica temporal.</w:t>
            </w:r>
          </w:p>
        </w:tc>
      </w:tr>
    </w:tbl>
    <w:p>
      <w:pPr>
        <w:spacing w:after="120" w:before="0" w:line="264"/>
        <w:jc w:val="both"/>
      </w:pPr>
      <w:r>
        <w:rPr>
          <w:rFonts w:ascii="Arial" w:cs="Arial" w:eastAsia="Arial" w:hAnsi="Arial"/>
          <w:b/>
          <w:bCs/>
          <w:i w:val="false"/>
          <w:iCs w:val="false"/>
          <w:color w:val="5B2C87"/>
          <w:sz w:val="22"/>
          <w:szCs w:val="22"/>
        </w:rPr>
        <w:t xml:space="preserve">Opción recomendada: </w:t>
      </w:r>
      <w:r>
        <w:rPr>
          <w:rFonts w:ascii="Arial" w:cs="Arial" w:eastAsia="Arial" w:hAnsi="Arial"/>
          <w:b w:val="false"/>
          <w:bCs w:val="false"/>
          <w:i w:val="false"/>
          <w:iCs w:val="false"/>
          <w:color w:val="2B2B2B"/>
          <w:sz w:val="22"/>
          <w:szCs w:val="22"/>
        </w:rPr>
        <w:t xml:space="preserve">OM-B (migración incremental por arquitecturas de transición), complementada con OM-C para los sistemas heredados que no pueden retirarse de inmediato. Esta combinación equilibra valor, riesgo y continuidad del servicio público.</w:t>
      </w:r>
    </w:p>
    <w:p>
      <w:pPr>
        <w:pStyle w:val="Heading2"/>
        <w:spacing w:after="100" w:before="220"/>
      </w:pPr>
      <w:bookmarkStart w:name="s33" w:id="110"/>
      <w:r>
        <w:rPr>
          <w:rFonts w:ascii="Arial" w:cs="Arial" w:eastAsia="Arial" w:hAnsi="Arial"/>
          <w:b/>
          <w:bCs/>
          <w:color w:val="2E8B8B"/>
          <w:sz w:val="25"/>
          <w:szCs w:val="25"/>
        </w:rPr>
        <w:t xml:space="preserve">3.3  Beneficios de la Migración</w:t>
      </w:r>
      <w:bookmarkEnd w:id="1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326"/>
        <w:gridCol w:w="2500"/>
      </w:tblGrid>
      <w:tr>
        <w:trPr>
          <w:tblHeader/>
        </w:trPr>
        <w:tc>
          <w:tcPr>
            <w:tcW w:type="dxa" w:w="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Ref-ID</w:t>
            </w:r>
          </w:p>
        </w:tc>
        <w:tc>
          <w:tcPr>
            <w:tcW w:type="dxa" w:w="23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Beneficio</w:t>
            </w:r>
          </w:p>
        </w:tc>
        <w:tc>
          <w:tcPr>
            <w:tcW w:type="dxa" w:w="332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Descripción</w:t>
            </w:r>
          </w:p>
        </w:tc>
        <w:tc>
          <w:tcPr>
            <w:tcW w:type="dxa" w:w="25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Cuándo se materializa</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BM-1</w:t>
            </w:r>
          </w:p>
        </w:tc>
        <w:tc>
          <w:tcPr>
            <w:tcW w:type="dxa" w:w="23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Conectividad y seguridad base</w:t>
            </w:r>
          </w:p>
        </w:tc>
        <w:tc>
          <w:tcPr>
            <w:tcW w:type="dxa" w:w="33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Red segmentada y controles de seguridad mínimos viables en operación.</w:t>
            </w:r>
          </w:p>
        </w:tc>
        <w:tc>
          <w:tcPr>
            <w:tcW w:type="dxa" w:w="25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Al cierre de AT-1 (Mes 9).</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BM-2</w:t>
            </w:r>
          </w:p>
        </w:tc>
        <w:tc>
          <w:tcPr>
            <w:tcW w:type="dxa" w:w="23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Interoperabilidad con el Estado</w:t>
            </w:r>
          </w:p>
        </w:tc>
        <w:tc>
          <w:tcPr>
            <w:tcW w:type="dxa" w:w="33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Intercambio de información con PIDE/RENIEC y entre áreas municipales.</w:t>
            </w:r>
          </w:p>
        </w:tc>
        <w:tc>
          <w:tcPr>
            <w:tcW w:type="dxa" w:w="25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Durante AT-2 (Mes 12–18).</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BM-3</w:t>
            </w:r>
          </w:p>
        </w:tc>
        <w:tc>
          <w:tcPr>
            <w:tcW w:type="dxa" w:w="23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Identidad y firma digital</w:t>
            </w:r>
          </w:p>
        </w:tc>
        <w:tc>
          <w:tcPr>
            <w:tcW w:type="dxa" w:w="33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Acceso unificado y trámites con valor legal mediante firma electrónica.</w:t>
            </w:r>
          </w:p>
        </w:tc>
        <w:tc>
          <w:tcPr>
            <w:tcW w:type="dxa" w:w="25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Durante AT-2 (Mes 14–18).</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BM-4</w:t>
            </w:r>
          </w:p>
        </w:tc>
        <w:tc>
          <w:tcPr>
            <w:tcW w:type="dxa" w:w="23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Resiliencia y continuidad</w:t>
            </w:r>
          </w:p>
        </w:tc>
        <w:tc>
          <w:tcPr>
            <w:tcW w:type="dxa" w:w="33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Recuperación garantizada de servicios críticos ante incidentes.</w:t>
            </w:r>
          </w:p>
        </w:tc>
        <w:tc>
          <w:tcPr>
            <w:tcW w:type="dxa" w:w="25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Durante AT-3 (Mes 18–26).</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BM-5</w:t>
            </w:r>
          </w:p>
        </w:tc>
        <w:tc>
          <w:tcPr>
            <w:tcW w:type="dxa" w:w="23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Observabilidad y mejora continua</w:t>
            </w:r>
          </w:p>
        </w:tc>
        <w:tc>
          <w:tcPr>
            <w:tcW w:type="dxa" w:w="33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Operación proactiva y reducción de la indisponibilidad no planificada.</w:t>
            </w:r>
          </w:p>
        </w:tc>
        <w:tc>
          <w:tcPr>
            <w:tcW w:type="dxa" w:w="25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Al cierre de AT-3 (Mes 30).</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BM-6</w:t>
            </w:r>
          </w:p>
        </w:tc>
        <w:tc>
          <w:tcPr>
            <w:tcW w:type="dxa" w:w="23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Reducción del costo de infraestructura</w:t>
            </w:r>
          </w:p>
        </w:tc>
        <w:tc>
          <w:tcPr>
            <w:tcW w:type="dxa" w:w="33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Menor costo total de propiedad por consolidación y nube.</w:t>
            </w:r>
          </w:p>
        </w:tc>
        <w:tc>
          <w:tcPr>
            <w:tcW w:type="dxa" w:w="25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Progresivo desde AT-2; pleno en AT-3.</w:t>
            </w:r>
          </w:p>
        </w:tc>
      </w:tr>
    </w:tbl>
    <w:p>
      <w:pPr>
        <w:pStyle w:val="Heading2"/>
        <w:spacing w:after="100" w:before="220"/>
      </w:pPr>
      <w:bookmarkStart w:name="s34" w:id="111"/>
      <w:r>
        <w:rPr>
          <w:rFonts w:ascii="Arial" w:cs="Arial" w:eastAsia="Arial" w:hAnsi="Arial"/>
          <w:b/>
          <w:bCs/>
          <w:color w:val="2E8B8B"/>
          <w:sz w:val="25"/>
          <w:szCs w:val="25"/>
        </w:rPr>
        <w:t xml:space="preserve">3.4  Costos Estimados de las Opciones de Migración</w:t>
      </w:r>
      <w:bookmarkEnd w:id="111"/>
    </w:p>
    <w:p>
      <w:pPr>
        <w:spacing w:after="120" w:before="0" w:line="264"/>
        <w:jc w:val="both"/>
      </w:pPr>
      <w:r>
        <w:rPr>
          <w:rFonts w:ascii="Arial" w:cs="Arial" w:eastAsia="Arial" w:hAnsi="Arial"/>
          <w:b w:val="false"/>
          <w:bCs w:val="false"/>
          <w:i/>
          <w:iCs/>
          <w:color w:val="2B2B2B"/>
          <w:sz w:val="22"/>
          <w:szCs w:val="22"/>
        </w:rPr>
        <w:t xml:space="preserve">Las cifras siguientes son una estimación referencial de planificación (orden de magnitud) sujeta a estudio de mercado y disponibilidad presupuestal; no constituyen un presupuesto aprobado.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900"/>
        <w:gridCol w:w="4026"/>
      </w:tblGrid>
      <w:tr>
        <w:trPr>
          <w:tblHeader/>
        </w:trPr>
        <w:tc>
          <w:tcPr>
            <w:tcW w:type="dxa" w:w="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Ref-ID</w:t>
            </w:r>
          </w:p>
        </w:tc>
        <w:tc>
          <w:tcPr>
            <w:tcW w:type="dxa" w:w="22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Opción de Migración</w:t>
            </w:r>
          </w:p>
        </w:tc>
        <w:tc>
          <w:tcPr>
            <w:tcW w:type="dxa" w:w="1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Costo estimado</w:t>
            </w:r>
          </w:p>
        </w:tc>
        <w:tc>
          <w:tcPr>
            <w:tcW w:type="dxa" w:w="402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Supuestos del costo</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OM-A</w:t>
            </w:r>
          </w:p>
        </w:tc>
        <w:tc>
          <w:tcPr>
            <w:tcW w:type="dxa" w:w="22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Reemplazo total (Big Bang)</w:t>
            </w:r>
          </w:p>
        </w:tc>
        <w:tc>
          <w:tcPr>
            <w:tcW w:type="dxa" w:w="1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 18 – 22 millones</w:t>
            </w:r>
          </w:p>
        </w:tc>
        <w:tc>
          <w:tcPr>
            <w:tcW w:type="dxa" w:w="40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Inversión concentrada en 12–15 meses; incluye contingencias por alto riesgo y posibles interrupciones del servicio.</w:t>
            </w:r>
          </w:p>
        </w:tc>
      </w:tr>
      <w:tr>
        <w:tc>
          <w:tcPr>
            <w:tcW w:type="dxa" w:w="900"/>
            <w:gridSpan w:val="1"/>
            <w:tcBorders>
              <w:top w:val="single" w:color="D8CEE6" w:sz="2"/>
              <w:left w:val="single" w:color="D8CEE6" w:sz="2"/>
              <w:bottom w:val="single" w:color="D8CEE6" w:sz="2"/>
              <w:right w:val="single" w:color="D8CEE6" w:sz="2"/>
            </w:tcBorders>
            <w:shd w:fill="E2F0F0"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OM-B</w:t>
            </w:r>
          </w:p>
        </w:tc>
        <w:tc>
          <w:tcPr>
            <w:tcW w:type="dxa" w:w="2200"/>
            <w:gridSpan w:val="1"/>
            <w:tcBorders>
              <w:top w:val="single" w:color="D8CEE6" w:sz="2"/>
              <w:left w:val="single" w:color="D8CEE6" w:sz="2"/>
              <w:bottom w:val="single" w:color="D8CEE6" w:sz="2"/>
              <w:right w:val="single" w:color="D8CEE6" w:sz="2"/>
            </w:tcBorders>
            <w:shd w:fill="E2F0F0"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Migración incremental (recomendada)</w:t>
            </w:r>
          </w:p>
        </w:tc>
        <w:tc>
          <w:tcPr>
            <w:tcW w:type="dxa" w:w="1900"/>
            <w:gridSpan w:val="1"/>
            <w:tcBorders>
              <w:top w:val="single" w:color="D8CEE6" w:sz="2"/>
              <w:left w:val="single" w:color="D8CEE6" w:sz="2"/>
              <w:bottom w:val="single" w:color="D8CEE6" w:sz="2"/>
              <w:right w:val="single" w:color="D8CEE6" w:sz="2"/>
            </w:tcBorders>
            <w:shd w:fill="E2F0F0"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 15 – 18 millones</w:t>
            </w:r>
          </w:p>
        </w:tc>
        <w:tc>
          <w:tcPr>
            <w:tcW w:type="dxa" w:w="4026"/>
            <w:gridSpan w:val="1"/>
            <w:tcBorders>
              <w:top w:val="single" w:color="D8CEE6" w:sz="2"/>
              <w:left w:val="single" w:color="D8CEE6" w:sz="2"/>
              <w:bottom w:val="single" w:color="D8CEE6" w:sz="2"/>
              <w:right w:val="single" w:color="D8CEE6" w:sz="2"/>
            </w:tcBorders>
            <w:shd w:fill="E2F0F0"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CAPEX/OPEX distribuido en 30 meses por arquitectura de transición; uso de software de código abierto y nube gobierno cuando aplica.</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OM-C</w:t>
            </w:r>
          </w:p>
        </w:tc>
        <w:tc>
          <w:tcPr>
            <w:tcW w:type="dxa" w:w="22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Coexistencia y encapsulamiento</w:t>
            </w:r>
          </w:p>
        </w:tc>
        <w:tc>
          <w:tcPr>
            <w:tcW w:type="dxa" w:w="1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 11 – 14 millones</w:t>
            </w:r>
          </w:p>
        </w:tc>
        <w:tc>
          <w:tcPr>
            <w:tcW w:type="dxa" w:w="40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Menor inversión inicial, pero costo adicional por el mantenimiento prolongado de los sistemas heredados durante la coexistencia.</w:t>
            </w:r>
          </w:p>
        </w:tc>
      </w:tr>
    </w:tbl>
    <w:p>
      <w:pPr>
        <w:pStyle w:val="Heading1"/>
        <w:spacing w:after="140" w:before="300"/>
      </w:pPr>
      <w:bookmarkStart w:name="s4" w:id="112"/>
      <w:r>
        <w:rPr>
          <w:rFonts w:ascii="Arial" w:cs="Arial" w:eastAsia="Arial" w:hAnsi="Arial"/>
          <w:b/>
          <w:bCs/>
          <w:color w:val="5B2C87"/>
          <w:sz w:val="30"/>
          <w:szCs w:val="30"/>
        </w:rPr>
        <w:t xml:space="preserve">4  Recomendaciones de Implementación</w:t>
      </w:r>
      <w:bookmarkEnd w:id="112"/>
    </w:p>
    <w:p>
      <w:pPr>
        <w:pStyle w:val="Heading2"/>
        <w:spacing w:after="100" w:before="220"/>
      </w:pPr>
      <w:bookmarkStart w:name="s41" w:id="113"/>
      <w:r>
        <w:rPr>
          <w:rFonts w:ascii="Arial" w:cs="Arial" w:eastAsia="Arial" w:hAnsi="Arial"/>
          <w:b/>
          <w:bCs/>
          <w:color w:val="2E8B8B"/>
          <w:sz w:val="25"/>
          <w:szCs w:val="25"/>
        </w:rPr>
        <w:t xml:space="preserve">4.1  Criterios / Medidas de Efectividad de los Proyectos</w:t>
      </w:r>
      <w:bookmarkEnd w:id="113"/>
    </w:p>
    <w:p>
      <w:pPr>
        <w:spacing w:after="120" w:before="0" w:line="264"/>
        <w:jc w:val="both"/>
      </w:pPr>
      <w:r>
        <w:rPr>
          <w:rFonts w:ascii="Arial" w:cs="Arial" w:eastAsia="Arial" w:hAnsi="Arial"/>
          <w:b w:val="false"/>
          <w:bCs w:val="false"/>
          <w:i w:val="false"/>
          <w:iCs w:val="false"/>
          <w:color w:val="2B2B2B"/>
          <w:sz w:val="22"/>
          <w:szCs w:val="22"/>
        </w:rPr>
        <w:t xml:space="preserve">Se definen los criterios que permitirán medir la efectividad de cada proyecto de implementación y su métrica asociada, alineados con los beneficios esperados de la Sección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50"/>
        <w:gridCol w:w="3326"/>
        <w:gridCol w:w="2250"/>
      </w:tblGrid>
      <w:tr>
        <w:trPr>
          <w:tblHeader/>
        </w:trPr>
        <w:tc>
          <w:tcPr>
            <w:tcW w:type="dxa" w:w="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Ref-ID</w:t>
            </w:r>
          </w:p>
        </w:tc>
        <w:tc>
          <w:tcPr>
            <w:tcW w:type="dxa" w:w="25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Proyecto</w:t>
            </w:r>
          </w:p>
        </w:tc>
        <w:tc>
          <w:tcPr>
            <w:tcW w:type="dxa" w:w="332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Criterio de efectividad</w:t>
            </w:r>
          </w:p>
        </w:tc>
        <w:tc>
          <w:tcPr>
            <w:tcW w:type="dxa" w:w="22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Métrica</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T-01</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Plataforma de Interoperabilidad</w:t>
            </w:r>
          </w:p>
        </w:tc>
        <w:tc>
          <w:tcPr>
            <w:tcW w:type="dxa" w:w="33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Servicios integrados y operativos vía PIDE.</w:t>
            </w:r>
          </w:p>
        </w:tc>
        <w:tc>
          <w:tcPr>
            <w:tcW w:type="dxa" w:w="22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 8 servicios integrados; tiempo de integración de un nuevo servicio.</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T-02</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Modernización de Infraestructura</w:t>
            </w:r>
          </w:p>
        </w:tc>
        <w:tc>
          <w:tcPr>
            <w:tcW w:type="dxa" w:w="33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Cargas migradas y disponibilidad sostenida.</w:t>
            </w:r>
          </w:p>
        </w:tc>
        <w:tc>
          <w:tcPr>
            <w:tcW w:type="dxa" w:w="22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 70 % de cargas migradas; uptime ≥ 99,5 %.</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T-03</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Ciberseguridad y SGSI</w:t>
            </w:r>
          </w:p>
        </w:tc>
        <w:tc>
          <w:tcPr>
            <w:tcW w:type="dxa" w:w="33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Madurez del SGSI y respuesta a incidentes.</w:t>
            </w:r>
          </w:p>
        </w:tc>
        <w:tc>
          <w:tcPr>
            <w:tcW w:type="dxa" w:w="22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 80 % de controles ISO 27001; MTTR objetivo cumplido.</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T-04</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Identidad y Firma Electrónica</w:t>
            </w:r>
          </w:p>
        </w:tc>
        <w:tc>
          <w:tcPr>
            <w:tcW w:type="dxa" w:w="33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Cobertura de SSO y de firma digital.</w:t>
            </w:r>
          </w:p>
        </w:tc>
        <w:tc>
          <w:tcPr>
            <w:tcW w:type="dxa" w:w="22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 90 % de sistemas con SSO; % de trámites con firma digital.</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T-05</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Continuidad y Respaldo</w:t>
            </w:r>
          </w:p>
        </w:tc>
        <w:tc>
          <w:tcPr>
            <w:tcW w:type="dxa" w:w="33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Pruebas de recuperación exitosas.</w:t>
            </w:r>
          </w:p>
        </w:tc>
        <w:tc>
          <w:tcPr>
            <w:tcW w:type="dxa" w:w="22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RTO/RPO cumplidos; ≥ 100 % de servicios críticos con DRP probado.</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T-06</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Red y Conectividad</w:t>
            </w:r>
          </w:p>
        </w:tc>
        <w:tc>
          <w:tcPr>
            <w:tcW w:type="dxa" w:w="33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Segmentación y desempeño de la red.</w:t>
            </w:r>
          </w:p>
        </w:tc>
        <w:tc>
          <w:tcPr>
            <w:tcW w:type="dxa" w:w="22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Disponibilidad ≥ 99,5 %; sedes segmentadas; latencia objetivo.</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T-07</w:t>
            </w:r>
          </w:p>
        </w:tc>
        <w:tc>
          <w:tcPr>
            <w:tcW w:type="dxa" w:w="25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Monitoreo y Observabilidad</w:t>
            </w:r>
          </w:p>
        </w:tc>
        <w:tc>
          <w:tcPr>
            <w:tcW w:type="dxa" w:w="33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Cobertura de monitoreo de servicios.</w:t>
            </w:r>
          </w:p>
        </w:tc>
        <w:tc>
          <w:tcPr>
            <w:tcW w:type="dxa" w:w="22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 90 % de servicios monitoreados; reducción de incidentes no detectados.</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T-08</w:t>
            </w:r>
          </w:p>
        </w:tc>
        <w:tc>
          <w:tcPr>
            <w:tcW w:type="dxa" w:w="25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Gestión de la Arquitectura</w:t>
            </w:r>
          </w:p>
        </w:tc>
        <w:tc>
          <w:tcPr>
            <w:tcW w:type="dxa" w:w="33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Repositorio en uso y trazabilidad.</w:t>
            </w:r>
          </w:p>
        </w:tc>
        <w:tc>
          <w:tcPr>
            <w:tcW w:type="dxa" w:w="22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Modelos versionados en repositorio; trazabilidad ABB↔SBB.</w:t>
            </w:r>
          </w:p>
        </w:tc>
      </w:tr>
    </w:tbl>
    <w:p>
      <w:pPr>
        <w:pStyle w:val="Heading2"/>
        <w:spacing w:after="100" w:before="220"/>
      </w:pPr>
      <w:bookmarkStart w:name="s42" w:id="114"/>
      <w:r>
        <w:rPr>
          <w:rFonts w:ascii="Arial" w:cs="Arial" w:eastAsia="Arial" w:hAnsi="Arial"/>
          <w:b/>
          <w:bCs/>
          <w:color w:val="2E8B8B"/>
          <w:sz w:val="25"/>
          <w:szCs w:val="25"/>
        </w:rPr>
        <w:t xml:space="preserve">4.2  Riesgos e Incidencias</w:t>
      </w:r>
      <w:bookmarkEnd w:id="1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2000"/>
        <w:gridCol w:w="2576"/>
        <w:gridCol w:w="1100"/>
        <w:gridCol w:w="2500"/>
      </w:tblGrid>
      <w:tr>
        <w:trPr>
          <w:tblHeader/>
        </w:trPr>
        <w:tc>
          <w:tcPr>
            <w:tcW w:type="dxa" w:w="85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Ref-ID</w:t>
            </w:r>
          </w:p>
        </w:tc>
        <w:tc>
          <w:tcPr>
            <w:tcW w:type="dxa" w:w="20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Riesgo / Incidencia</w:t>
            </w:r>
          </w:p>
        </w:tc>
        <w:tc>
          <w:tcPr>
            <w:tcW w:type="dxa" w:w="257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Descripción</w:t>
            </w:r>
          </w:p>
        </w:tc>
        <w:tc>
          <w:tcPr>
            <w:tcW w:type="dxa" w:w="11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Impacto</w:t>
            </w:r>
          </w:p>
        </w:tc>
        <w:tc>
          <w:tcPr>
            <w:tcW w:type="dxa" w:w="25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Mitigación</w:t>
            </w:r>
          </w:p>
        </w:tc>
      </w:tr>
      <w:tr>
        <w:tc>
          <w:tcPr>
            <w:tcW w:type="dxa" w:w="8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R-01</w:t>
            </w:r>
          </w:p>
        </w:tc>
        <w:tc>
          <w:tcPr>
            <w:tcW w:type="dxa" w:w="20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Restricción presupuestal pública</w:t>
            </w:r>
          </w:p>
        </w:tc>
        <w:tc>
          <w:tcPr>
            <w:tcW w:type="dxa" w:w="25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Dependencia del calendario presupuestal anual del Estado.</w:t>
            </w:r>
          </w:p>
        </w:tc>
        <w:tc>
          <w:tcPr>
            <w:tcW w:type="dxa" w:w="11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Alto</w:t>
            </w:r>
          </w:p>
        </w:tc>
        <w:tc>
          <w:tcPr>
            <w:tcW w:type="dxa" w:w="25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Planificación multianual y financiamiento por etapas priorizadas por valor.</w:t>
            </w:r>
          </w:p>
        </w:tc>
      </w:tr>
      <w:tr>
        <w:tc>
          <w:tcPr>
            <w:tcW w:type="dxa" w:w="8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R-02</w:t>
            </w:r>
          </w:p>
        </w:tc>
        <w:tc>
          <w:tcPr>
            <w:tcW w:type="dxa" w:w="20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Rotación política / cambio de gestión</w:t>
            </w:r>
          </w:p>
        </w:tc>
        <w:tc>
          <w:tcPr>
            <w:tcW w:type="dxa" w:w="25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La rotación afecta la continuidad de las decisiones.</w:t>
            </w:r>
          </w:p>
        </w:tc>
        <w:tc>
          <w:tcPr>
            <w:tcW w:type="dxa" w:w="11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Alto</w:t>
            </w:r>
          </w:p>
        </w:tc>
        <w:tc>
          <w:tcPr>
            <w:tcW w:type="dxa" w:w="25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Gobernanza formal (Comité), documentación y logros tempranos (quick wins).</w:t>
            </w:r>
          </w:p>
        </w:tc>
      </w:tr>
      <w:tr>
        <w:tc>
          <w:tcPr>
            <w:tcW w:type="dxa" w:w="8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R-03</w:t>
            </w:r>
          </w:p>
        </w:tc>
        <w:tc>
          <w:tcPr>
            <w:tcW w:type="dxa" w:w="20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Dependencia de PIDE y servicios del Estado</w:t>
            </w:r>
          </w:p>
        </w:tc>
        <w:tc>
          <w:tcPr>
            <w:tcW w:type="dxa" w:w="25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Cambios o indisponibilidad de plataformas externas.</w:t>
            </w:r>
          </w:p>
        </w:tc>
        <w:tc>
          <w:tcPr>
            <w:tcW w:type="dxa" w:w="11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Medio</w:t>
            </w:r>
          </w:p>
        </w:tc>
        <w:tc>
          <w:tcPr>
            <w:tcW w:type="dxa" w:w="25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Gestión de interoperabilidad, acuerdos de servicio y monitoreo.</w:t>
            </w:r>
          </w:p>
        </w:tc>
      </w:tr>
      <w:tr>
        <w:tc>
          <w:tcPr>
            <w:tcW w:type="dxa" w:w="8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R-04</w:t>
            </w:r>
          </w:p>
        </w:tc>
        <w:tc>
          <w:tcPr>
            <w:tcW w:type="dxa" w:w="20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Brecha de competencias y resistencia al cambio</w:t>
            </w:r>
          </w:p>
        </w:tc>
        <w:tc>
          <w:tcPr>
            <w:tcW w:type="dxa" w:w="25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Personal sin experiencia previa formal en estas tecnologías.</w:t>
            </w:r>
          </w:p>
        </w:tc>
        <w:tc>
          <w:tcPr>
            <w:tcW w:type="dxa" w:w="11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Medio</w:t>
            </w:r>
          </w:p>
        </w:tc>
        <w:tc>
          <w:tcPr>
            <w:tcW w:type="dxa" w:w="25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Gestión del cambio, capacitación y transferencia de consultores.</w:t>
            </w:r>
          </w:p>
        </w:tc>
      </w:tr>
      <w:tr>
        <w:tc>
          <w:tcPr>
            <w:tcW w:type="dxa" w:w="8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R-05</w:t>
            </w:r>
          </w:p>
        </w:tc>
        <w:tc>
          <w:tcPr>
            <w:tcW w:type="dxa" w:w="20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Exposición de datos personales en la migración</w:t>
            </w:r>
          </w:p>
        </w:tc>
        <w:tc>
          <w:tcPr>
            <w:tcW w:type="dxa" w:w="25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Riesgo sobre datos protegidos por la Ley N.° 29733.</w:t>
            </w:r>
          </w:p>
        </w:tc>
        <w:tc>
          <w:tcPr>
            <w:tcW w:type="dxa" w:w="11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Alto</w:t>
            </w:r>
          </w:p>
        </w:tc>
        <w:tc>
          <w:tcPr>
            <w:tcW w:type="dxa" w:w="25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Seguridad por diseño, pruebas y cumplimiento normativo verificado.</w:t>
            </w:r>
          </w:p>
        </w:tc>
      </w:tr>
      <w:tr>
        <w:tc>
          <w:tcPr>
            <w:tcW w:type="dxa" w:w="85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R-06</w:t>
            </w:r>
          </w:p>
        </w:tc>
        <w:tc>
          <w:tcPr>
            <w:tcW w:type="dxa" w:w="20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Dependencia de proveedores (lock-in)</w:t>
            </w:r>
          </w:p>
        </w:tc>
        <w:tc>
          <w:tcPr>
            <w:tcW w:type="dxa" w:w="257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Atadura tecnológica a un único proveedor.</w:t>
            </w:r>
          </w:p>
        </w:tc>
        <w:tc>
          <w:tcPr>
            <w:tcW w:type="dxa" w:w="11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Medio</w:t>
            </w:r>
          </w:p>
        </w:tc>
        <w:tc>
          <w:tcPr>
            <w:tcW w:type="dxa" w:w="25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Estándares abiertos, cláusulas de portabilidad y código abierto.</w:t>
            </w:r>
          </w:p>
        </w:tc>
      </w:tr>
      <w:tr>
        <w:tc>
          <w:tcPr>
            <w:tcW w:type="dxa" w:w="85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R-07</w:t>
            </w:r>
          </w:p>
        </w:tc>
        <w:tc>
          <w:tcPr>
            <w:tcW w:type="dxa" w:w="20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Interrupción del servicio durante la migración</w:t>
            </w:r>
          </w:p>
        </w:tc>
        <w:tc>
          <w:tcPr>
            <w:tcW w:type="dxa" w:w="257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Afectación de la atención ciudadana durante los cambios.</w:t>
            </w:r>
          </w:p>
        </w:tc>
        <w:tc>
          <w:tcPr>
            <w:tcW w:type="dxa" w:w="11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Alto</w:t>
            </w:r>
          </w:p>
        </w:tc>
        <w:tc>
          <w:tcPr>
            <w:tcW w:type="dxa" w:w="25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Estrategia incremental + encapsulamiento, ventanas de mantenimiento y rollback.</w:t>
            </w:r>
          </w:p>
        </w:tc>
      </w:tr>
    </w:tbl>
    <w:p>
      <w:pPr>
        <w:pStyle w:val="Heading2"/>
        <w:spacing w:after="100" w:before="220"/>
      </w:pPr>
      <w:bookmarkStart w:name="s43" w:id="115"/>
      <w:r>
        <w:rPr>
          <w:rFonts w:ascii="Arial" w:cs="Arial" w:eastAsia="Arial" w:hAnsi="Arial"/>
          <w:b/>
          <w:bCs/>
          <w:color w:val="2E8B8B"/>
          <w:sz w:val="25"/>
          <w:szCs w:val="25"/>
        </w:rPr>
        <w:t xml:space="preserve">4.3  Bloques de Construcción de Solución (SBBs)</w:t>
      </w:r>
      <w:bookmarkEnd w:id="115"/>
    </w:p>
    <w:p>
      <w:pPr>
        <w:spacing w:after="120" w:before="0" w:line="264"/>
        <w:jc w:val="both"/>
      </w:pPr>
      <w:r>
        <w:rPr>
          <w:rFonts w:ascii="Arial" w:cs="Arial" w:eastAsia="Arial" w:hAnsi="Arial"/>
          <w:b w:val="false"/>
          <w:bCs w:val="false"/>
          <w:i w:val="false"/>
          <w:iCs w:val="false"/>
          <w:color w:val="2B2B2B"/>
          <w:sz w:val="22"/>
          <w:szCs w:val="22"/>
        </w:rPr>
        <w:t xml:space="preserve">Se identifican los Bloques de Construcción de Solución (SBB) que realizan los Bloques de Construcción de Arquitectura (ABB) definidos para el dominio de Tecnología, y el proyecto que entrega cada uno. Los productos se indican a título ilustrativo, priorizando estándares abiertos y plataformas del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026"/>
        <w:gridCol w:w="1200"/>
      </w:tblGrid>
      <w:tr>
        <w:trPr>
          <w:tblHeader/>
        </w:trPr>
        <w:tc>
          <w:tcPr>
            <w:tcW w:type="dxa" w:w="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Ref-ID</w:t>
            </w:r>
          </w:p>
        </w:tc>
        <w:tc>
          <w:tcPr>
            <w:tcW w:type="dxa" w:w="29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SBB (Solución)</w:t>
            </w:r>
          </w:p>
        </w:tc>
        <w:tc>
          <w:tcPr>
            <w:tcW w:type="dxa" w:w="3026"/>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ABB que realiza</w:t>
            </w:r>
          </w:p>
        </w:tc>
        <w:tc>
          <w:tcPr>
            <w:tcW w:type="dxa" w:w="1200"/>
            <w:gridSpan w:val="1"/>
            <w:tcBorders>
              <w:top w:val="single" w:color="D8CEE6" w:sz="2"/>
              <w:left w:val="single" w:color="D8CEE6" w:sz="2"/>
              <w:bottom w:val="single" w:color="D8CEE6" w:sz="2"/>
              <w:right w:val="single" w:color="D8CEE6" w:sz="2"/>
            </w:tcBorders>
            <w:shd w:fill="5B2C87" w:val="clear"/>
            <w:tcMar>
              <w:top w:type="dxa" w:w="60"/>
              <w:left w:type="dxa" w:w="110"/>
              <w:bottom w:type="dxa" w:w="60"/>
              <w:right w:type="dxa" w:w="110"/>
            </w:tcMar>
            <w:vAlign w:val="center"/>
          </w:tcPr>
          <w:p>
            <w:pPr>
              <w:spacing w:after="0" w:line="244"/>
              <w:jc w:val="left"/>
            </w:pPr>
            <w:r>
              <w:rPr>
                <w:rFonts w:ascii="Arial" w:cs="Arial" w:eastAsia="Arial" w:hAnsi="Arial"/>
                <w:b/>
                <w:bCs/>
                <w:color w:val="FFFFFF"/>
                <w:sz w:val="19"/>
                <w:szCs w:val="19"/>
              </w:rPr>
              <w:t xml:space="preserve">Proyecto</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SBB-01</w:t>
            </w:r>
          </w:p>
        </w:tc>
        <w:tc>
          <w:tcPr>
            <w:tcW w:type="dxa" w:w="2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ESB + API Gateway (p. ej. WSO2 / Kong) y conectores PIDE–RENIEC</w:t>
            </w:r>
          </w:p>
        </w:tc>
        <w:tc>
          <w:tcPr>
            <w:tcW w:type="dxa" w:w="30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Bus de Interoperabilidad / Servicio de Integración con el Estado</w:t>
            </w:r>
          </w:p>
        </w:tc>
        <w:tc>
          <w:tcPr>
            <w:tcW w:type="dxa" w:w="12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T-01</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SBB-02</w:t>
            </w:r>
          </w:p>
        </w:tc>
        <w:tc>
          <w:tcPr>
            <w:tcW w:type="dxa" w:w="2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Virtualización y nube gobierno + orquestación de contenedores (Kubernetes)</w:t>
            </w:r>
          </w:p>
        </w:tc>
        <w:tc>
          <w:tcPr>
            <w:tcW w:type="dxa" w:w="30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Plataforma de Cómputo y Nube</w:t>
            </w:r>
          </w:p>
        </w:tc>
        <w:tc>
          <w:tcPr>
            <w:tcW w:type="dxa" w:w="12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T-02</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SBB-03</w:t>
            </w:r>
          </w:p>
        </w:tc>
        <w:tc>
          <w:tcPr>
            <w:tcW w:type="dxa" w:w="2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NGFW + SIEM + SOC y controles ISO/IEC 27001</w:t>
            </w:r>
          </w:p>
        </w:tc>
        <w:tc>
          <w:tcPr>
            <w:tcW w:type="dxa" w:w="30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Plataforma de Seguridad y SGSI</w:t>
            </w:r>
          </w:p>
        </w:tc>
        <w:tc>
          <w:tcPr>
            <w:tcW w:type="dxa" w:w="12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T-03</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SBB-04</w:t>
            </w:r>
          </w:p>
        </w:tc>
        <w:tc>
          <w:tcPr>
            <w:tcW w:type="dxa" w:w="2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IAM con SSO/MFA (p. ej. Keycloak) + firma digital del Estado</w:t>
            </w:r>
          </w:p>
        </w:tc>
        <w:tc>
          <w:tcPr>
            <w:tcW w:type="dxa" w:w="30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Gestión de Identidad y Acceso</w:t>
            </w:r>
          </w:p>
        </w:tc>
        <w:tc>
          <w:tcPr>
            <w:tcW w:type="dxa" w:w="12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T-04</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SBB-05</w:t>
            </w:r>
          </w:p>
        </w:tc>
        <w:tc>
          <w:tcPr>
            <w:tcW w:type="dxa" w:w="2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Solución de respaldo + sitio alterno de recuperación (DR) y replicación</w:t>
            </w:r>
          </w:p>
        </w:tc>
        <w:tc>
          <w:tcPr>
            <w:tcW w:type="dxa" w:w="30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Servicio de Continuidad y Respaldo</w:t>
            </w:r>
          </w:p>
        </w:tc>
        <w:tc>
          <w:tcPr>
            <w:tcW w:type="dxa" w:w="12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T-05</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SBB-06</w:t>
            </w:r>
          </w:p>
        </w:tc>
        <w:tc>
          <w:tcPr>
            <w:tcW w:type="dxa" w:w="2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Red segmentada + SD-WAN bajo modelo de confianza cero</w:t>
            </w:r>
          </w:p>
        </w:tc>
        <w:tc>
          <w:tcPr>
            <w:tcW w:type="dxa" w:w="30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Infraestructura de Red Segura</w:t>
            </w:r>
          </w:p>
        </w:tc>
        <w:tc>
          <w:tcPr>
            <w:tcW w:type="dxa" w:w="12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T-06</w:t>
            </w:r>
          </w:p>
        </w:tc>
      </w:tr>
      <w:tr>
        <w:tc>
          <w:tcPr>
            <w:tcW w:type="dxa" w:w="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SBB-07</w:t>
            </w:r>
          </w:p>
        </w:tc>
        <w:tc>
          <w:tcPr>
            <w:tcW w:type="dxa" w:w="29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Stack de observabilidad (Prometheus / Grafana / ELK) y NOC</w:t>
            </w:r>
          </w:p>
        </w:tc>
        <w:tc>
          <w:tcPr>
            <w:tcW w:type="dxa" w:w="3026"/>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Plataforma de Monitoreo y Observabilidad</w:t>
            </w:r>
          </w:p>
        </w:tc>
        <w:tc>
          <w:tcPr>
            <w:tcW w:type="dxa" w:w="1200"/>
            <w:gridSpan w:val="1"/>
            <w:tcBorders>
              <w:top w:val="single" w:color="D8CEE6" w:sz="2"/>
              <w:left w:val="single" w:color="D8CEE6" w:sz="2"/>
              <w:bottom w:val="single" w:color="D8CEE6" w:sz="2"/>
              <w:right w:val="single" w:color="D8CEE6" w:sz="2"/>
            </w:tcBorders>
            <w:shd w:fill="FFFFFF"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T-07</w:t>
            </w:r>
          </w:p>
        </w:tc>
      </w:tr>
      <w:tr>
        <w:tc>
          <w:tcPr>
            <w:tcW w:type="dxa" w:w="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center"/>
            </w:pPr>
            <w:r>
              <w:rPr>
                <w:rFonts w:ascii="Arial" w:cs="Arial" w:eastAsia="Arial" w:hAnsi="Arial"/>
                <w:b/>
                <w:bCs/>
                <w:color w:val="5B2C87"/>
                <w:sz w:val="19"/>
                <w:szCs w:val="19"/>
              </w:rPr>
              <w:t xml:space="preserve">SBB-08</w:t>
            </w:r>
          </w:p>
        </w:tc>
        <w:tc>
          <w:tcPr>
            <w:tcW w:type="dxa" w:w="29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Repositorio arquitectónico + herramientas de modelado (Archi, Sparx EA)</w:t>
            </w:r>
          </w:p>
        </w:tc>
        <w:tc>
          <w:tcPr>
            <w:tcW w:type="dxa" w:w="3026"/>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Repositorio de Arquitectura</w:t>
            </w:r>
          </w:p>
        </w:tc>
        <w:tc>
          <w:tcPr>
            <w:tcW w:type="dxa" w:w="1200"/>
            <w:gridSpan w:val="1"/>
            <w:tcBorders>
              <w:top w:val="single" w:color="D8CEE6" w:sz="2"/>
              <w:left w:val="single" w:color="D8CEE6" w:sz="2"/>
              <w:bottom w:val="single" w:color="D8CEE6" w:sz="2"/>
              <w:right w:val="single" w:color="D8CEE6" w:sz="2"/>
            </w:tcBorders>
            <w:shd w:fill="F5F2F9" w:val="clear"/>
            <w:tcMar>
              <w:top w:type="dxa" w:w="60"/>
              <w:left w:type="dxa" w:w="110"/>
              <w:bottom w:type="dxa" w:w="60"/>
              <w:right w:type="dxa" w:w="110"/>
            </w:tcMar>
            <w:vAlign w:val="center"/>
          </w:tcPr>
          <w:p>
            <w:pPr>
              <w:spacing w:after="0" w:line="244"/>
              <w:jc w:val="left"/>
            </w:pPr>
            <w:r>
              <w:rPr>
                <w:rFonts w:ascii="Arial" w:cs="Arial" w:eastAsia="Arial" w:hAnsi="Arial"/>
                <w:b w:val="false"/>
                <w:bCs w:val="false"/>
                <w:color w:val="2B2B2B"/>
                <w:sz w:val="19"/>
                <w:szCs w:val="19"/>
              </w:rPr>
              <w:t xml:space="preserve">T-08</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8B" w:sz="6" w:space="6"/>
      </w:pBdr>
      <w:tabs>
        <w:tab w:val="center" w:pos="4513"/>
        <w:tab w:val="right" w:pos="9026"/>
      </w:tabs>
      <w:spacing w:before="0"/>
    </w:pPr>
    <w:r>
      <w:rPr>
        <w:rFonts w:ascii="Arial" w:cs="Arial" w:eastAsia="Arial" w:hAnsi="Arial"/>
        <w:color w:val="2B2B2B"/>
        <w:sz w:val="16"/>
        <w:szCs w:val="16"/>
      </w:rPr>
      <w:t xml:space="preserve">Versión 0.1 — Borrador</w:t>
    </w:r>
    <w:r>
      <w:rPr>
        <w:rFonts w:ascii="Arial" w:cs="Arial" w:eastAsia="Arial" w:hAnsi="Arial"/>
        <w:color w:val="2B2B2B"/>
        <w:sz w:val="16"/>
        <w:szCs w:val="16"/>
      </w:rPr>
      <w:t xml:space="preserve">	Sin Clasificar	</w:t>
    </w:r>
    <w:r>
      <w:rPr>
        <w:rFonts w:ascii="Arial" w:cs="Arial" w:eastAsia="Arial" w:hAnsi="Arial"/>
        <w:color w:val="2B2B2B"/>
        <w:sz w:val="16"/>
        <w:szCs w:val="16"/>
      </w:rPr>
      <w:t xml:space="preserve">Página </w:t>
    </w:r>
    <w:r>
      <w:rPr>
        <w:rFonts w:ascii="Arial" w:cs="Arial" w:eastAsia="Arial" w:hAnsi="Arial"/>
        <w:color w:val="2B2B2B"/>
        <w:sz w:val="16"/>
        <w:szCs w:val="16"/>
      </w:rPr>
      <w:fldChar w:fldCharType="begin"/>
      <w:instrText xml:space="preserve">PAGE</w:instrText>
      <w:fldChar w:fldCharType="separate"/>
      <w:fldChar w:fldCharType="end"/>
    </w:r>
    <w:r>
      <w:rPr>
        <w:rFonts w:ascii="Arial" w:cs="Arial" w:eastAsia="Arial" w:hAnsi="Arial"/>
        <w:color w:val="2B2B2B"/>
        <w:sz w:val="16"/>
        <w:szCs w:val="16"/>
      </w:rPr>
      <w:t xml:space="preserve"> de </w:t>
    </w:r>
    <w:r>
      <w:rPr>
        <w:rFonts w:ascii="Arial" w:cs="Arial" w:eastAsia="Arial" w:hAnsi="Arial"/>
        <w:color w:val="2B2B2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C87" w:sz="6" w:space="6"/>
      </w:pBdr>
      <w:tabs>
        <w:tab w:val="right" w:pos="9026"/>
      </w:tabs>
      <w:spacing w:after="0"/>
    </w:pPr>
    <w:r>
      <w:rPr>
        <w:rFonts w:ascii="Arial" w:cs="Arial" w:eastAsia="Arial" w:hAnsi="Arial"/>
        <w:b/>
        <w:bCs/>
        <w:color w:val="5B2C87"/>
        <w:sz w:val="16"/>
        <w:szCs w:val="16"/>
      </w:rPr>
      <w:t xml:space="preserve">Hoja de Ruta de Arquitectura — Fase D</w:t>
    </w:r>
    <w:r>
      <w:rPr>
        <w:rFonts w:ascii="Arial" w:cs="Arial" w:eastAsia="Arial" w:hAnsi="Arial"/>
        <w:color w:val="2E8B8B"/>
        <w:sz w:val="16"/>
        <w:szCs w:val="16"/>
      </w:rPr>
      <w:t xml:space="preserve">	Municipalidad Metropolitana de Lima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2E8B8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5B2C87"/>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32490777b0cad2784afd6ab5b5099d5a3aea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Ruta de Arquitectura — Fase D</dc:title>
  <dc:creator>Equipo de Arquitectura Empresarial — MML</dc:creator>
  <dc:description>Technology Architecture Roadmap — Municipalidad Metropolitana de Lima</dc:description>
  <cp:lastModifiedBy>Un-named</cp:lastModifiedBy>
  <cp:revision>1</cp:revision>
  <dcterms:created xsi:type="dcterms:W3CDTF">2026-06-18T22:41:57.433Z</dcterms:created>
  <dcterms:modified xsi:type="dcterms:W3CDTF">2026-06-18T22:41:57.433Z</dcterms:modified>
</cp:coreProperties>
</file>

<file path=docProps/custom.xml><?xml version="1.0" encoding="utf-8"?>
<Properties xmlns="http://schemas.openxmlformats.org/officeDocument/2006/custom-properties" xmlns:vt="http://schemas.openxmlformats.org/officeDocument/2006/docPropsVTypes"/>
</file>