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864"/>
          <w:sz w:val="30"/>
          <w:szCs w:val="30"/>
        </w:rPr>
        <w:t xml:space="preserve">UNIVERSIDAD NACIONAL DE INGENIERÍA</w:t>
      </w:r>
    </w:p>
    <w:p>
      <w:pPr>
        <w:spacing w:after="500"/>
        <w:jc w:val="center"/>
      </w:pPr>
      <w:r>
        <w:rPr>
          <w:color w:val="2E5496"/>
          <w:sz w:val="24"/>
          <w:szCs w:val="24"/>
        </w:rPr>
        <w:t xml:space="preserve">FACULTAD DE INGENIERÍA INDUSTRIAL Y SISTEMAS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APLICACIÓN DE TOGAF A LA MUNICIPALIDAD DE LIMA</w:t>
      </w:r>
    </w:p>
    <w:p>
      <w:pPr>
        <w:spacing w:after="360"/>
        <w:jc w:val="center"/>
      </w:pPr>
      <w:r>
        <w:rPr>
          <w:b/>
          <w:bCs/>
          <w:color w:val="C00000"/>
          <w:sz w:val="26"/>
          <w:szCs w:val="26"/>
        </w:rPr>
        <w:t xml:space="preserve">FASE B: ARQUITECTURA DE NEGOCIO</w:t>
      </w:r>
    </w:p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Hoja de Ruta de Arquitectura</w:t>
      </w:r>
    </w:p>
    <w:p>
      <w:pPr>
        <w:spacing w:after="500"/>
        <w:jc w:val="center"/>
      </w:pPr>
      <w:r>
        <w:rPr>
          <w:i/>
          <w:iCs/>
          <w:color w:val="808080"/>
          <w:sz w:val="20"/>
          <w:szCs w:val="20"/>
        </w:rPr>
        <w:t xml:space="preserve">Entregable TOGAF — Fase B: Arquitectura de Negocio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sz w:val="20"/>
          <w:szCs w:val="20"/>
        </w:rPr>
        <w:t xml:space="preserve">Chirinos Paredes, Fernando Angel — 20221247C</w:t>
      </w:r>
    </w:p>
    <w:p>
      <w:pPr>
        <w:spacing w:after="40"/>
        <w:jc w:val="center"/>
      </w:pPr>
      <w:r>
        <w:rPr>
          <w:sz w:val="20"/>
          <w:szCs w:val="20"/>
        </w:rPr>
        <w:t xml:space="preserve">Ruiz Luna, Dair Aldrin — 20212141A</w:t>
      </w:r>
    </w:p>
    <w:p>
      <w:pPr>
        <w:spacing w:after="40"/>
        <w:jc w:val="center"/>
      </w:pPr>
      <w:r>
        <w:rPr>
          <w:sz w:val="20"/>
          <w:szCs w:val="20"/>
        </w:rPr>
        <w:t xml:space="preserve">Garcia Retuerto, Jholvis Juan — 20221013B</w:t>
      </w:r>
    </w:p>
    <w:p>
      <w:pPr>
        <w:spacing w:after="40"/>
        <w:jc w:val="center"/>
      </w:pPr>
      <w:r>
        <w:rPr>
          <w:sz w:val="20"/>
          <w:szCs w:val="20"/>
        </w:rPr>
        <w:t xml:space="preserve">Jaramillo Blanco, Lenin Anderson — 20212632E</w:t>
      </w:r>
    </w:p>
    <w:p>
      <w:pPr>
        <w:spacing w:after="40"/>
        <w:jc w:val="center"/>
      </w:pPr>
      <w:r>
        <w:rPr>
          <w:sz w:val="20"/>
          <w:szCs w:val="20"/>
        </w:rPr>
        <w:t xml:space="preserve">Ramos Lopez, Denilson David Giovanni — 20191240F</w:t>
      </w:r>
    </w:p>
    <w:p>
      <w:pPr>
        <w:spacing w:after="40"/>
        <w:jc w:val="center"/>
      </w:pPr>
      <w:r>
        <w:rPr>
          <w:sz w:val="20"/>
          <w:szCs w:val="20"/>
        </w:rPr>
        <w:t xml:space="preserve">Vila Chahua, Jean Paul — 20170035D</w:t>
      </w:r>
    </w:p>
    <w:p>
      <w:pPr>
        <w:spacing w:after="40"/>
        <w:jc w:val="center"/>
      </w:pPr>
      <w:r>
        <w:rPr>
          <w:sz w:val="20"/>
          <w:szCs w:val="20"/>
        </w:rPr>
        <w:t xml:space="preserve">Chauvet, Loriano Celso Gaby — II2026102</w:t>
      </w:r>
    </w:p>
    <w:p>
      <w:pPr>
        <w:spacing w:after="300"/>
      </w:pPr>
    </w:p>
    <w:p>
      <w:pPr>
        <w:spacing w:after="40"/>
        <w:jc w:val="center"/>
      </w:pPr>
      <w:r>
        <w:rPr>
          <w:sz w:val="20"/>
          <w:szCs w:val="20"/>
        </w:rPr>
        <w:t xml:space="preserve">Docente: Tobías Enrique Aliaga Vilchez</w:t>
      </w:r>
    </w:p>
    <w:p>
      <w:pPr>
        <w:spacing w:after="200"/>
        <w:jc w:val="center"/>
      </w:pPr>
      <w:r>
        <w:rPr>
          <w:sz w:val="20"/>
          <w:szCs w:val="20"/>
        </w:rPr>
        <w:t xml:space="preserve">SI605U: Arquitectura Empresarial</w:t>
      </w:r>
    </w:p>
    <w:p>
      <w:pPr>
        <w:spacing w:after="80"/>
        <w:jc w:val="center"/>
      </w:pPr>
      <w:r>
        <w:rPr>
          <w:color w:val="808080"/>
          <w:sz w:val="20"/>
          <w:szCs w:val="20"/>
        </w:rPr>
        <w:t xml:space="preserve">Lima – Perú ·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Aplicación de TOGAF — Municipalidad Metropolitana de Lima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Título del documento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Hoja de Ruta de Arquitectura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Fase ADM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Fase B — Arquitectura de Negocio (Business Architecture)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Para revisión y aprobación del Comité de Arquitectura Empresarial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de Arquitectura Empresarial — FIIS-UNI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Revisado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Arquitecto Empresarial Principal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Comité de Arquitectura Empresarial (Gerencia Municipal · Planificación · GTI)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2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Estructura inicial a partir de la plantilla TOGAF 9.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Incorporación de contenido de las fases Preliminar y A.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Versión completa adaptada a la MML para Fase 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Propósito del documento</w:t>
      </w:r>
    </w:p>
    <w:p>
      <w:pPr>
        <w:spacing w:after="120" w:line="276"/>
        <w:jc w:val="both"/>
      </w:pPr>
      <w:r>
        <w:t xml:space="preserve">La Hoja de Ruta de Arquitectura enumera los incrementos de cambio y los ordena en una línea de tiempo que muestra la progresión desde la arquitectura de línea base (AS-IS) hasta la arquitectura objetivo (TO-BE) de la Municipalidad Metropolitana de Lima (MML).</w:t>
      </w:r>
    </w:p>
    <w:p>
      <w:pPr>
        <w:spacing w:after="120" w:line="276"/>
        <w:jc w:val="both"/>
      </w:pPr>
      <w:r>
        <w:t xml:space="preserve">Este documento corresponde al dominio de negocio (Fase B del ADM) y se desarrolla de forma incremental a lo largo de las fases B, C, D, E y F. Define los proyectos con resultado arquitectónico significativo, sus dependencias, beneficios y costos estimados, así como las arquitecturas de transición que entregan valor de manera escalonada. Su contenido es coherente con el Documento de Definición de Arquitectura y la Especificación de Requisitos de Arquitectura.</w:t>
      </w:r>
    </w:p>
    <w:p>
      <w:pPr>
        <w:spacing w:after="120" w:line="276"/>
        <w:jc w:val="both"/>
      </w:pPr>
      <w:r>
        <w:t xml:space="preserve">Alcance del documento: proyectos e incrementos necesarios para cerrar las brechas del dominio de negocio identificadas en la sección 10 del Documento de Definición. Quedan fuera de alcance los planes de detalle de las fases C y D, que se sincronizarán con esta hoja de ruta.</w:t>
      </w:r>
    </w:p>
    <w:p>
      <w:r>
        <w:br w:type="page"/>
      </w:r>
    </w:p>
    <w:p>
      <w:pPr>
        <w:pStyle w:val="Heading1"/>
      </w:pPr>
      <w:r>
        <w:t xml:space="preserve">2. Lista de proyectos</w:t>
      </w:r>
    </w:p>
    <w:p>
      <w:pPr>
        <w:pStyle w:val="Heading2"/>
      </w:pPr>
      <w:r>
        <w:t xml:space="preserve">2.1. Proyectos</w:t>
      </w:r>
    </w:p>
    <w:p>
      <w:pPr>
        <w:spacing w:after="120" w:line="276"/>
        <w:jc w:val="both"/>
      </w:pPr>
      <w:r>
        <w:t xml:space="preserve">Proyectos que implementan la arquitectura objetivo del dominio de negocio, con sus dependencias y estimación de costo relativo: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000"/>
        <w:gridCol w:w="18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Mesa de partes virtual y plataforma de trámites en línea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Habilita el ingreso digital de documentos y el catálogo de trámites en línea.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 (gobierno/datos base)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Interoperabilidad con PIDE y RENIEC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 autenticación e intercambio de información interinstitucional.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Medio-Alto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Pagos digitales de arbitrios y tasas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Pasarela de pagos con conciliación automática.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Gobierno de datos y registro único del ciudadano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Define catálogos, calidad y un identificador único del ciudadano.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Rediseño y digitalización de procesos (BPM)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Modela en BPMN y automatiza licencias, reclamos y fiscalización.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P1, P4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Medio-Alto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Repositorio de AE y modelado ArchiMate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Implanta herramientas (Archi/Sparx) y el repositorio arquitectónico.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Seguridad de la información (ISO 27001 / Ley 29733)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Establece controles, gestión de accesos y protección de datos.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del cambio y capacitación TOGAF/ArchiMate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Capacita al personal y acompaña la adopción del modelo.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Transversal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Bajo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Tabla 2.1. Lista de proyectos de la Hoja de Ruta — dominio de negocio.</w:t>
      </w:r>
    </w:p>
    <w:p>
      <w:pPr>
        <w:pStyle w:val="Heading2"/>
      </w:pPr>
      <w:r>
        <w:t xml:space="preserve">2.2. Objetivos de los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60"/>
        <w:gridCol w:w="35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 del proyecto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 arquitectónico asociado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Poner en línea los trámites prioritarios y la recepción documentaria.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OBJ-01, OBJ-02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Lograr la interoperabilidad con servicios del Estado.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OBJ-03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Habilitar el pago digital y la conciliación automática.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OBJ-05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Eliminar la duplicidad mediante un registro único del ciudadano.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OBJ-04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Optimizar y automatizar los procesos críticos.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OBJ-01, OBJ-05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Dotar a la AE de repositorio y herramientas de modelado.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Sostenibilidad de la AE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Garantizar seguridad y protección de datos por diseño.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Asegurar la adopción y continuidad frente a la rotación política.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del cambio</w:t>
            </w:r>
          </w:p>
        </w:tc>
      </w:tr>
    </w:tbl>
    <w:p>
      <w:pPr>
        <w:pStyle w:val="Heading2"/>
      </w:pPr>
      <w:r>
        <w:t xml:space="preserve">2.3. Beneficios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60"/>
        <w:gridCol w:w="35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Beneficio principal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 / KPI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Atención 24/7 y reducción de tiempos de espera.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RA-01, RA-02 / KPI-01, KPI-02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Fin de la duplicidad y datos confiables compartidos.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RI-01, RI-02 / KPI-03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Recaudación más ágil y trazable.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RA-04 / KPI-02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Información única y de calidad por ciudadano.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RA-06 / KPI-05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Procesos más eficientes y con SLA.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RA-05, RA-08 / KPI-02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Documentación y gobierno arquitectónico sostenibles.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Sostenibilidad AE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Confianza ciudadana y cumplimiento legal.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RA-10 / KPI-04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Menor resistencia al cambio y continuidad.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RSK-03, RSK-01</w:t>
            </w:r>
          </w:p>
        </w:tc>
      </w:tr>
    </w:tbl>
    <w:p>
      <w:pPr>
        <w:pStyle w:val="Heading2"/>
      </w:pPr>
      <w:r>
        <w:t xml:space="preserve">2.4. Lista priorizada de proyectos impactados</w:t>
      </w:r>
    </w:p>
    <w:p>
      <w:pPr>
        <w:spacing w:after="120" w:line="276"/>
        <w:jc w:val="both"/>
      </w:pPr>
      <w:r>
        <w:t xml:space="preserve">Priorización por valor ciudadano y dependencias (1 = mayor prioridad):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de prioridad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 — Repositorio de AE y herramientas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Habilitador transversal; bajo costo y rápido de implantar.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P4 — Gobierno de datos y registro único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Base para eliminar duplicidad antes de digitalizar.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 — Mesa de partes virtual y trámites en línea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Mayor valor ciudadano y resultado visible temprano.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 — Interoperabilidad PIDE/RENIEC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Habilita autenticación e integración de los trámites.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 — Rediseño y digitalización de procesos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Optimiza los procesos antes de su masificación.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 — Pagos digitales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Completa la experiencia de trámite y recaudación.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P7 — Seguridad de la información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Transversal; se incorpora desde el inicio y se consolida.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P8 — Gestión del cambio y capacitación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Acompaña todo el programa de forma continua.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Plan de migración orientado al tiempo</w:t>
      </w:r>
    </w:p>
    <w:p>
      <w:pPr>
        <w:pStyle w:val="Heading2"/>
      </w:pPr>
      <w:r>
        <w:t xml:space="preserve">3.1. Plan de migración</w:t>
      </w:r>
    </w:p>
    <w:p>
      <w:pPr>
        <w:spacing w:after="120" w:line="276"/>
        <w:jc w:val="both"/>
      </w:pPr>
      <w:r>
        <w:t xml:space="preserve">La migración se organiza en tres arquitecturas de transición que entregan valor de manera incremental. La siguiente vista (textual) ordena los proyectos en el tiempo: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Transición 1 — Cimientos (corto plazo)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Transición 2 — Servicios al ciudadano (mediano plazo)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Transición 3 — Consolidación (mediano-largo plazo)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P6 Repositorio de AE y herramientas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P4 Gobierno de datos y registro único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P8 Gestión del cambio (inicio)</w:t>
            </w:r>
          </w:p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• P7 Seguridad (controles base)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P1 Mesa de partes virtual y trámites en línea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P2 Interoperabilidad PIDE/RENIEC</w:t>
            </w:r>
          </w:p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• P5 Rediseño BPM (procesos críticos)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P3 Pagos digitales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P5 Digitalización de procesos restantes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• P7 Seguridad (consolidación ISO 27001)</w:t>
            </w:r>
          </w:p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• P8 Capacitación (transferencia plena)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Figura 3.1. Plan de migración por arquitecturas de transición (vista de hoja de ruta).</w:t>
      </w:r>
    </w:p>
    <w:p>
      <w:pPr>
        <w:spacing w:after="120" w:line="276"/>
        <w:jc w:val="both"/>
      </w:pPr>
      <w:r>
        <w:t xml:space="preserve">Resultado de cada transición: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Transición 1: </w:t>
      </w:r>
      <w:r>
        <w:t xml:space="preserve">la MML cuenta con gobierno de datos, registro único y repositorio de AE; sienta las bases para digitalizar sin arrastrar duplicidad.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Transición 2: </w:t>
      </w:r>
      <w:r>
        <w:t xml:space="preserve">el ciudadano accede a trámites en línea y a la mesa de partes virtual, con autenticación e interoperabilidad operativas.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Transición 3: </w:t>
      </w:r>
      <w:r>
        <w:t xml:space="preserve">se completa la digitalización, el pago en línea y la seguridad consolidada, alcanzando la arquitectura objetivo.</w:t>
      </w:r>
    </w:p>
    <w:p>
      <w:pPr>
        <w:pStyle w:val="Heading2"/>
      </w:pPr>
      <w:r>
        <w:t xml:space="preserve">3.2. Opciones de migración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2100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Desventaja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Big bang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Implantar toda la arquitectura objetivo de una sola vez.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Rápido en teoría.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 riesgo e inviable con el presupuesto y la madurez actuales.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Incremental por transiciones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Entregar valor por arquitecturas de transición (recomendada).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Bajo riesgo; valor temprano; ajustable.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Requiere coordinación y gobierno sostenido.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Solo externa (outsourcing)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Delegar toda la ejecución a una consultora.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Rapidez y experiencia.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Dependencia y baja transferencia de conocimiento.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Opción recomendada: </w:t>
      </w:r>
      <w:r>
        <w:t xml:space="preserve">migración incremental por arquitecturas de transición, con modalidad mixta y soporte de consultores, coherente con la decisión DEC-05 de la Fase Preliminar.</w:t>
      </w:r>
    </w:p>
    <w:p>
      <w:pPr>
        <w:pStyle w:val="Heading2"/>
      </w:pPr>
      <w:r>
        <w:t xml:space="preserve">3.3. Beneficios de la migración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Entrega de valor temprano al ciudadano (trámites en línea desde la Transición 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Reducción progresiva del riesgo y posibilidad de corregir el rumbo entre transiciones.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Justificación continua de la inversión mediante KPI medibles en cada incremento.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Transferencia gradual de conocimiento a la GTI, asegurando sostenibilidad.</w:t>
      </w:r>
    </w:p>
    <w:p>
      <w:pPr>
        <w:pStyle w:val="Heading2"/>
      </w:pPr>
      <w:r>
        <w:t xml:space="preserve">3.4. Costos estimados de las opciones de migración</w:t>
      </w:r>
    </w:p>
    <w:p>
      <w:pPr>
        <w:spacing w:after="120" w:line="276"/>
        <w:jc w:val="both"/>
      </w:pPr>
      <w:r>
        <w:t xml:space="preserve">Estimación relativa (nivel de hoja de ruta; el detalle presupuestal se define en la fase de planificación de la implementación):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1850"/>
        <w:gridCol w:w="185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Transición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Proyectos incluidos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 relativo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 relativo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Transición 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P6, P4, P7 (base), P8 (inicio)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Bajo-Medio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Transición 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P1, P2, P5 (críticos)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Transición 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P3, P5 (resto), P7 (consolidación), P8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Medio-Alto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Medio-Alto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Recomendaciones de implementación</w:t>
      </w:r>
    </w:p>
    <w:p>
      <w:pPr>
        <w:pStyle w:val="Heading2"/>
      </w:pPr>
      <w:r>
        <w:t xml:space="preserve">4.1. Criterios y medidas de efectividad de los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60"/>
        <w:gridCol w:w="29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Medida de efectividad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Trámites prioritarios disponibles en línea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≥ 70 %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Servicios integrados vía PIDE/RENIEC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Mayoría de los servicios en alcance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Tiempo de conciliación de pagos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≤ 24 h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Duplicidad de registros del ciudadano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Tendencia a 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Reducción del tiempo de atención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−40 %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Acciones críticas con registro de auditoría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Personal capacitado en TOGAF/ArchiMate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Equipos de dominio cubiertos</w:t>
            </w:r>
          </w:p>
        </w:tc>
      </w:tr>
    </w:tbl>
    <w:p>
      <w:pPr>
        <w:pStyle w:val="Heading2"/>
      </w:pPr>
      <w:r>
        <w:t xml:space="preserve">4.2. Riesgos y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1100"/>
        <w:gridCol w:w="33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 / problema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Cambio de gestión política durante el programa.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Formalizar la AE por resolución gerencial; documentar entregables.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RSK-02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Recorte o falta de presupuesto.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Priorizar por valor; justificar con KPI; entregas incrementales.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RSK-03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Resistencia al cambio del personal.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del cambio (P8) y red de enlaces por gerencia.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RSK-04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Baja madurez en TOGAF/AE.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Soporte de consultores con transferencia gradual.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RSK-05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Brechas de seguridad y datos personales.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ISO 27001 y Ley N° 29733 desde el diseño (P7).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ISS-04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Sistemas heredados poco documentados.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Levantamiento previo y encapsulado mediante APIs.</w:t>
            </w:r>
          </w:p>
        </w:tc>
      </w:tr>
    </w:tbl>
    <w:p>
      <w:pPr>
        <w:pStyle w:val="Heading2"/>
      </w:pPr>
      <w:r>
        <w:t xml:space="preserve">4.3. Bloques de construcción de la solución (SBB)</w:t>
      </w:r>
    </w:p>
    <w:p>
      <w:pPr>
        <w:spacing w:after="120" w:line="276"/>
        <w:jc w:val="both"/>
      </w:pPr>
      <w:r>
        <w:t xml:space="preserve">Solution Building Blocks que materializan los proyectos de la hoja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SBB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SBB-01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Plataforma de trámites en línea / portal del ciudadano.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SBB-02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Mesa de partes virtual.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SBB-03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Servicios de interoperabilidad (bus/APIs) hacia PIDE y RENIEC.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SBB-04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Pasarela de pagos digitales con conciliación.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SBB-05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Registro único del ciudadano y catálogos de datos.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SBB-06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Motor de flujos de trabajo (BPM) y modelos BPMN.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SBB-07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Repositorio de AE y herramientas (Archi / Sparx).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SBB-08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Plataforma de seguridad: gestión de identidades, accesos y auditoría.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SBB-09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Servicio común de notificación electrónica.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P1, P5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2"/>
      </w:pBdr>
      <w:jc w:val="center"/>
    </w:pPr>
    <w:r>
      <w:rPr>
        <w:color w:val="808080"/>
        <w:sz w:val="16"/>
        <w:szCs w:val="16"/>
      </w:rPr>
      <w:t xml:space="preserve">Fase B – Arquitectura de Negocio · Municipalidad Metropolitana de Lima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spacing w:after="0"/>
    </w:pPr>
    <w:r>
      <w:rPr>
        <w:color w:val="808080"/>
        <w:sz w:val="16"/>
        <w:szCs w:val="16"/>
      </w:rPr>
      <w:t xml:space="preserve">TOGAF · MML · Hoja de Ruta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de Arquitectura</dc:title>
  <dc:creator>Equipo de Arquitectura Empresarial - FIIS UNI</dc:creator>
  <cp:lastModifiedBy>Un-named</cp:lastModifiedBy>
  <cp:revision>1</cp:revision>
  <dcterms:created xsi:type="dcterms:W3CDTF">2026-06-05T17:23:51.510Z</dcterms:created>
  <dcterms:modified xsi:type="dcterms:W3CDTF">2026-06-05T17:23:51.510Z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