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5C8A"/>
          <w:sz w:val="22"/>
          <w:szCs w:val="22"/>
        </w:rPr>
        <w:t xml:space="preserve">MUNICIPALIDAD METROPOLITANA DE LIMA</w:t>
      </w:r>
    </w:p>
    <w:p>
      <w:pPr>
        <w:spacing w:after="400"/>
        <w:jc w:val="center"/>
      </w:pPr>
      <w:r>
        <w:rPr>
          <w:color w:val="1F2A44"/>
          <w:sz w:val="20"/>
          <w:szCs w:val="20"/>
        </w:rPr>
        <w:t xml:space="preserve">Arquitectura Empresarial · TOGAF 9.2 ADM</w:t>
      </w:r>
    </w:p>
    <w:p>
      <w:pPr>
        <w:spacing w:after="200" w:before="800"/>
        <w:jc w:val="center"/>
      </w:pPr>
      <w:r>
        <w:rPr>
          <w:b/>
          <w:bCs/>
          <w:color w:val="1F2A44"/>
          <w:sz w:val="52"/>
          <w:szCs w:val="52"/>
        </w:rPr>
        <w:t xml:space="preserve">Architecture Building Blocks</w:t>
      </w:r>
    </w:p>
    <w:p>
      <w:pPr>
        <w:spacing w:after="600"/>
        <w:jc w:val="center"/>
      </w:pPr>
      <w:r>
        <w:rPr>
          <w:i/>
          <w:iCs/>
          <w:color w:val="2E5C8A"/>
          <w:sz w:val="26"/>
          <w:szCs w:val="26"/>
        </w:rPr>
        <w:t xml:space="preserve">Catálogo de Bloques Constructivos de Arquitectura (ABBs)</w:t>
      </w:r>
    </w:p>
    <w:p>
      <w:pPr>
        <w:spacing w:after="100" w:before="1200"/>
        <w:jc w:val="center"/>
      </w:pPr>
      <w:r>
        <w:rPr>
          <w:sz w:val="20"/>
          <w:szCs w:val="20"/>
        </w:rPr>
        <w:t xml:space="preserve">Fase B · Fase C · Fase D — TOGAF ADM</w:t>
      </w:r>
    </w:p>
    <w:p>
      <w:pPr>
        <w:spacing w:after="1200"/>
        <w:jc w:val="center"/>
      </w:pPr>
      <w:r>
        <w:rPr>
          <w:sz w:val="20"/>
          <w:szCs w:val="20"/>
        </w:rPr>
        <w:t xml:space="preserve">Identificador del Documento: ABB-CAT-MML-v0.1</w:t>
      </w:r>
    </w:p>
    <w:p>
      <w:r>
        <w:br w:type="page"/>
      </w:r>
    </w:p>
    <w:p>
      <w:pPr>
        <w:pStyle w:val="Heading1"/>
        <w:spacing w:after="160" w:before="320"/>
      </w:pPr>
      <w:r>
        <w:rPr>
          <w:b/>
          <w:bCs/>
          <w:color w:val="1F2A44"/>
          <w:sz w:val="30"/>
          <w:szCs w:val="30"/>
        </w:rPr>
        <w:t xml:space="preserve">Información del Documento</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gridCol w:w="2400"/>
      </w:tblGrid>
      <w:tr>
        <w:tc>
          <w:tcPr>
            <w:shd w:fill="EAF1F8" w:val="clear"/>
            <w:tcMar>
              <w:top w:type="dxa" w:w="80"/>
              <w:left w:type="dxa" w:w="100"/>
              <w:bottom w:type="dxa" w:w="80"/>
              <w:right w:type="dxa" w:w="100"/>
            </w:tcMar>
          </w:tcPr>
          <w:p>
            <w:r>
              <w:rPr>
                <w:b/>
                <w:bCs/>
                <w:sz w:val="18"/>
                <w:szCs w:val="18"/>
              </w:rPr>
              <w:t xml:space="preserve">Nombre del Proyecto:</w:t>
            </w:r>
          </w:p>
        </w:tc>
        <w:tc>
          <w:tcPr>
            <w:tcMar>
              <w:top w:type="dxa" w:w="80"/>
              <w:left w:type="dxa" w:w="100"/>
              <w:bottom w:type="dxa" w:w="80"/>
              <w:right w:type="dxa" w:w="100"/>
            </w:tcMar>
          </w:tcPr>
          <w:p>
            <w:r>
              <w:rPr>
                <w:b w:val="false"/>
                <w:bCs w:val="false"/>
                <w:sz w:val="18"/>
                <w:szCs w:val="18"/>
              </w:rPr>
              <w:t xml:space="preserve">Arquitectura Empresarial – Municipalidad Metropolitana de Lima</w:t>
            </w:r>
          </w:p>
        </w:tc>
        <w:tc>
          <w:tcPr>
            <w:shd w:fill="EAF1F8" w:val="clear"/>
            <w:tcMar>
              <w:top w:type="dxa" w:w="80"/>
              <w:left w:type="dxa" w:w="100"/>
              <w:bottom w:type="dxa" w:w="80"/>
              <w:right w:type="dxa" w:w="100"/>
            </w:tcMar>
          </w:tcPr>
          <w:p>
            <w:r>
              <w:rPr>
                <w:b/>
                <w:bCs/>
                <w:sz w:val="18"/>
                <w:szCs w:val="18"/>
              </w:rPr>
              <w:t xml:space="preserve">Versión:</w:t>
            </w:r>
          </w:p>
        </w:tc>
        <w:tc>
          <w:tcPr>
            <w:tcMar>
              <w:top w:type="dxa" w:w="80"/>
              <w:left w:type="dxa" w:w="100"/>
              <w:bottom w:type="dxa" w:w="80"/>
              <w:right w:type="dxa" w:w="100"/>
            </w:tcMar>
          </w:tcPr>
          <w:p>
            <w:r>
              <w:rPr>
                <w:b w:val="false"/>
                <w:bCs w:val="false"/>
                <w:sz w:val="18"/>
                <w:szCs w:val="18"/>
              </w:rPr>
              <w:t xml:space="preserve">0.1</w:t>
            </w:r>
          </w:p>
        </w:tc>
      </w:tr>
      <w:tr>
        <w:tc>
          <w:tcPr>
            <w:shd w:fill="EAF1F8" w:val="clear"/>
            <w:tcMar>
              <w:top w:type="dxa" w:w="80"/>
              <w:left w:type="dxa" w:w="100"/>
              <w:bottom w:type="dxa" w:w="80"/>
              <w:right w:type="dxa" w:w="100"/>
            </w:tcMar>
          </w:tcPr>
          <w:p>
            <w:r>
              <w:rPr>
                <w:b/>
                <w:bCs/>
                <w:sz w:val="18"/>
                <w:szCs w:val="18"/>
              </w:rPr>
              <w:t xml:space="preserve">Preparado por:</w:t>
            </w:r>
          </w:p>
        </w:tc>
        <w:tc>
          <w:tcPr>
            <w:tcMar>
              <w:top w:type="dxa" w:w="80"/>
              <w:left w:type="dxa" w:w="100"/>
              <w:bottom w:type="dxa" w:w="80"/>
              <w:right w:type="dxa" w:w="100"/>
            </w:tcMar>
          </w:tcPr>
          <w:p>
            <w:r>
              <w:rPr>
                <w:b w:val="false"/>
                <w:bCs w:val="false"/>
                <w:sz w:val="18"/>
                <w:szCs w:val="18"/>
              </w:rPr>
              <w:t xml:space="preserve">Equipo de Arquitectura Empresarial – Gerencia de Tecnologías de la Información</w:t>
            </w:r>
          </w:p>
        </w:tc>
        <w:tc>
          <w:tcPr>
            <w:shd w:fill="EAF1F8" w:val="clear"/>
            <w:tcMar>
              <w:top w:type="dxa" w:w="80"/>
              <w:left w:type="dxa" w:w="100"/>
              <w:bottom w:type="dxa" w:w="80"/>
              <w:right w:type="dxa" w:w="100"/>
            </w:tcMar>
          </w:tcPr>
          <w:p>
            <w:r>
              <w:rPr>
                <w:b/>
                <w:bCs/>
                <w:sz w:val="18"/>
                <w:szCs w:val="18"/>
              </w:rPr>
              <w:t xml:space="preserve">Fecha de Versión:</w:t>
            </w:r>
          </w:p>
        </w:tc>
        <w:tc>
          <w:tcPr>
            <w:tcMar>
              <w:top w:type="dxa" w:w="80"/>
              <w:left w:type="dxa" w:w="100"/>
              <w:bottom w:type="dxa" w:w="80"/>
              <w:right w:type="dxa" w:w="100"/>
            </w:tcMar>
          </w:tcPr>
          <w:p>
            <w:r>
              <w:rPr>
                <w:b w:val="false"/>
                <w:bCs w:val="false"/>
                <w:sz w:val="18"/>
                <w:szCs w:val="18"/>
              </w:rPr>
              <w:t xml:space="preserve">22/05/2026</w:t>
            </w:r>
          </w:p>
        </w:tc>
      </w:tr>
      <w:tr>
        <w:tc>
          <w:tcPr>
            <w:shd w:fill="EAF1F8" w:val="clear"/>
            <w:tcMar>
              <w:top w:type="dxa" w:w="80"/>
              <w:left w:type="dxa" w:w="100"/>
              <w:bottom w:type="dxa" w:w="80"/>
              <w:right w:type="dxa" w:w="100"/>
            </w:tcMar>
          </w:tcPr>
          <w:p>
            <w:r>
              <w:rPr>
                <w:b/>
                <w:bCs/>
                <w:sz w:val="18"/>
                <w:szCs w:val="18"/>
              </w:rPr>
              <w:t xml:space="preserve">Título:</w:t>
            </w:r>
          </w:p>
        </w:tc>
        <w:tc>
          <w:tcPr>
            <w:tcMar>
              <w:top w:type="dxa" w:w="80"/>
              <w:left w:type="dxa" w:w="100"/>
              <w:bottom w:type="dxa" w:w="80"/>
              <w:right w:type="dxa" w:w="100"/>
            </w:tcMar>
          </w:tcPr>
          <w:p>
            <w:r>
              <w:rPr>
                <w:b w:val="false"/>
                <w:bCs w:val="false"/>
                <w:sz w:val="18"/>
                <w:szCs w:val="18"/>
              </w:rPr>
              <w:t xml:space="preserve">Architecture Building Blocks (ABBs) – Catálogo de Bloques Constructivos de Arquitectura</w:t>
            </w:r>
          </w:p>
        </w:tc>
        <w:tc>
          <w:tcPr>
            <w:shd w:fill="EAF1F8" w:val="clear"/>
            <w:tcMar>
              <w:top w:type="dxa" w:w="80"/>
              <w:left w:type="dxa" w:w="100"/>
              <w:bottom w:type="dxa" w:w="80"/>
              <w:right w:type="dxa" w:w="100"/>
            </w:tcMar>
          </w:tcPr>
          <w:p>
            <w:r>
              <w:rPr>
                <w:b/>
                <w:bCs/>
                <w:sz w:val="18"/>
                <w:szCs w:val="18"/>
              </w:rPr>
              <w:t xml:space="preserve">Identificador:</w:t>
            </w:r>
          </w:p>
        </w:tc>
        <w:tc>
          <w:tcPr>
            <w:tcMar>
              <w:top w:type="dxa" w:w="80"/>
              <w:left w:type="dxa" w:w="100"/>
              <w:bottom w:type="dxa" w:w="80"/>
              <w:right w:type="dxa" w:w="100"/>
            </w:tcMar>
          </w:tcPr>
          <w:p>
            <w:r>
              <w:rPr>
                <w:b w:val="false"/>
                <w:bCs w:val="false"/>
                <w:sz w:val="18"/>
                <w:szCs w:val="18"/>
              </w:rPr>
              <w:t xml:space="preserve">ABB-CAT-MML-v0.1</w:t>
            </w:r>
          </w:p>
        </w:tc>
      </w:tr>
      <w:tr>
        <w:tc>
          <w:tcPr>
            <w:shd w:fill="EAF1F8" w:val="clear"/>
            <w:tcMar>
              <w:top w:type="dxa" w:w="80"/>
              <w:left w:type="dxa" w:w="100"/>
              <w:bottom w:type="dxa" w:w="80"/>
              <w:right w:type="dxa" w:w="100"/>
            </w:tcMar>
          </w:tcPr>
          <w:p>
            <w:r>
              <w:rPr>
                <w:b/>
                <w:bCs/>
                <w:sz w:val="18"/>
                <w:szCs w:val="18"/>
              </w:rPr>
              <w:t xml:space="preserve">Revisado por:</w:t>
            </w:r>
          </w:p>
        </w:tc>
        <w:tc>
          <w:tcPr>
            <w:tcMar>
              <w:top w:type="dxa" w:w="80"/>
              <w:left w:type="dxa" w:w="100"/>
              <w:bottom w:type="dxa" w:w="80"/>
              <w:right w:type="dxa" w:w="100"/>
            </w:tcMar>
          </w:tcPr>
          <w:p>
            <w:r>
              <w:rPr>
                <w:b w:val="false"/>
                <w:bCs w:val="false"/>
                <w:sz w:val="18"/>
                <w:szCs w:val="18"/>
              </w:rPr>
              <w:t xml:space="preserve">Comité de Arquitectura Empresarial – Municipalidad Metropolitana de Lima</w:t>
            </w:r>
          </w:p>
        </w:tc>
        <w:tc>
          <w:tcPr>
            <w:shd w:fill="EAF1F8" w:val="clear"/>
            <w:tcMar>
              <w:top w:type="dxa" w:w="80"/>
              <w:left w:type="dxa" w:w="100"/>
              <w:bottom w:type="dxa" w:w="80"/>
              <w:right w:type="dxa" w:w="100"/>
            </w:tcMar>
          </w:tcPr>
          <w:p>
            <w:r>
              <w:rPr>
                <w:b/>
                <w:bCs/>
                <w:sz w:val="18"/>
                <w:szCs w:val="18"/>
              </w:rPr>
              <w:t xml:space="preserve">Fecha de Revisión:</w:t>
            </w:r>
          </w:p>
        </w:tc>
        <w:tc>
          <w:tcPr>
            <w:tcMar>
              <w:top w:type="dxa" w:w="80"/>
              <w:left w:type="dxa" w:w="100"/>
              <w:bottom w:type="dxa" w:w="80"/>
              <w:right w:type="dxa" w:w="100"/>
            </w:tcMar>
          </w:tcPr>
          <w:p>
            <w:r>
              <w:rPr>
                <w:b w:val="false"/>
                <w:bCs w:val="false"/>
                <w:sz w:val="18"/>
                <w:szCs w:val="18"/>
              </w:rPr>
              <w:t xml:space="preserve">—</w:t>
            </w:r>
          </w:p>
        </w:tc>
      </w:tr>
    </w:tbl>
    <w:p>
      <w:pPr>
        <w:spacing w:after="300"/>
      </w:pPr>
    </w:p>
    <w:p>
      <w:pPr>
        <w:pStyle w:val="Heading2"/>
        <w:spacing w:after="140" w:before="260"/>
      </w:pPr>
      <w:r>
        <w:rPr>
          <w:b/>
          <w:bCs/>
          <w:color w:val="2E5C8A"/>
          <w:sz w:val="25"/>
          <w:szCs w:val="25"/>
        </w:rPr>
        <w:t xml:space="preserve">Lista de Distribución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600"/>
        <w:gridCol w:w="22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Para</w:t>
            </w:r>
          </w:p>
        </w:tc>
        <w:tc>
          <w:tcPr>
            <w:tcW w:type="dxa" w:w="2200"/>
            <w:shd w:fill="1F2A44" w:val="clear"/>
            <w:tcMar>
              <w:top w:type="dxa" w:w="60"/>
              <w:left w:type="dxa" w:w="100"/>
              <w:bottom w:type="dxa" w:w="60"/>
              <w:right w:type="dxa" w:w="100"/>
            </w:tcMar>
            <w:vAlign w:val="center"/>
          </w:tcPr>
          <w:p>
            <w:r>
              <w:rPr>
                <w:b/>
                <w:bCs/>
                <w:color w:val="FFFFFF"/>
                <w:sz w:val="18"/>
                <w:szCs w:val="18"/>
              </w:rPr>
              <w:t xml:space="preserve">Acción</w:t>
            </w:r>
          </w:p>
        </w:tc>
        <w:tc>
          <w:tcPr>
            <w:tcW w:type="dxa" w:w="1600"/>
            <w:shd w:fill="1F2A44" w:val="clear"/>
            <w:tcMar>
              <w:top w:type="dxa" w:w="60"/>
              <w:left w:type="dxa" w:w="100"/>
              <w:bottom w:type="dxa" w:w="60"/>
              <w:right w:type="dxa" w:w="100"/>
            </w:tcMar>
            <w:vAlign w:val="center"/>
          </w:tcPr>
          <w:p>
            <w:r>
              <w:rPr>
                <w:b/>
                <w:bCs/>
                <w:color w:val="FFFFFF"/>
                <w:sz w:val="18"/>
                <w:szCs w:val="18"/>
              </w:rPr>
              <w:t xml:space="preserve">Fecha Límite</w:t>
            </w:r>
          </w:p>
        </w:tc>
        <w:tc>
          <w:tcPr>
            <w:tcW w:type="dxa" w:w="2200"/>
            <w:shd w:fill="1F2A44" w:val="clear"/>
            <w:tcMar>
              <w:top w:type="dxa" w:w="60"/>
              <w:left w:type="dxa" w:w="100"/>
              <w:bottom w:type="dxa" w:w="60"/>
              <w:right w:type="dxa" w:w="100"/>
            </w:tcMar>
            <w:vAlign w:val="center"/>
          </w:tcPr>
          <w:p>
            <w:r>
              <w:rPr>
                <w:b/>
                <w:bCs/>
                <w:color w:val="FFFFFF"/>
                <w:sz w:val="18"/>
                <w:szCs w:val="18"/>
              </w:rPr>
              <w:t xml:space="preserve">Contacto</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Gerencia Municipal</w:t>
            </w:r>
          </w:p>
        </w:tc>
        <w:tc>
          <w:tcPr>
            <w:tcW w:type="dxa" w:w="2200"/>
            <w:shd w:fill="FFFFFF" w:val="clear"/>
            <w:tcMar>
              <w:top w:type="dxa" w:w="60"/>
              <w:left w:type="dxa" w:w="100"/>
              <w:bottom w:type="dxa" w:w="60"/>
              <w:right w:type="dxa" w:w="100"/>
            </w:tcMar>
            <w:vAlign w:val="center"/>
          </w:tcPr>
          <w:p>
            <w:r>
              <w:rPr>
                <w:b w:val="false"/>
                <w:bCs w:val="false"/>
                <w:sz w:val="18"/>
                <w:szCs w:val="18"/>
              </w:rPr>
              <w:t xml:space="preserve">Aprobar</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w:t>
            </w:r>
          </w:p>
        </w:tc>
        <w:tc>
          <w:tcPr>
            <w:tcW w:type="dxa" w:w="2200"/>
            <w:shd w:fill="FFFFFF" w:val="clear"/>
            <w:tcMar>
              <w:top w:type="dxa" w:w="60"/>
              <w:left w:type="dxa" w:w="100"/>
              <w:bottom w:type="dxa" w:w="60"/>
              <w:right w:type="dxa" w:w="100"/>
            </w:tcMar>
            <w:vAlign w:val="center"/>
          </w:tcPr>
          <w:p>
            <w:r>
              <w:rPr>
                <w:b w:val="false"/>
                <w:bCs w:val="false"/>
                <w:sz w:val="18"/>
                <w:szCs w:val="18"/>
              </w:rPr>
              <w:t xml:space="preserve">gerenciamunicipal@mml.gob.pe</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Comité de Arquitectura Empresarial</w:t>
            </w:r>
          </w:p>
        </w:tc>
        <w:tc>
          <w:tcPr>
            <w:tcW w:type="dxa" w:w="2200"/>
            <w:shd w:fill="F2F2F2" w:val="clear"/>
            <w:tcMar>
              <w:top w:type="dxa" w:w="60"/>
              <w:left w:type="dxa" w:w="100"/>
              <w:bottom w:type="dxa" w:w="60"/>
              <w:right w:type="dxa" w:w="100"/>
            </w:tcMar>
            <w:vAlign w:val="center"/>
          </w:tcPr>
          <w:p>
            <w:r>
              <w:rPr>
                <w:b w:val="false"/>
                <w:bCs w:val="false"/>
                <w:sz w:val="18"/>
                <w:szCs w:val="18"/>
              </w:rPr>
              <w:t xml:space="preserve">Revisar</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2200"/>
            <w:shd w:fill="F2F2F2" w:val="clear"/>
            <w:tcMar>
              <w:top w:type="dxa" w:w="60"/>
              <w:left w:type="dxa" w:w="100"/>
              <w:bottom w:type="dxa" w:w="60"/>
              <w:right w:type="dxa" w:w="100"/>
            </w:tcMar>
            <w:vAlign w:val="center"/>
          </w:tcPr>
          <w:p>
            <w:r>
              <w:rPr>
                <w:b w:val="false"/>
                <w:bCs w:val="false"/>
                <w:sz w:val="18"/>
                <w:szCs w:val="18"/>
              </w:rPr>
              <w:t xml:space="preserve">comitea.e@mml.gob.pe</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2200"/>
            <w:shd w:fill="FFFFFF" w:val="clear"/>
            <w:tcMar>
              <w:top w:type="dxa" w:w="60"/>
              <w:left w:type="dxa" w:w="100"/>
              <w:bottom w:type="dxa" w:w="60"/>
              <w:right w:type="dxa" w:w="100"/>
            </w:tcMar>
            <w:vAlign w:val="center"/>
          </w:tcPr>
          <w:p>
            <w:r>
              <w:rPr>
                <w:b w:val="false"/>
                <w:bCs w:val="false"/>
                <w:sz w:val="18"/>
                <w:szCs w:val="18"/>
              </w:rPr>
              <w:t xml:space="preserve">Acción Requerida</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w:t>
            </w:r>
          </w:p>
        </w:tc>
        <w:tc>
          <w:tcPr>
            <w:tcW w:type="dxa" w:w="2200"/>
            <w:shd w:fill="FFFFFF" w:val="clear"/>
            <w:tcMar>
              <w:top w:type="dxa" w:w="60"/>
              <w:left w:type="dxa" w:w="100"/>
              <w:bottom w:type="dxa" w:w="60"/>
              <w:right w:type="dxa" w:w="100"/>
            </w:tcMar>
            <w:vAlign w:val="center"/>
          </w:tcPr>
          <w:p>
            <w:r>
              <w:rPr>
                <w:b w:val="false"/>
                <w:bCs w:val="false"/>
                <w:sz w:val="18"/>
                <w:szCs w:val="18"/>
              </w:rPr>
              <w:t xml:space="preserve">gti@mml.gob.pe</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Gerencias de Licencias, Rentas/SAT y Fiscalización</w:t>
            </w:r>
          </w:p>
        </w:tc>
        <w:tc>
          <w:tcPr>
            <w:tcW w:type="dxa" w:w="2200"/>
            <w:shd w:fill="F2F2F2" w:val="clear"/>
            <w:tcMar>
              <w:top w:type="dxa" w:w="60"/>
              <w:left w:type="dxa" w:w="100"/>
              <w:bottom w:type="dxa" w:w="60"/>
              <w:right w:type="dxa" w:w="100"/>
            </w:tcMar>
            <w:vAlign w:val="center"/>
          </w:tcPr>
          <w:p>
            <w:r>
              <w:rPr>
                <w:b w:val="false"/>
                <w:bCs w:val="false"/>
                <w:sz w:val="18"/>
                <w:szCs w:val="18"/>
              </w:rPr>
              <w:t xml:space="preserve">Informar</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w:t>
            </w:r>
          </w:p>
        </w:tc>
        <w:tc>
          <w:tcPr>
            <w:tcW w:type="dxa" w:w="2200"/>
            <w:shd w:fill="F2F2F2" w:val="clear"/>
            <w:tcMar>
              <w:top w:type="dxa" w:w="60"/>
              <w:left w:type="dxa" w:w="100"/>
              <w:bottom w:type="dxa" w:w="60"/>
              <w:right w:type="dxa" w:w="100"/>
            </w:tcMar>
            <w:vAlign w:val="center"/>
          </w:tcPr>
          <w:p>
            <w:r>
              <w:rPr>
                <w:b w:val="false"/>
                <w:bCs w:val="false"/>
                <w:sz w:val="18"/>
                <w:szCs w:val="18"/>
              </w:rPr>
              <w:t xml:space="preserve">según directorio institucional</w:t>
            </w:r>
          </w:p>
        </w:tc>
      </w:tr>
    </w:tbl>
    <w:p>
      <w:r>
        <w:br w:type="page"/>
      </w:r>
    </w:p>
    <w:p>
      <w:pPr>
        <w:pStyle w:val="Heading1"/>
        <w:spacing w:after="160" w:before="320"/>
      </w:pPr>
      <w:r>
        <w:rPr>
          <w:b/>
          <w:bCs/>
          <w:color w:val="1F2A44"/>
          <w:sz w:val="30"/>
          <w:szCs w:val="30"/>
        </w:rPr>
        <w:t xml:space="preserve">1. Propósito del Documento</w:t>
      </w:r>
    </w:p>
    <w:p>
      <w:pPr>
        <w:spacing w:after="120"/>
      </w:pPr>
      <w:r>
        <w:t xml:space="preserve">Los Architecture Building Blocks (ABBs) se relacionan con el Continuo de Arquitectura (Architecture Continuum) y se definen o seleccionan como resultado de la aplicación del Método de Desarrollo de Arquitectura (ADM) de TOGAF a lo largo de las Fases B (Arquitectura de Negocio), C (Arquitectura de Sistemas de Información) y D (Arquitectura Tecnológica) del proyecto de Arquitectura Empresarial de la Municipalidad Metropolitana de Lima.</w:t>
      </w:r>
    </w:p>
    <w:p>
      <w:pPr>
        <w:spacing w:after="120"/>
      </w:pPr>
      <w:r>
        <w:t xml:space="preserve">Sus características principales son:</w:t>
      </w:r>
    </w:p>
    <w:p>
      <w:pPr>
        <w:pStyle w:val="ListParagraph"/>
        <w:numPr>
          <w:ilvl w:val="0"/>
          <w:numId w:val="1"/>
        </w:numPr>
        <w:spacing w:after="60"/>
      </w:pPr>
      <w:r>
        <w:t xml:space="preserve">Capturan los requisitos de arquitectura de negocio, datos, aplicaciones y tecnología identificados durante el desarrollo del proyecto.</w:t>
      </w:r>
    </w:p>
    <w:p>
      <w:pPr>
        <w:pStyle w:val="ListParagraph"/>
        <w:numPr>
          <w:ilvl w:val="0"/>
          <w:numId w:val="1"/>
        </w:numPr>
        <w:spacing w:after="60"/>
      </w:pPr>
      <w:r>
        <w:t xml:space="preserve">Dirigen y orientan el desarrollo de los Solution Building Blocks (SBBs), documentados en el Catálogo de Solution Building Blocks (SBB-CAT-MML-v0.1).</w:t>
      </w:r>
    </w:p>
    <w:p>
      <w:pPr>
        <w:pStyle w:val="ListParagraph"/>
        <w:numPr>
          <w:ilvl w:val="0"/>
          <w:numId w:val="1"/>
        </w:numPr>
        <w:spacing w:after="60"/>
      </w:pPr>
      <w:r>
        <w:t xml:space="preserve">Son independientes de la implementación tecnológica concreta: describen "qué" capacidad se necesita, no "con qué" producto se construye.</w:t>
      </w:r>
    </w:p>
    <w:p>
      <w:pPr>
        <w:spacing w:after="120"/>
      </w:pPr>
      <w:r>
        <w:t xml:space="preserve">Este catálogo consolida ocho (8) Architecture Building Blocks identificados para el programa de modernización de la MML, agrupados en los dominios de Negocio, Datos, Aplicaciones y Tecnología. Cada ABB cuenta con una ficha individual que documenta su funcionalidad fundamental, atributos, semántica, capacidad de seguridad, manejabilidad, interfaces y su mapeo a las entidades y políticas de negocio de la Municipalidad.</w:t>
      </w:r>
    </w:p>
    <w:p>
      <w:pPr>
        <w:pStyle w:val="Heading1"/>
        <w:spacing w:after="160" w:before="320"/>
      </w:pPr>
      <w:r>
        <w:rPr>
          <w:b/>
          <w:bCs/>
          <w:color w:val="1F2A44"/>
          <w:sz w:val="30"/>
          <w:szCs w:val="30"/>
        </w:rPr>
        <w:t xml:space="preserve">2. Building Blocks</w:t>
      </w:r>
    </w:p>
    <w:p>
      <w:pPr>
        <w:spacing w:after="120"/>
      </w:pPr>
      <w:r>
        <w:t xml:space="preserve">El propósito de esta sección es presentar el inventario general de los Architecture Building Blocks identificados, describiendo para cada uno su funcionalidad fundamental, sus atributos, su semántica (de forma no ambigua), su capacidad de seguridad y su manejabilidad. El detalle completo de cada ABB se desarrolla en las fichas individuales de la sección 5.</w:t>
      </w:r>
    </w:p>
    <w:p>
      <w:pPr>
        <w:pStyle w:val="Heading2"/>
        <w:spacing w:after="140" w:before="260"/>
      </w:pPr>
      <w:r>
        <w:rPr>
          <w:b/>
          <w:bCs/>
          <w:color w:val="2E5C8A"/>
          <w:sz w:val="25"/>
          <w:szCs w:val="25"/>
        </w:rPr>
        <w:t xml:space="preserve">2.1 Inventario General de Architecture Building Blocks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1800"/>
        <w:gridCol w:w="1600"/>
      </w:tblGrid>
      <w:tr>
        <w:trPr>
          <w:tblHeader/>
        </w:trPr>
        <w:tc>
          <w:tcPr>
            <w:tcW w:type="dxa" w:w="1400"/>
            <w:shd w:fill="1F2A44" w:val="clear"/>
            <w:tcMar>
              <w:top w:type="dxa" w:w="60"/>
              <w:left w:type="dxa" w:w="100"/>
              <w:bottom w:type="dxa" w:w="60"/>
              <w:right w:type="dxa" w:w="100"/>
            </w:tcMar>
            <w:vAlign w:val="center"/>
          </w:tcPr>
          <w:p>
            <w:r>
              <w:rPr>
                <w:b/>
                <w:bCs/>
                <w:color w:val="FFFFFF"/>
                <w:sz w:val="18"/>
                <w:szCs w:val="18"/>
              </w:rPr>
              <w:t xml:space="preserve">ID ABB</w:t>
            </w:r>
          </w:p>
        </w:tc>
        <w:tc>
          <w:tcPr>
            <w:tcW w:type="dxa" w:w="4600"/>
            <w:shd w:fill="1F2A44" w:val="clear"/>
            <w:tcMar>
              <w:top w:type="dxa" w:w="60"/>
              <w:left w:type="dxa" w:w="100"/>
              <w:bottom w:type="dxa" w:w="60"/>
              <w:right w:type="dxa" w:w="100"/>
            </w:tcMar>
            <w:vAlign w:val="center"/>
          </w:tcPr>
          <w:p>
            <w:r>
              <w:rPr>
                <w:b/>
                <w:bCs/>
                <w:color w:val="FFFFFF"/>
                <w:sz w:val="18"/>
                <w:szCs w:val="18"/>
              </w:rPr>
              <w:t xml:space="preserve">Nombre del Building Block</w:t>
            </w:r>
          </w:p>
        </w:tc>
        <w:tc>
          <w:tcPr>
            <w:tcW w:type="dxa" w:w="1800"/>
            <w:shd w:fill="1F2A44" w:val="clear"/>
            <w:tcMar>
              <w:top w:type="dxa" w:w="60"/>
              <w:left w:type="dxa" w:w="100"/>
              <w:bottom w:type="dxa" w:w="60"/>
              <w:right w:type="dxa" w:w="100"/>
            </w:tcMar>
            <w:vAlign w:val="center"/>
          </w:tcPr>
          <w:p>
            <w:r>
              <w:rPr>
                <w:b/>
                <w:bCs/>
                <w:color w:val="FFFFFF"/>
                <w:sz w:val="18"/>
                <w:szCs w:val="18"/>
              </w:rPr>
              <w:t xml:space="preserve">Dominio</w:t>
            </w:r>
          </w:p>
        </w:tc>
        <w:tc>
          <w:tcPr>
            <w:tcW w:type="dxa" w:w="1600"/>
            <w:shd w:fill="1F2A44" w:val="clear"/>
            <w:tcMar>
              <w:top w:type="dxa" w:w="60"/>
              <w:left w:type="dxa" w:w="100"/>
              <w:bottom w:type="dxa" w:w="60"/>
              <w:right w:type="dxa" w:w="100"/>
            </w:tcMar>
            <w:vAlign w:val="center"/>
          </w:tcPr>
          <w:p>
            <w:r>
              <w:rPr>
                <w:b/>
                <w:bCs/>
                <w:color w:val="FFFFFF"/>
                <w:sz w:val="18"/>
                <w:szCs w:val="18"/>
              </w:rPr>
              <w:t xml:space="preserve">SBB(s) que lo implementan</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ABB-N-001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Capacidad de Atención Digital al Ciudadano</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Negocio</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SBB-N-001</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ABB-N-002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Capacidad de Orquestación de Expedientes (Workflow/BPM)</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Negocio</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SBB-N-002</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ABB-D-001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Datos Maestros del Ciudadano y del Contribuyente (MDM)</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Datos</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SBB-D-001</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ABB-D-002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Repositorio Analítico Institucional (Data Warehouse)</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Datos</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SBB-D-002</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ABB-A-001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Capacidad de Interoperabilidad (API Gateway / ESB)</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Aplicaciones</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SBB-A-001</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ABB-A-002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Capacidad de Identidad Digital y Firma Electrónica</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Aplicaciones</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SBB-A-002</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ABB-T-001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Plataforma de Cómputo en la Nube de Gobierno (Kubernetes)</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Tecnología</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SBB-T-001</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ABB-T-002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Capacidad de Ciberseguridad (NGFW / SIEM / SOC)</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Tecnología</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SBB-T-002</w:t>
            </w:r>
          </w:p>
        </w:tc>
      </w:tr>
    </w:tbl>
    <w:p>
      <w:pPr>
        <w:spacing w:after="200"/>
      </w:pPr>
    </w:p>
    <w:p>
      <w:pPr>
        <w:pStyle w:val="Heading2"/>
        <w:spacing w:after="140" w:before="260"/>
      </w:pPr>
      <w:r>
        <w:rPr>
          <w:b/>
          <w:bCs/>
          <w:color w:val="2E5C8A"/>
          <w:sz w:val="25"/>
          <w:szCs w:val="25"/>
        </w:rPr>
        <w:t xml:space="preserve">2.2 Building Blocks por Dominio</w:t>
      </w:r>
    </w:p>
    <w:p>
      <w:pPr>
        <w:pStyle w:val="Heading3"/>
        <w:spacing w:after="100" w:before="200"/>
      </w:pPr>
      <w:r>
        <w:rPr>
          <w:b/>
          <w:bCs/>
          <w:color w:val="1F2A44"/>
          <w:sz w:val="22"/>
          <w:szCs w:val="22"/>
        </w:rPr>
        <w:t xml:space="preserve">Dominio de Negocio</w:t>
      </w:r>
    </w:p>
    <w:p>
      <w:pPr>
        <w:spacing w:after="120"/>
      </w:pPr>
      <w:r>
        <w:t xml:space="preserve">Los ABB de Negocio soportan la capacidad institucional de atender al ciudadano y gestionar sus expedientes: la capacidad de atención digital al ciudadano (ABB-N-001) y la capacidad de orquestación de expedientes mediante workflow/BPM (ABB-N-002).</w:t>
      </w:r>
    </w:p>
    <w:p>
      <w:pPr>
        <w:pStyle w:val="Heading3"/>
        <w:spacing w:after="100" w:before="200"/>
      </w:pPr>
      <w:r>
        <w:rPr>
          <w:b/>
          <w:bCs/>
          <w:color w:val="1F2A44"/>
          <w:sz w:val="22"/>
          <w:szCs w:val="22"/>
        </w:rPr>
        <w:t xml:space="preserve">Dominio de Datos</w:t>
      </w:r>
    </w:p>
    <w:p>
      <w:pPr>
        <w:spacing w:after="120"/>
      </w:pPr>
      <w:r>
        <w:t xml:space="preserve">Los ABB de Datos gobiernan y explotan el dato institucional: los datos maestros del ciudadano y del contribuyente (ABB-D-001) y el repositorio analítico institucional (ABB-D-002).</w:t>
      </w:r>
    </w:p>
    <w:p>
      <w:pPr>
        <w:pStyle w:val="Heading3"/>
        <w:spacing w:after="100" w:before="200"/>
      </w:pPr>
      <w:r>
        <w:rPr>
          <w:b/>
          <w:bCs/>
          <w:color w:val="1F2A44"/>
          <w:sz w:val="22"/>
          <w:szCs w:val="22"/>
        </w:rPr>
        <w:t xml:space="preserve">Dominio de Aplicaciones</w:t>
      </w:r>
    </w:p>
    <w:p>
      <w:pPr>
        <w:spacing w:after="120"/>
      </w:pPr>
      <w:r>
        <w:t xml:space="preserve">Los ABB de Aplicaciones habilitan la interoperabilidad y la seguridad de las aplicaciones institucionales: la capacidad de interoperabilidad mediante API Gateway/ESB (ABB-A-001) y la capacidad de identidad digital y firma electrónica (ABB-A-002).</w:t>
      </w:r>
    </w:p>
    <w:p>
      <w:pPr>
        <w:pStyle w:val="Heading3"/>
        <w:spacing w:after="100" w:before="200"/>
      </w:pPr>
      <w:r>
        <w:rPr>
          <w:b/>
          <w:bCs/>
          <w:color w:val="1F2A44"/>
          <w:sz w:val="22"/>
          <w:szCs w:val="22"/>
        </w:rPr>
        <w:t xml:space="preserve">Dominio de Tecnología</w:t>
      </w:r>
    </w:p>
    <w:p>
      <w:pPr>
        <w:spacing w:after="120"/>
      </w:pPr>
      <w:r>
        <w:t xml:space="preserve">Los ABB de Tecnología constituyen la base de infraestructura: la plataforma de cómputo en la nube de gobierno (ABB-T-001) y la capacidad de ciberseguridad (ABB-T-002).</w:t>
      </w:r>
    </w:p>
    <w:p>
      <w:pPr>
        <w:pStyle w:val="Heading1"/>
        <w:spacing w:after="160" w:before="320"/>
      </w:pPr>
      <w:r>
        <w:rPr>
          <w:b/>
          <w:bCs/>
          <w:color w:val="1F2A44"/>
          <w:sz w:val="30"/>
          <w:szCs w:val="30"/>
        </w:rPr>
        <w:t xml:space="preserve">3. Relación con los Solution Building Blocks (SBBs)</w:t>
      </w:r>
    </w:p>
    <w:p>
      <w:pPr>
        <w:spacing w:after="120"/>
      </w:pPr>
      <w:r>
        <w:t xml:space="preserve">Mientras los ABB definen el "qué" (la capacidad requerida) y el "por qué" (la motivación arquitectónica), los Solution Building Blocks (SBB) definen el "con qué" (la solución concreta) que implementa dicha capacidad. La trazabilidad entre cada ABB y su(s) SBB correspondiente(s) se documenta en el Catálogo de Solution Building Blocks (SBB-CAT-MML-v0.1), y se resume a continuación: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800"/>
        <w:gridCol w:w="1600"/>
      </w:tblGrid>
      <w:tr>
        <w:trPr>
          <w:tblHeader/>
        </w:trPr>
        <w:tc>
          <w:tcPr>
            <w:tcW w:type="dxa" w:w="1400"/>
            <w:shd w:fill="1F2A44" w:val="clear"/>
            <w:tcMar>
              <w:top w:type="dxa" w:w="60"/>
              <w:left w:type="dxa" w:w="100"/>
              <w:bottom w:type="dxa" w:w="60"/>
              <w:right w:type="dxa" w:w="100"/>
            </w:tcMar>
            <w:vAlign w:val="center"/>
          </w:tcPr>
          <w:p>
            <w:r>
              <w:rPr>
                <w:b/>
                <w:bCs/>
                <w:color w:val="FFFFFF"/>
                <w:sz w:val="18"/>
                <w:szCs w:val="18"/>
              </w:rPr>
              <w:t xml:space="preserve">ID ABB</w:t>
            </w:r>
          </w:p>
        </w:tc>
        <w:tc>
          <w:tcPr>
            <w:tcW w:type="dxa" w:w="4800"/>
            <w:shd w:fill="1F2A44" w:val="clear"/>
            <w:tcMar>
              <w:top w:type="dxa" w:w="60"/>
              <w:left w:type="dxa" w:w="100"/>
              <w:bottom w:type="dxa" w:w="60"/>
              <w:right w:type="dxa" w:w="100"/>
            </w:tcMar>
            <w:vAlign w:val="center"/>
          </w:tcPr>
          <w:p>
            <w:r>
              <w:rPr>
                <w:b/>
                <w:bCs/>
                <w:color w:val="FFFFFF"/>
                <w:sz w:val="18"/>
                <w:szCs w:val="18"/>
              </w:rPr>
              <w:t xml:space="preserve">ID SBB que lo Implementa</w:t>
            </w:r>
          </w:p>
        </w:tc>
        <w:tc>
          <w:tcPr>
            <w:tcW w:type="dxa" w:w="1800"/>
            <w:shd w:fill="1F2A44" w:val="clear"/>
            <w:tcMar>
              <w:top w:type="dxa" w:w="60"/>
              <w:left w:type="dxa" w:w="100"/>
              <w:bottom w:type="dxa" w:w="60"/>
              <w:right w:type="dxa" w:w="100"/>
            </w:tcMar>
            <w:vAlign w:val="center"/>
          </w:tcPr>
          <w:p>
            <w:r>
              <w:rPr>
                <w:b/>
                <w:bCs/>
                <w:color w:val="FFFFFF"/>
                <w:sz w:val="18"/>
                <w:szCs w:val="18"/>
              </w:rPr>
              <w:t xml:space="preserve">Cobertura</w:t>
            </w:r>
          </w:p>
        </w:tc>
        <w:tc>
          <w:tcPr>
            <w:tcW w:type="dxa" w:w="1600"/>
            <w:shd w:fill="1F2A44" w:val="clear"/>
            <w:tcMar>
              <w:top w:type="dxa" w:w="60"/>
              <w:left w:type="dxa" w:w="100"/>
              <w:bottom w:type="dxa" w:w="60"/>
              <w:right w:type="dxa" w:w="100"/>
            </w:tcMar>
            <w:vAlign w:val="center"/>
          </w:tcPr>
          <w:p>
            <w:r>
              <w:rPr>
                <w:b/>
                <w:bCs/>
                <w:color w:val="FFFFFF"/>
                <w:sz w:val="18"/>
                <w:szCs w:val="18"/>
              </w:rPr>
              <w:t xml:space="preserve">Fase de Definición del ABB</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ABB-N-001</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SBB-N-001 — Portal de Trámites y Mesa de Partes Digital</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Alta (funcional)</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Fase B</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ABB-N-002</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SBB-N-002 — Motor de Workflow/BPM (Bizagi)</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Media (en diseño)</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Fase B</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ABB-D-001</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SBB-D-001 — Plataforma MDM del Ciudadano y Contribuyente</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Media (en diseño)</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Fase C</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ABB-D-002</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SBB-D-002 — Data Warehouse + ETL + Catálogo de Datos</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Baja (por iniciar)</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Fase C</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ABB-A-001</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SBB-A-001 — API Gateway + ESB con conectores PIDE/RENIEC</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Alta (funcional)</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Fase C</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ABB-A-002</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SBB-A-002 — Plataforma de Identidad y Firma Digital (Keycloak)</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Alta (funcional)</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Fase C</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ABB-T-001</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SBB-T-001 — Nube de Gobierno + Kubernetes</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Alta (funcional)</w:t>
            </w:r>
          </w:p>
        </w:tc>
        <w:tc>
          <w:tcPr>
            <w:tcW w:type="dxa" w:w="1600"/>
            <w:shd w:fill="FFFFFF" w:val="clear"/>
            <w:tcMar>
              <w:top w:type="dxa" w:w="60"/>
              <w:left w:type="dxa" w:w="100"/>
              <w:bottom w:type="dxa" w:w="60"/>
              <w:right w:type="dxa" w:w="100"/>
            </w:tcMar>
            <w:vAlign w:val="center"/>
          </w:tcPr>
          <w:p>
            <w:r>
              <w:rPr>
                <w:b w:val="false"/>
                <w:bCs w:val="false"/>
                <w:sz w:val="18"/>
                <w:szCs w:val="18"/>
              </w:rPr>
              <w:t xml:space="preserve">Fase D</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ABB-T-002</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SBB-T-002 — Ciberseguridad (NGFW + SIEM + SOC)</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Alta (en pruebas)</w:t>
            </w:r>
          </w:p>
        </w:tc>
        <w:tc>
          <w:tcPr>
            <w:tcW w:type="dxa" w:w="1600"/>
            <w:shd w:fill="F2F2F2" w:val="clear"/>
            <w:tcMar>
              <w:top w:type="dxa" w:w="60"/>
              <w:left w:type="dxa" w:w="100"/>
              <w:bottom w:type="dxa" w:w="60"/>
              <w:right w:type="dxa" w:w="100"/>
            </w:tcMar>
            <w:vAlign w:val="center"/>
          </w:tcPr>
          <w:p>
            <w:r>
              <w:rPr>
                <w:b w:val="false"/>
                <w:bCs w:val="false"/>
                <w:sz w:val="18"/>
                <w:szCs w:val="18"/>
              </w:rPr>
              <w:t xml:space="preserve">Fase D</w:t>
            </w:r>
          </w:p>
        </w:tc>
      </w:tr>
    </w:tbl>
    <w:p>
      <w:pPr>
        <w:pStyle w:val="Heading1"/>
        <w:spacing w:after="160" w:before="320"/>
      </w:pPr>
      <w:r>
        <w:rPr>
          <w:b/>
          <w:bCs/>
          <w:color w:val="1F2A44"/>
          <w:sz w:val="30"/>
          <w:szCs w:val="30"/>
        </w:rPr>
        <w:t xml:space="preserve">4. Modelo de Relaciones entre Building Blocks</w:t>
      </w:r>
    </w:p>
    <w:p>
      <w:pPr>
        <w:spacing w:after="120"/>
      </w:pPr>
      <w:r>
        <w:t xml:space="preserve">Los ocho ABB se relacionan entre sí conforme al siguiente modelo conceptual: las capacidades de Negocio (ABB-N-001, ABB-N-002) consumen servicios de las capacidades de Aplicaciones (ABB-A-001, ABB-A-002), las cuales a su vez exponen y consumen los Datos Maestros y el Repositorio Analítico (ABB-D-001, ABB-D-002). Todo el conjunto se despliega sobre la Plataforma de Cómputo en la Nube (ABB-T-001) y es protegido de forma transversal por la Capacidad de Ciberseguridad (ABB-T-002).</w:t>
      </w:r>
    </w:p>
    <w:p>
      <w:pPr>
        <w:pStyle w:val="ListParagraph"/>
        <w:numPr>
          <w:ilvl w:val="0"/>
          <w:numId w:val="1"/>
        </w:numPr>
        <w:spacing w:after="60"/>
      </w:pPr>
      <w:r>
        <w:t xml:space="preserve">Negocio → Aplicaciones: ABB-N-001 y ABB-N-002 consumen ABB-A-001 (interoperabilidad) y ABB-A-002 (identidad/firma).</w:t>
      </w:r>
    </w:p>
    <w:p>
      <w:pPr>
        <w:pStyle w:val="ListParagraph"/>
        <w:numPr>
          <w:ilvl w:val="0"/>
          <w:numId w:val="1"/>
        </w:numPr>
        <w:spacing w:after="60"/>
      </w:pPr>
      <w:r>
        <w:t xml:space="preserve">Aplicaciones → Datos: ABB-A-001 enruta hacia ABB-D-001; ABB-D-001 alimenta a ABB-D-002.</w:t>
      </w:r>
    </w:p>
    <w:p>
      <w:pPr>
        <w:pStyle w:val="ListParagraph"/>
        <w:numPr>
          <w:ilvl w:val="0"/>
          <w:numId w:val="1"/>
        </w:numPr>
        <w:spacing w:after="60"/>
      </w:pPr>
      <w:r>
        <w:t xml:space="preserve">Todos los dominios → Tecnología: ABB-N-001, ABB-N-002, ABB-D-001, ABB-D-002, ABB-A-001 y ABB-A-002 se despliegan sobre ABB-T-001.</w:t>
      </w:r>
    </w:p>
    <w:p>
      <w:pPr>
        <w:pStyle w:val="ListParagraph"/>
        <w:numPr>
          <w:ilvl w:val="0"/>
          <w:numId w:val="1"/>
        </w:numPr>
        <w:spacing w:after="60"/>
      </w:pPr>
      <w:r>
        <w:t xml:space="preserve">Tecnología (transversal): ABB-T-002 protege y monitorea a ABB-T-001, ABB-A-001 y ABB-A-002.</w:t>
      </w:r>
    </w:p>
    <w:p>
      <w:pPr>
        <w:pStyle w:val="Heading1"/>
        <w:spacing w:after="160" w:before="320"/>
      </w:pPr>
      <w:r>
        <w:rPr>
          <w:b/>
          <w:bCs/>
          <w:color w:val="1F2A44"/>
          <w:sz w:val="30"/>
          <w:szCs w:val="30"/>
        </w:rPr>
        <w:t xml:space="preserve">5. Fichas Individuales de Architecture Building Blocks</w:t>
      </w:r>
    </w:p>
    <w:p>
      <w:pPr>
        <w:spacing w:after="120"/>
      </w:pPr>
      <w:r>
        <w:t xml:space="preserve">Esta sección contiene la ficha técnica completa de cada uno de los ocho Architecture Building Blocks identificados, siguiendo la estructura estándar de la plantilla TOGAF 9: Building Blocks (Funcionalidad Fundamental, Atributos, Semántica, Capacidad de Seguridad, Manejabilidad), Interfaces (Visión General, Interoperabilidad, Building Blocks Dependientes) y Mapeo (a Entidades y a Políticas de Negocio/Organizacionales).</w:t>
      </w:r>
    </w:p>
    <w:p>
      <w:r>
        <w:br w:type="page"/>
      </w:r>
    </w:p>
    <w:p>
      <w:pPr>
        <w:pStyle w:val="Heading2"/>
        <w:spacing w:after="140" w:before="260"/>
      </w:pPr>
      <w:r>
        <w:rPr>
          <w:b/>
          <w:bCs/>
          <w:color w:val="2E5C8A"/>
          <w:sz w:val="25"/>
          <w:szCs w:val="25"/>
        </w:rPr>
        <w:t xml:space="preserve">ABB-N-001 — Capacidad de Atención Digital al Ciudadano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ABB-N-001</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Capacidad de Atención Digital al Ciudadano</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Negocio</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B — Arquitectura de Negocio</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SBB-N-001 (Portal de Trámites y Mesa de Partes Digital)</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Permitir que el ciudadano y la empresa inicien, paguen y den seguimiento a trámites municipales (p. ej. Licencia de Funcionamiento) sin necesidad de acudir presencialmente.</w:t>
      </w:r>
    </w:p>
    <w:p>
      <w:pPr>
        <w:pStyle w:val="ListParagraph"/>
        <w:numPr>
          <w:ilvl w:val="0"/>
          <w:numId w:val="1"/>
        </w:numPr>
        <w:spacing w:after="60"/>
      </w:pPr>
      <w:r>
        <w:t xml:space="preserve">Centralizar en un único canal digital la mesa de partes virtual, la bandeja de expedientes y las notificaciones al administrado.</w:t>
      </w:r>
    </w:p>
    <w:p>
      <w:pPr>
        <w:pStyle w:val="ListParagraph"/>
        <w:numPr>
          <w:ilvl w:val="0"/>
          <w:numId w:val="1"/>
        </w:numPr>
        <w:spacing w:after="60"/>
      </w:pPr>
      <w:r>
        <w:t xml:space="preserve">Ofrecer al ciudadano visibilidad en tiempo real del estado de su expediente durante todo el ciclo de vida del trámite.</w:t>
      </w:r>
    </w:p>
    <w:p>
      <w:pPr>
        <w:pStyle w:val="ListParagraph"/>
        <w:numPr>
          <w:ilvl w:val="0"/>
          <w:numId w:val="1"/>
        </w:numPr>
        <w:spacing w:after="60"/>
      </w:pPr>
      <w:r>
        <w:t xml:space="preserve">Servir de punto de entrada único (front-office) hacia los procesos de negocio de Licencias, Rentas/SAT y Fiscalización.</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Canal</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Web responsive y aplicación móvil</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Disponibilidad objetivo</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 99.5% (servicio 24/7)</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Tiempo de respuesta</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 3 segundos por transacción típica</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Idiomas</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Español; accesible para personas con discapacidad</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Volumetría estimada</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 70% de trámites priorizados atendidos por canal digital en 24 meses</w:t>
            </w:r>
          </w:p>
        </w:tc>
      </w:tr>
    </w:tbl>
    <w:p>
      <w:pPr>
        <w:spacing w:after="160"/>
      </w:pPr>
    </w:p>
    <w:p>
      <w:pPr>
        <w:pStyle w:val="Heading3"/>
        <w:spacing w:after="100" w:before="200"/>
      </w:pPr>
      <w:r>
        <w:rPr>
          <w:b/>
          <w:bCs/>
          <w:color w:val="1F2A44"/>
          <w:sz w:val="22"/>
          <w:szCs w:val="22"/>
        </w:rPr>
        <w:t xml:space="preserve">2.3 Semántica</w:t>
      </w:r>
    </w:p>
    <w:p>
      <w:pPr>
        <w:spacing w:after="120"/>
      </w:pPr>
      <w:r>
        <w:t xml:space="preserve">El building block representa la capacidad de "atención digital" como una función de negocio unívoca e independiente de la tecnología: cualquier ciudadano puede iniciar, pagar y monitorear un trámite municipal a través de un canal digital único, sin ambigüedad sobre el propietario del proceso (Gerencia de Licencias, Rentas/SAT o Fiscalización, según corresponda) ni sobre el estado vigente del expediente.</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Autenticación del ciudadano mediante identidad digital del Estado (enlace con ABB-A-002).</w:t>
      </w:r>
    </w:p>
    <w:p>
      <w:pPr>
        <w:pStyle w:val="ListParagraph"/>
        <w:numPr>
          <w:ilvl w:val="0"/>
          <w:numId w:val="1"/>
        </w:numPr>
        <w:spacing w:after="60"/>
      </w:pPr>
      <w:r>
        <w:t xml:space="preserve">Control de acceso basado en roles (ciudadano, mesa de partes, evaluador, gerente).</w:t>
      </w:r>
    </w:p>
    <w:p>
      <w:pPr>
        <w:pStyle w:val="ListParagraph"/>
        <w:numPr>
          <w:ilvl w:val="0"/>
          <w:numId w:val="1"/>
        </w:numPr>
        <w:spacing w:after="60"/>
      </w:pPr>
      <w:r>
        <w:t xml:space="preserve">Trazabilidad y auditoría de cada acción sobre el expediente.</w:t>
      </w:r>
    </w:p>
    <w:p>
      <w:pPr>
        <w:pStyle w:val="ListParagraph"/>
        <w:numPr>
          <w:ilvl w:val="0"/>
          <w:numId w:val="1"/>
        </w:numPr>
        <w:spacing w:after="60"/>
      </w:pPr>
      <w:r>
        <w:t xml:space="preserve">Cumplimiento de la Ley N.º 29733 de Protección de Datos Personales en el tratamiento de datos del administrado.</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Monitoreo de disponibilidad y tiempos de respuesta del canal digital.</w:t>
      </w:r>
    </w:p>
    <w:p>
      <w:pPr>
        <w:pStyle w:val="ListParagraph"/>
        <w:numPr>
          <w:ilvl w:val="0"/>
          <w:numId w:val="1"/>
        </w:numPr>
        <w:spacing w:after="60"/>
      </w:pPr>
      <w:r>
        <w:t xml:space="preserve">Gestión de incidentes y mesa de ayuda para el ciudadano y para las áreas usuarias.</w:t>
      </w:r>
    </w:p>
    <w:p>
      <w:pPr>
        <w:pStyle w:val="ListParagraph"/>
        <w:numPr>
          <w:ilvl w:val="0"/>
          <w:numId w:val="1"/>
        </w:numPr>
        <w:spacing w:after="60"/>
      </w:pPr>
      <w:r>
        <w:t xml:space="preserve">Indicadores de gestión: % de trámites digitales, tiempo promedio de atención, satisfacción ciudadana.</w:t>
      </w:r>
    </w:p>
    <w:p>
      <w:pPr>
        <w:pStyle w:val="ListParagraph"/>
        <w:numPr>
          <w:ilvl w:val="0"/>
          <w:numId w:val="1"/>
        </w:numPr>
        <w:spacing w:after="60"/>
      </w:pPr>
      <w:r>
        <w:t xml:space="preserve">Actualización de formularios y flujos sin afectar la disponibilidad del servicio (despliegues sin interrupción).</w:t>
      </w:r>
    </w:p>
    <w:p>
      <w:pPr>
        <w:pStyle w:val="Heading3"/>
        <w:spacing w:after="100" w:before="200"/>
      </w:pPr>
      <w:r>
        <w:rPr>
          <w:b/>
          <w:bCs/>
          <w:color w:val="1F2A44"/>
          <w:sz w:val="22"/>
          <w:szCs w:val="22"/>
        </w:rPr>
        <w:t xml:space="preserve">3.1 Interfaces — Visión General</w:t>
      </w:r>
    </w:p>
    <w:p>
      <w:pPr>
        <w:spacing w:after="120"/>
      </w:pPr>
      <w:r>
        <w:t xml:space="preserve">Este building block expone una interfaz de usuario (web/móvil) hacia el ciudadano y consume servicios de negocio e integración a través de la capa de interoperabilidad (ABB-A-001) y de la capacidad de orquestación de expedientes (ABB-N-002).</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ABB-A-001</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Consume</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REST/JSON, OpenAPI 3.0</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Invoca servicios de negocio e integración con PIDE/RENIEC/SAT a través del API Gateway.</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ABB-A-002</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Consume</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OpenID Connect / OAuth 2.0</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Autenticación y firma digital del ciudadano.</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ABB-N-002</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Consume</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Orquesta el ciclo de vida del expediente (inicio, evaluación, resolución).</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ABB-D-001</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Consume (indirecto)</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Consulta datos maestros del ciudadano/contribuyente para prellenado de formularios.</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ABB-A-001 — Capacidad de Interoperabilidad: requerida para consumir servicios internos y externos (PIDE, RENIEC).</w:t>
      </w:r>
    </w:p>
    <w:p>
      <w:pPr>
        <w:pStyle w:val="ListParagraph"/>
        <w:numPr>
          <w:ilvl w:val="0"/>
          <w:numId w:val="1"/>
        </w:numPr>
        <w:spacing w:after="60"/>
      </w:pPr>
      <w:r>
        <w:t xml:space="preserve">ABB-A-002 — Capacidad de Identidad Digital y Firma Electrónica: requerida para autenticar al ciudadano y firmar resoluciones.</w:t>
      </w:r>
    </w:p>
    <w:p>
      <w:pPr>
        <w:pStyle w:val="ListParagraph"/>
        <w:numPr>
          <w:ilvl w:val="0"/>
          <w:numId w:val="1"/>
        </w:numPr>
        <w:spacing w:after="60"/>
      </w:pPr>
      <w:r>
        <w:t xml:space="preserve">ABB-N-002 — Capacidad de Orquestación de Expedientes: requerida para gestionar el flujo del trámite tras su ingreso.</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Ciudadano / Empresa (administrado)</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Actor principal que inicia y da seguimiento al trámite</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Gerencia de Licencias, Rentas/SAT y Fiscalización</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Propietarios de los procesos de negocio soportados</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Responsable de la operación y evolución del canal digital</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Mesa de Partes / Atención al Ciudadano</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Unidad organizacional que valida y deriva los expedientes ingresados</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Ley de Gobierno Digital (D.L. N.° 1412)</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Obliga a ofrecer servicios digitales de extremo a extremo a la ciudadanía</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Lineamientos de Gobierno Digital (PCM)</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Define estándares de accesibilidad, usabilidad y experiencia de usuario</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Principio de Orientación al Ciudadano</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La arquitectura debe priorizar servicios simples, accesibles y transparentes</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WCAG 2.1 AA</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Estándar de accesibilidad exigido para el canal digital</w:t>
            </w:r>
          </w:p>
        </w:tc>
      </w:tr>
    </w:tbl>
    <w:p>
      <w:r>
        <w:br w:type="page"/>
      </w:r>
    </w:p>
    <w:p>
      <w:pPr>
        <w:pStyle w:val="Heading2"/>
        <w:spacing w:after="140" w:before="260"/>
      </w:pPr>
      <w:r>
        <w:rPr>
          <w:b/>
          <w:bCs/>
          <w:color w:val="2E5C8A"/>
          <w:sz w:val="25"/>
          <w:szCs w:val="25"/>
        </w:rPr>
        <w:t xml:space="preserve">ABB-N-002 — Capacidad de Orquestación de Expedientes (Workflow / BPM)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ABB-N-002</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Capacidad de Orquestación de Expedientes (Workflow / BPM)</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Negocio</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B — Arquitectura de Negocio</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SBB-N-002 (Motor de Workflow/BPM — Bizagi)</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Modelar, ejecutar y controlar el ciclo de vida de los expedientes municipales (solicitud, evaluación técnica, resolución, notificación).</w:t>
      </w:r>
    </w:p>
    <w:p>
      <w:pPr>
        <w:pStyle w:val="ListParagraph"/>
        <w:numPr>
          <w:ilvl w:val="0"/>
          <w:numId w:val="1"/>
        </w:numPr>
        <w:spacing w:after="60"/>
      </w:pPr>
      <w:r>
        <w:t xml:space="preserve">Automatizar las reglas de negocio y los tiempos máximos de atención definidos por cada procedimiento administrativo.</w:t>
      </w:r>
    </w:p>
    <w:p>
      <w:pPr>
        <w:pStyle w:val="ListParagraph"/>
        <w:numPr>
          <w:ilvl w:val="0"/>
          <w:numId w:val="1"/>
        </w:numPr>
        <w:spacing w:after="60"/>
      </w:pPr>
      <w:r>
        <w:t xml:space="preserve">Asignar tareas a los analistas y evaluadores responsables según el tipo de trámite y su complejidad.</w:t>
      </w:r>
    </w:p>
    <w:p>
      <w:pPr>
        <w:pStyle w:val="ListParagraph"/>
        <w:numPr>
          <w:ilvl w:val="0"/>
          <w:numId w:val="1"/>
        </w:numPr>
        <w:spacing w:after="60"/>
      </w:pPr>
      <w:r>
        <w:t xml:space="preserve">Proveer trazabilidad completa del expediente para fines de transparencia y auditoría.</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Notación de modelado</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BPMN 2.0</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Tiempo de ciclo objetivo</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Reducción de 15 a 5 días hábiles en trámites priorizados</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Escalabilidad</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Soporta múltiples flujos de procedimientos administrativos en paralelo</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Trazabilidad</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Registro de cada transición de estado con usuario, fecha y hora</w:t>
            </w:r>
          </w:p>
        </w:tc>
      </w:tr>
    </w:tbl>
    <w:p>
      <w:pPr>
        <w:spacing w:after="160"/>
      </w:pPr>
    </w:p>
    <w:p>
      <w:pPr>
        <w:pStyle w:val="Heading3"/>
        <w:spacing w:after="100" w:before="200"/>
      </w:pPr>
      <w:r>
        <w:rPr>
          <w:b/>
          <w:bCs/>
          <w:color w:val="1F2A44"/>
          <w:sz w:val="22"/>
          <w:szCs w:val="22"/>
        </w:rPr>
        <w:t xml:space="preserve">2.3 Semántica</w:t>
      </w:r>
    </w:p>
    <w:p>
      <w:pPr>
        <w:spacing w:after="120"/>
      </w:pPr>
      <w:r>
        <w:t xml:space="preserve">Representa la capacidad de "orquestar" el flujo de trabajo de un expediente como una secuencia de estados y transiciones gobernada por reglas de negocio explícitas, independientemente del motor BPM que la implemente. El estado de un expediente es único y consistente para todos los canales (portal ciudadano, mesa de partes, área evaluadora).</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Control de acceso por rol (ciudadano, mesa de partes, evaluador, gerente) sobre cada tarea del flujo.</w:t>
      </w:r>
    </w:p>
    <w:p>
      <w:pPr>
        <w:pStyle w:val="ListParagraph"/>
        <w:numPr>
          <w:ilvl w:val="0"/>
          <w:numId w:val="1"/>
        </w:numPr>
        <w:spacing w:after="60"/>
      </w:pPr>
      <w:r>
        <w:t xml:space="preserve">Registro inmutable (log de auditoría) de cada acción realizada sobre el expediente.</w:t>
      </w:r>
    </w:p>
    <w:p>
      <w:pPr>
        <w:pStyle w:val="ListParagraph"/>
        <w:numPr>
          <w:ilvl w:val="0"/>
          <w:numId w:val="1"/>
        </w:numPr>
        <w:spacing w:after="60"/>
      </w:pPr>
      <w:r>
        <w:t xml:space="preserve">Segregación de funciones entre quien evalúa y quien resuelve/aprueba.</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Tableros de seguimiento de expedientes por estado, antigüedad y responsable.</w:t>
      </w:r>
    </w:p>
    <w:p>
      <w:pPr>
        <w:pStyle w:val="ListParagraph"/>
        <w:numPr>
          <w:ilvl w:val="0"/>
          <w:numId w:val="1"/>
        </w:numPr>
        <w:spacing w:after="60"/>
      </w:pPr>
      <w:r>
        <w:t xml:space="preserve">Alertas automáticas ante vencimiento de plazos administrativos.</w:t>
      </w:r>
    </w:p>
    <w:p>
      <w:pPr>
        <w:pStyle w:val="ListParagraph"/>
        <w:numPr>
          <w:ilvl w:val="0"/>
          <w:numId w:val="1"/>
        </w:numPr>
        <w:spacing w:after="60"/>
      </w:pPr>
      <w:r>
        <w:t xml:space="preserve">Versionamiento de los modelos de proceso (BPMN) ante cambios normativos.</w:t>
      </w:r>
    </w:p>
    <w:p>
      <w:pPr>
        <w:pStyle w:val="Heading3"/>
        <w:spacing w:after="100" w:before="200"/>
      </w:pPr>
      <w:r>
        <w:rPr>
          <w:b/>
          <w:bCs/>
          <w:color w:val="1F2A44"/>
          <w:sz w:val="22"/>
          <w:szCs w:val="22"/>
        </w:rPr>
        <w:t xml:space="preserve">3.1 Interfaces — Visión General</w:t>
      </w:r>
    </w:p>
    <w:p>
      <w:pPr>
        <w:spacing w:after="120"/>
      </w:pPr>
      <w:r>
        <w:t xml:space="preserve">Este building block expone servicios de orquestación (inicio, consulta y actualización de estado del expediente) consumidos por la capacidad de atención digital (ABB-N-001) y se integra con los datos maestros del administrado (ABB-D-001) y con la capacidad de identidad y firma (ABB-A-002) para la resolución final.</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ABB-N-001</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Es consumido por</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El portal ciudadano invoca la orquestación del expediente.</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ABB-D-001</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Consume</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Obtiene y valida datos maestros del ciudadano/contribuyente.</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ABB-A-002</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Consume</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REST/JSON, firma digital</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Aplica firma electrónica a las resoluciones emitidas.</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ABB-A-001</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Consume</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REST/JSON, OpenAPI 3.0</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Publica y consume servicios a través del API Gateway.</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ABB-D-001 — Datos Maestros del Ciudadano y del Contribuyente: requerido para validar la identidad y los datos tributarios del solicitante.</w:t>
      </w:r>
    </w:p>
    <w:p>
      <w:pPr>
        <w:pStyle w:val="ListParagraph"/>
        <w:numPr>
          <w:ilvl w:val="0"/>
          <w:numId w:val="1"/>
        </w:numPr>
        <w:spacing w:after="60"/>
      </w:pPr>
      <w:r>
        <w:t xml:space="preserve">ABB-A-002 — Capacidad de Identidad Digital y Firma Electrónica: requerido para formalizar resoluciones con firma digital.</w:t>
      </w:r>
    </w:p>
    <w:p>
      <w:pPr>
        <w:pStyle w:val="ListParagraph"/>
        <w:numPr>
          <w:ilvl w:val="0"/>
          <w:numId w:val="1"/>
        </w:numPr>
        <w:spacing w:after="60"/>
      </w:pPr>
      <w:r>
        <w:t xml:space="preserve">ABB-A-001 — Capacidad de Interoperabilidad: requerido para exponer los servicios del flujo a otros building blocks.</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Analista de Licencias / Rentas / Fiscalización</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Usuario operativo que ejecuta tareas del flujo</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Gerencia de Licencias, Rentas/SAT y Fiscalización</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Propietaria de las reglas de negocio del procedimiento</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Secretaría General / Trámite Documentario</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Unidad que registra y deriva formalmente el expediente</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Texto Único de Procedimientos Administrativos (TUPA)</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Define los plazos y requisitos que el flujo debe automatizar</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Principio de Transparencia y Gobierno Abierto</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Todo expediente debe ser trazable y consultable por el administrado</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Ley N.° 27444 — Procedimiento Administrativo General</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Marco normativo que rige los plazos y silencios administrativos</w:t>
            </w:r>
          </w:p>
        </w:tc>
      </w:tr>
    </w:tbl>
    <w:p>
      <w:r>
        <w:br w:type="page"/>
      </w:r>
    </w:p>
    <w:p>
      <w:pPr>
        <w:pStyle w:val="Heading2"/>
        <w:spacing w:after="140" w:before="260"/>
      </w:pPr>
      <w:r>
        <w:rPr>
          <w:b/>
          <w:bCs/>
          <w:color w:val="2E5C8A"/>
          <w:sz w:val="25"/>
          <w:szCs w:val="25"/>
        </w:rPr>
        <w:t xml:space="preserve">ABB-D-001 — Datos Maestros del Ciudadano y del Contribuyente (MDM)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ABB-D-001</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Datos Maestros del Ciudadano y del Contribuyente (MDM)</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Datos</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C — Arquitectura de Sistemas de Información (Datos)</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SBB-D-001 (Plataforma MDM del Ciudadano y Contribuyente)</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Constituir la fuente única de verdad (Single Source of Truth) para los datos de identificación del ciudadano y del contribuyente.</w:t>
      </w:r>
    </w:p>
    <w:p>
      <w:pPr>
        <w:pStyle w:val="ListParagraph"/>
        <w:numPr>
          <w:ilvl w:val="0"/>
          <w:numId w:val="1"/>
        </w:numPr>
        <w:spacing w:after="60"/>
      </w:pPr>
      <w:r>
        <w:t xml:space="preserve">Consolidar y depurar registros duplicados o inconsistentes provenientes de los sistemas de Licencias, Rentas/SAT y Fiscalización.</w:t>
      </w:r>
    </w:p>
    <w:p>
      <w:pPr>
        <w:pStyle w:val="ListParagraph"/>
        <w:numPr>
          <w:ilvl w:val="0"/>
          <w:numId w:val="1"/>
        </w:numPr>
        <w:spacing w:after="60"/>
      </w:pPr>
      <w:r>
        <w:t xml:space="preserve">Proveer un servicio de consulta y validación de datos maestros a todas las aplicaciones institucionales que lo requieran.</w:t>
      </w:r>
    </w:p>
    <w:p>
      <w:pPr>
        <w:pStyle w:val="ListParagraph"/>
        <w:numPr>
          <w:ilvl w:val="0"/>
          <w:numId w:val="1"/>
        </w:numPr>
        <w:spacing w:after="60"/>
      </w:pPr>
      <w:r>
        <w:t xml:space="preserve">Sustentar la trazabilidad de la información utilizada en trámites, notificaciones y cobranza.</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Calidad de datos</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Deduplicación y estandarización de identificadores (DNI/RUC)</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Disponibilidad objetivo</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 99.5%, servicio consumido en línea por otros ABB</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Actualización</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Sincronización periódica con RENIEC/SUNAT vía PIDE</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Gobierno de datos</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Propietario funcional único por dominio de dato (golden record)</w:t>
            </w:r>
          </w:p>
        </w:tc>
      </w:tr>
    </w:tbl>
    <w:p>
      <w:pPr>
        <w:spacing w:after="160"/>
      </w:pPr>
    </w:p>
    <w:p>
      <w:pPr>
        <w:pStyle w:val="Heading3"/>
        <w:spacing w:after="100" w:before="200"/>
      </w:pPr>
      <w:r>
        <w:rPr>
          <w:b/>
          <w:bCs/>
          <w:color w:val="1F2A44"/>
          <w:sz w:val="22"/>
          <w:szCs w:val="22"/>
        </w:rPr>
        <w:t xml:space="preserve">2.3 Semántica</w:t>
      </w:r>
    </w:p>
    <w:p>
      <w:pPr>
        <w:spacing w:after="120"/>
      </w:pPr>
      <w:r>
        <w:t xml:space="preserve">Representa el concepto de "dato maestro" del administrado como una entidad única y consistente en toda la organización: un mismo ciudadano o contribuyente posee un único identificador y un único conjunto de atributos vigentes, independientemente del sistema de origen o del canal de consulta.</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Cifrado en tránsito y en reposo de los datos personales y tributarios.</w:t>
      </w:r>
    </w:p>
    <w:p>
      <w:pPr>
        <w:pStyle w:val="ListParagraph"/>
        <w:numPr>
          <w:ilvl w:val="0"/>
          <w:numId w:val="1"/>
        </w:numPr>
        <w:spacing w:after="60"/>
      </w:pPr>
      <w:r>
        <w:t xml:space="preserve">Control de acceso basado en roles y principio de mínimo privilegio.</w:t>
      </w:r>
    </w:p>
    <w:p>
      <w:pPr>
        <w:pStyle w:val="ListParagraph"/>
        <w:numPr>
          <w:ilvl w:val="0"/>
          <w:numId w:val="1"/>
        </w:numPr>
        <w:spacing w:after="60"/>
      </w:pPr>
      <w:r>
        <w:t xml:space="preserve">Cumplimiento estricto de la Ley N.º 29733 de Protección de Datos Personales.</w:t>
      </w:r>
    </w:p>
    <w:p>
      <w:pPr>
        <w:pStyle w:val="ListParagraph"/>
        <w:numPr>
          <w:ilvl w:val="0"/>
          <w:numId w:val="1"/>
        </w:numPr>
        <w:spacing w:after="60"/>
      </w:pPr>
      <w:r>
        <w:t xml:space="preserve">Registro de auditoría de todo acceso o modificación a datos maestros.</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Procesos de calidad de datos (validación, deduplicación, enriquecimiento) ejecutados de forma periódica.</w:t>
      </w:r>
    </w:p>
    <w:p>
      <w:pPr>
        <w:pStyle w:val="ListParagraph"/>
        <w:numPr>
          <w:ilvl w:val="0"/>
          <w:numId w:val="1"/>
        </w:numPr>
        <w:spacing w:after="60"/>
      </w:pPr>
      <w:r>
        <w:t xml:space="preserve">Indicadores de calidad: % de registros duplicados, % de registros validados contra RENIEC/SUNAT.</w:t>
      </w:r>
    </w:p>
    <w:p>
      <w:pPr>
        <w:pStyle w:val="ListParagraph"/>
        <w:numPr>
          <w:ilvl w:val="0"/>
          <w:numId w:val="1"/>
        </w:numPr>
        <w:spacing w:after="60"/>
      </w:pPr>
      <w:r>
        <w:t xml:space="preserve">Gestión de incidencias de datos (data stewardship) con responsables asignados por dominio.</w:t>
      </w:r>
    </w:p>
    <w:p>
      <w:pPr>
        <w:pStyle w:val="Heading3"/>
        <w:spacing w:after="100" w:before="200"/>
      </w:pPr>
      <w:r>
        <w:rPr>
          <w:b/>
          <w:bCs/>
          <w:color w:val="1F2A44"/>
          <w:sz w:val="22"/>
          <w:szCs w:val="22"/>
        </w:rPr>
        <w:t xml:space="preserve">3.1 Interfaces — Visión General</w:t>
      </w:r>
    </w:p>
    <w:p>
      <w:pPr>
        <w:spacing w:after="120"/>
      </w:pPr>
      <w:r>
        <w:t xml:space="preserve">Expone un servicio de consulta y validación de datos maestros consumido por la capacidad de orquestación de expedientes (ABB-N-002) y por la capacidad de atención digital (ABB-N-001), y se sincroniza con fuentes externas (RENIEC, SUNAT) a través de la capacidad de interoperabilidad (ABB-A-001).</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ABB-A-001</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Consume/Publica</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REST/JSON, OpenAPI 3.0</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Sincronización con RENIEC/SUNAT y exposición del servicio de datos maestros.</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ABB-N-002</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Es consumido por</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El motor de workflow valida datos del solicitante durante el trámite.</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ABB-D-002</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Alimenta a</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ETL / batch</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Provee el dato maestro depurado como insumo del repositorio analítico.</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ABB-A-001 — Capacidad de Interoperabilidad: requerido para la sincronización con RENIEC y SUNAT.</w:t>
      </w:r>
    </w:p>
    <w:p>
      <w:pPr>
        <w:pStyle w:val="ListParagraph"/>
        <w:numPr>
          <w:ilvl w:val="0"/>
          <w:numId w:val="1"/>
        </w:numPr>
        <w:spacing w:after="60"/>
      </w:pPr>
      <w:r>
        <w:t xml:space="preserve">ABB-T-002 — Capacidad de Ciberseguridad: requerido para proteger datos personales y tributarios sensibles.</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Rentas / SAT</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Propietaria funcional del dato del contribuyente</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Gerencia de Licencias y Fiscalización</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Consumidora del dato maestro del administrado</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Oficina de Gobierno de Datos</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Responsable de la calidad y gobierno del dato maestro</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Ley N.° 29733 — Protección de Datos Personales</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Rige el tratamiento del dato personal contenido en el MDM</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Principio Datos como Activo Estratégico</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El dato maestro debe gestionarse, protegerse y aprovecharse institucionalmente</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Principio Fuente Única de la Verdad</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Fundamenta la existencia de un repositorio único de datos maestros</w:t>
            </w:r>
          </w:p>
        </w:tc>
      </w:tr>
    </w:tbl>
    <w:p>
      <w:r>
        <w:br w:type="page"/>
      </w:r>
    </w:p>
    <w:p>
      <w:pPr>
        <w:pStyle w:val="Heading2"/>
        <w:spacing w:after="140" w:before="260"/>
      </w:pPr>
      <w:r>
        <w:rPr>
          <w:b/>
          <w:bCs/>
          <w:color w:val="2E5C8A"/>
          <w:sz w:val="25"/>
          <w:szCs w:val="25"/>
        </w:rPr>
        <w:t xml:space="preserve">ABB-D-002 — Repositorio Analítico Institucional (Data Warehouse)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ABB-D-002</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Repositorio Analítico Institucional (Data Warehouse)</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Datos</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C — Arquitectura de Sistemas de Información (Datos)</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SBB-D-002 (Data Warehouse + ETL + Catálogo de Datos)</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Consolidar información histórica proveniente de los procesos de trámites, recaudación y fiscalización para su análisis.</w:t>
      </w:r>
    </w:p>
    <w:p>
      <w:pPr>
        <w:pStyle w:val="ListParagraph"/>
        <w:numPr>
          <w:ilvl w:val="0"/>
          <w:numId w:val="1"/>
        </w:numPr>
        <w:spacing w:after="60"/>
      </w:pPr>
      <w:r>
        <w:t xml:space="preserve">Habilitar la generación de indicadores de gestión y tableros ejecutivos para la Alta Dirección.</w:t>
      </w:r>
    </w:p>
    <w:p>
      <w:pPr>
        <w:pStyle w:val="ListParagraph"/>
        <w:numPr>
          <w:ilvl w:val="0"/>
          <w:numId w:val="1"/>
        </w:numPr>
        <w:spacing w:after="60"/>
      </w:pPr>
      <w:r>
        <w:t xml:space="preserve">Mantener un catálogo institucional de datos que documente el origen, propietario y calidad de cada conjunto de datos.</w:t>
      </w:r>
    </w:p>
    <w:p>
      <w:pPr>
        <w:pStyle w:val="ListParagraph"/>
        <w:numPr>
          <w:ilvl w:val="0"/>
          <w:numId w:val="1"/>
        </w:numPr>
        <w:spacing w:after="60"/>
      </w:pPr>
      <w:r>
        <w:t xml:space="preserve">Servir de base para futuras capacidades de analítica predictiva.</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Frecuencia de carga (ETL)</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Diaria (batch) sobre los sistemas transaccionales</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Horizonte histórico</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Consolidación de al menos 24 meses de información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Catálogo de datos</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Documentación de linaje (data lineage) y diccionario de datos</w:t>
            </w:r>
          </w:p>
        </w:tc>
      </w:tr>
    </w:tbl>
    <w:p>
      <w:pPr>
        <w:spacing w:after="160"/>
      </w:pPr>
    </w:p>
    <w:p>
      <w:pPr>
        <w:pStyle w:val="Heading3"/>
        <w:spacing w:after="100" w:before="200"/>
      </w:pPr>
      <w:r>
        <w:rPr>
          <w:b/>
          <w:bCs/>
          <w:color w:val="1F2A44"/>
          <w:sz w:val="22"/>
          <w:szCs w:val="22"/>
        </w:rPr>
        <w:t xml:space="preserve">2.3 Semántica</w:t>
      </w:r>
    </w:p>
    <w:p>
      <w:pPr>
        <w:spacing w:after="120"/>
      </w:pPr>
      <w:r>
        <w:t xml:space="preserve">Representa la capacidad de contar con una vista histórica y consolidada de la información institucional, separada de los sistemas transaccionales, con el fin de sustentar el análisis y la toma de decisiones sin afectar el desempeño operativo de las aplicaciones de negocio.</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Control de acceso diferenciado entre datos operativos y datos analíticos agregados.</w:t>
      </w:r>
    </w:p>
    <w:p>
      <w:pPr>
        <w:pStyle w:val="ListParagraph"/>
        <w:numPr>
          <w:ilvl w:val="0"/>
          <w:numId w:val="1"/>
        </w:numPr>
        <w:spacing w:after="60"/>
      </w:pPr>
      <w:r>
        <w:t xml:space="preserve">Anonimización o seudonimización de datos personales en los conjuntos utilizados para analítica, cuando corresponda.</w:t>
      </w:r>
    </w:p>
    <w:p>
      <w:pPr>
        <w:pStyle w:val="ListParagraph"/>
        <w:numPr>
          <w:ilvl w:val="0"/>
          <w:numId w:val="1"/>
        </w:numPr>
        <w:spacing w:after="60"/>
      </w:pPr>
      <w:r>
        <w:t xml:space="preserve">Auditoría de extracción y uso de datos por parte de los procesos ETL.</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Monitoreo de los procesos ETL (éxito/fallo de cargas, tiempos de ejecución).</w:t>
      </w:r>
    </w:p>
    <w:p>
      <w:pPr>
        <w:pStyle w:val="ListParagraph"/>
        <w:numPr>
          <w:ilvl w:val="0"/>
          <w:numId w:val="1"/>
        </w:numPr>
        <w:spacing w:after="60"/>
      </w:pPr>
      <w:r>
        <w:t xml:space="preserve">Gestión del catálogo de datos y su actualización ante cambios en las fuentes.</w:t>
      </w:r>
    </w:p>
    <w:p>
      <w:pPr>
        <w:pStyle w:val="ListParagraph"/>
        <w:numPr>
          <w:ilvl w:val="0"/>
          <w:numId w:val="1"/>
        </w:numPr>
        <w:spacing w:after="60"/>
      </w:pPr>
      <w:r>
        <w:t xml:space="preserve">Indicadores de uso de los tableros ejecutivos por parte de la Alta Dirección.</w:t>
      </w:r>
    </w:p>
    <w:p>
      <w:pPr>
        <w:pStyle w:val="Heading3"/>
        <w:spacing w:after="100" w:before="200"/>
      </w:pPr>
      <w:r>
        <w:rPr>
          <w:b/>
          <w:bCs/>
          <w:color w:val="1F2A44"/>
          <w:sz w:val="22"/>
          <w:szCs w:val="22"/>
        </w:rPr>
        <w:t xml:space="preserve">3.1 Interfaces — Visión General</w:t>
      </w:r>
    </w:p>
    <w:p>
      <w:pPr>
        <w:spacing w:after="120"/>
      </w:pPr>
      <w:r>
        <w:t xml:space="preserve">Recibe datos depurados desde ABB-D-001 (datos maestros) y desde los sistemas transaccionales de negocio a través de procesos ETL, y expone los datos consolidados a herramientas de reportería y a futuras capacidades de analítica predictiva.</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ABB-D-001</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Consume (ETL)</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Batch / ETL</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Recibe el dato maestro depurado como insumo del modelo analítico.</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ABB-A-001</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Consume (opcional)</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Podrá exponer indicadores agregados a otras aplicaciones mediante servicios.</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ABB-D-001 — Datos Maestros del Ciudadano y del Contribuyente: fuente principal de datos consolidados de calidad.</w:t>
      </w:r>
    </w:p>
    <w:p>
      <w:pPr>
        <w:pStyle w:val="ListParagraph"/>
        <w:numPr>
          <w:ilvl w:val="0"/>
          <w:numId w:val="1"/>
        </w:numPr>
        <w:spacing w:after="60"/>
      </w:pPr>
      <w:r>
        <w:t xml:space="preserve">ABB-T-001 — Plataforma de Cómputo en la Nube: infraestructura de almacenamiento y procesamiento analítico.</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Alta Dirección / Gerencia Municipal</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Consumidora principal de indicadores y tableros ejecutivos</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Oficina de Gobierno de Datos</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Responsable del catálogo institucional de datos</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Principio de Calidad e Integridad de los Datos</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Sustenta la necesidad de un catálogo y linaje de datos documentado</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Lineamientos de Gobierno Digital (PCM)</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Promueve el uso de datos institucionales para la toma de decisiones</w:t>
            </w:r>
          </w:p>
        </w:tc>
      </w:tr>
    </w:tbl>
    <w:p>
      <w:r>
        <w:br w:type="page"/>
      </w:r>
    </w:p>
    <w:p>
      <w:pPr>
        <w:pStyle w:val="Heading2"/>
        <w:spacing w:after="140" w:before="260"/>
      </w:pPr>
      <w:r>
        <w:rPr>
          <w:b/>
          <w:bCs/>
          <w:color w:val="2E5C8A"/>
          <w:sz w:val="25"/>
          <w:szCs w:val="25"/>
        </w:rPr>
        <w:t xml:space="preserve">ABB-A-001 — Capacidad de Interoperabilidad (API Gateway / ESB)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ABB-A-001</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Capacidad de Interoperabilidad (API Gateway / ESB)</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Aplicaciones</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C — Arquitectura de Sistemas de Información (Aplicaciones)</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SBB-A-001 (API Gateway + ESB con conectores PIDE/RENIEC)</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Exponer y gestionar de forma centralizada los servicios (APIs) que consumen las aplicaciones institucionales.</w:t>
      </w:r>
    </w:p>
    <w:p>
      <w:pPr>
        <w:pStyle w:val="ListParagraph"/>
        <w:numPr>
          <w:ilvl w:val="0"/>
          <w:numId w:val="1"/>
        </w:numPr>
        <w:spacing w:after="60"/>
      </w:pPr>
      <w:r>
        <w:t xml:space="preserve">Integrar los sistemas municipales entre sí y con entidades externas (RENIEC, SUNAT, PIDE) de manera segura y estandarizada.</w:t>
      </w:r>
    </w:p>
    <w:p>
      <w:pPr>
        <w:pStyle w:val="ListParagraph"/>
        <w:numPr>
          <w:ilvl w:val="0"/>
          <w:numId w:val="1"/>
        </w:numPr>
        <w:spacing w:after="60"/>
      </w:pPr>
      <w:r>
        <w:t xml:space="preserve">Aplicar políticas transversales de seguridad, control de tráfico y trazabilidad sobre cada servicio expuesto.</w:t>
      </w:r>
    </w:p>
    <w:p>
      <w:pPr>
        <w:pStyle w:val="ListParagraph"/>
        <w:numPr>
          <w:ilvl w:val="0"/>
          <w:numId w:val="1"/>
        </w:numPr>
        <w:spacing w:after="60"/>
      </w:pPr>
      <w:r>
        <w:t xml:space="preserve">Reducir la integración punto a punto, favoreciendo un modelo de arquitectura orientada a servicios (SOA).</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Estándar de integración</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REST/JSON, OpenAPI 3.0</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Disponibilidad objetivo</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 99.5%</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Gestión de tráfico</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Throttling, versionamiento y monitoreo de APIs</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Catálogo de servicios</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Publicación y documentación de todos los servicios expuestos</w:t>
            </w:r>
          </w:p>
        </w:tc>
      </w:tr>
    </w:tbl>
    <w:p>
      <w:pPr>
        <w:spacing w:after="160"/>
      </w:pPr>
    </w:p>
    <w:p>
      <w:pPr>
        <w:pStyle w:val="Heading3"/>
        <w:spacing w:after="100" w:before="200"/>
      </w:pPr>
      <w:r>
        <w:rPr>
          <w:b/>
          <w:bCs/>
          <w:color w:val="1F2A44"/>
          <w:sz w:val="22"/>
          <w:szCs w:val="22"/>
        </w:rPr>
        <w:t xml:space="preserve">2.3 Semántica</w:t>
      </w:r>
    </w:p>
    <w:p>
      <w:pPr>
        <w:spacing w:after="120"/>
      </w:pPr>
      <w:r>
        <w:t xml:space="preserve">Representa la capacidad de "interoperar" como un servicio transversal único que gobierna cómo cualquier aplicación institucional intercambia información con otra, con independencia del producto tecnológico específico (API Gateway/ESB) que lo implemente en cada momento.</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Autenticación y autorización de cada consumidor de servicio (OAuth 2.0 / API Keys).</w:t>
      </w:r>
    </w:p>
    <w:p>
      <w:pPr>
        <w:pStyle w:val="ListParagraph"/>
        <w:numPr>
          <w:ilvl w:val="0"/>
          <w:numId w:val="1"/>
        </w:numPr>
        <w:spacing w:after="60"/>
      </w:pPr>
      <w:r>
        <w:t xml:space="preserve">Cifrado en tránsito (TLS 1.3) de todas las comunicaciones.</w:t>
      </w:r>
    </w:p>
    <w:p>
      <w:pPr>
        <w:pStyle w:val="ListParagraph"/>
        <w:numPr>
          <w:ilvl w:val="0"/>
          <w:numId w:val="1"/>
        </w:numPr>
        <w:spacing w:after="60"/>
      </w:pPr>
      <w:r>
        <w:t xml:space="preserve">Registro y monitoreo de todas las transacciones para fines de auditoría y detección de anomalías.</w:t>
      </w:r>
    </w:p>
    <w:p>
      <w:pPr>
        <w:pStyle w:val="ListParagraph"/>
        <w:numPr>
          <w:ilvl w:val="0"/>
          <w:numId w:val="1"/>
        </w:numPr>
        <w:spacing w:after="60"/>
      </w:pPr>
      <w:r>
        <w:t xml:space="preserve">Aplicación de políticas de rate-limiting para proteger los servicios ante uso indebido.</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Panel de monitoreo de disponibilidad, latencia y errores por servicio expuesto.</w:t>
      </w:r>
    </w:p>
    <w:p>
      <w:pPr>
        <w:pStyle w:val="ListParagraph"/>
        <w:numPr>
          <w:ilvl w:val="0"/>
          <w:numId w:val="1"/>
        </w:numPr>
        <w:spacing w:after="60"/>
      </w:pPr>
      <w:r>
        <w:t xml:space="preserve">Gestión del ciclo de vida de las APIs (versionamiento, obsolescencia, retiro).</w:t>
      </w:r>
    </w:p>
    <w:p>
      <w:pPr>
        <w:pStyle w:val="ListParagraph"/>
        <w:numPr>
          <w:ilvl w:val="0"/>
          <w:numId w:val="1"/>
        </w:numPr>
        <w:spacing w:after="60"/>
      </w:pPr>
      <w:r>
        <w:t xml:space="preserve">Alertas automáticas ante caídas o degradación de servicios críticos.</w:t>
      </w:r>
    </w:p>
    <w:p>
      <w:pPr>
        <w:pStyle w:val="Heading3"/>
        <w:spacing w:after="100" w:before="200"/>
      </w:pPr>
      <w:r>
        <w:rPr>
          <w:b/>
          <w:bCs/>
          <w:color w:val="1F2A44"/>
          <w:sz w:val="22"/>
          <w:szCs w:val="22"/>
        </w:rPr>
        <w:t xml:space="preserve">3.1 Interfaces — Visión General</w:t>
      </w:r>
    </w:p>
    <w:p>
      <w:pPr>
        <w:spacing w:after="120"/>
      </w:pPr>
      <w:r>
        <w:t xml:space="preserve">Actúa como intermediario transversal entre las capacidades de negocio (ABB-N-001, ABB-N-002), de datos (ABB-D-001, ABB-D-002) y las entidades externas (RENIEC, SUNAT, PIDE), sobre la infraestructura provista por ABB-T-001.</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ABB-N-001 / ABB-N-002</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Es consumido por</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Las capacidades de negocio consumen servicios a través del Gateway.</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ABB-D-001</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Enruta hacia</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REST/JSON</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Publica el servicio de datos maestros y sincroniza con RENIEC/SUNAT.</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ABB-A-002</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Se apoya en</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OAuth 2.0 / OpenID Connect</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Delega la autenticación de los consumidores de servicios.</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PIDE (externo)</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Se integra con</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REST/SOAP, estándares del Estado</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Intercambio de información con entidades públicas.</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ABB-A-002 — Capacidad de Identidad Digital: requerida para autenticar y autorizar a los consumidores de servicios.</w:t>
      </w:r>
    </w:p>
    <w:p>
      <w:pPr>
        <w:pStyle w:val="ListParagraph"/>
        <w:numPr>
          <w:ilvl w:val="0"/>
          <w:numId w:val="1"/>
        </w:numPr>
        <w:spacing w:after="60"/>
      </w:pPr>
      <w:r>
        <w:t xml:space="preserve">ABB-T-001 — Plataforma de Cómputo en la Nube: infraestructura sobre la que se despliega el Gateway.</w:t>
      </w:r>
    </w:p>
    <w:p>
      <w:pPr>
        <w:pStyle w:val="ListParagraph"/>
        <w:numPr>
          <w:ilvl w:val="0"/>
          <w:numId w:val="1"/>
        </w:numPr>
        <w:spacing w:after="60"/>
      </w:pPr>
      <w:r>
        <w:t xml:space="preserve">ABB-T-002 — Capacidad de Ciberseguridad: requerida para proteger el perímetro de integración.</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Propietaria y administradora de la capa de interoperabilidad</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Todas las gerencias usuarias</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Consumidoras indirectas a través de sus aplicaciones</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Entidades externas (RENIEC, SUNAT, PNP)</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Contrapartes de intercambio de información</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Plataforma de Interoperabilidad del Estado (PIDE)</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Estándar oficial para el intercambio de información entre entidades públicas</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Principio de Interoperabilidad por Defecto</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Toda aplicación debe estar preparada para intercambiar información</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Estándares REST/OpenAPI</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Rige el diseño técnico de los servicios expuestos</w:t>
            </w:r>
          </w:p>
        </w:tc>
      </w:tr>
    </w:tbl>
    <w:p>
      <w:r>
        <w:br w:type="page"/>
      </w:r>
    </w:p>
    <w:p>
      <w:pPr>
        <w:pStyle w:val="Heading2"/>
        <w:spacing w:after="140" w:before="260"/>
      </w:pPr>
      <w:r>
        <w:rPr>
          <w:b/>
          <w:bCs/>
          <w:color w:val="2E5C8A"/>
          <w:sz w:val="25"/>
          <w:szCs w:val="25"/>
        </w:rPr>
        <w:t xml:space="preserve">ABB-A-002 — Capacidad de Identidad Digital y Firma Electrónica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ABB-A-002</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Capacidad de Identidad Digital y Firma Electrónica</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Aplicaciones</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C — Arquitectura de Sistemas de Información (Aplicaciones)</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SBB-A-002 (Plataforma de Identidad y Firma Digital — Keycloak SSO/MFA)</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Proveer autenticación única (Single Sign-On) para ciudadanos y funcionarios sobre todas las aplicaciones institucionales.</w:t>
      </w:r>
    </w:p>
    <w:p>
      <w:pPr>
        <w:pStyle w:val="ListParagraph"/>
        <w:numPr>
          <w:ilvl w:val="0"/>
          <w:numId w:val="1"/>
        </w:numPr>
        <w:spacing w:after="60"/>
      </w:pPr>
      <w:r>
        <w:t xml:space="preserve">Habilitar autenticación multifactor (MFA) para perfiles con acceso a información sensible.</w:t>
      </w:r>
    </w:p>
    <w:p>
      <w:pPr>
        <w:pStyle w:val="ListParagraph"/>
        <w:numPr>
          <w:ilvl w:val="0"/>
          <w:numId w:val="1"/>
        </w:numPr>
        <w:spacing w:after="60"/>
      </w:pPr>
      <w:r>
        <w:t xml:space="preserve">Emitir firma electrónica sobre resoluciones y documentos oficiales generados en los trámites digitales.</w:t>
      </w:r>
    </w:p>
    <w:p>
      <w:pPr>
        <w:pStyle w:val="ListParagraph"/>
        <w:numPr>
          <w:ilvl w:val="0"/>
          <w:numId w:val="1"/>
        </w:numPr>
        <w:spacing w:after="60"/>
      </w:pPr>
      <w:r>
        <w:t xml:space="preserve">Centralizar la gestión del ciclo de vida de identidades (alta, modificación, baja) de usuarios internos y externos.</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Protocolo de autenticación</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OpenID Connect / OAuth 2.0</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Factor adicional</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MFA para roles administrativos y de aprobación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Firma electrónica</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Conforme a la normativa nacional de firma digital</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Disponibilidad objetivo</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 99.5%</w:t>
            </w:r>
          </w:p>
        </w:tc>
      </w:tr>
    </w:tbl>
    <w:p>
      <w:pPr>
        <w:spacing w:after="160"/>
      </w:pPr>
    </w:p>
    <w:p>
      <w:pPr>
        <w:pStyle w:val="Heading3"/>
        <w:spacing w:after="100" w:before="200"/>
      </w:pPr>
      <w:r>
        <w:rPr>
          <w:b/>
          <w:bCs/>
          <w:color w:val="1F2A44"/>
          <w:sz w:val="22"/>
          <w:szCs w:val="22"/>
        </w:rPr>
        <w:t xml:space="preserve">2.3 Semántica</w:t>
      </w:r>
    </w:p>
    <w:p>
      <w:pPr>
        <w:spacing w:after="120"/>
      </w:pPr>
      <w:r>
        <w:t xml:space="preserve">Representa el concepto de "identidad digital verificada" como una función única y consistente en toda la organización: cada ciudadano o funcionario posee una única identidad autenticable, con independencia de la aplicación desde la cual accede.</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Almacenamiento seguro de credenciales (hash y cifrado).</w:t>
      </w:r>
    </w:p>
    <w:p>
      <w:pPr>
        <w:pStyle w:val="ListParagraph"/>
        <w:numPr>
          <w:ilvl w:val="0"/>
          <w:numId w:val="1"/>
        </w:numPr>
        <w:spacing w:after="60"/>
      </w:pPr>
      <w:r>
        <w:t xml:space="preserve">Políticas de expiración y complejidad de contraseñas, y bloqueo ante intentos fallidos.</w:t>
      </w:r>
    </w:p>
    <w:p>
      <w:pPr>
        <w:pStyle w:val="ListParagraph"/>
        <w:numPr>
          <w:ilvl w:val="0"/>
          <w:numId w:val="1"/>
        </w:numPr>
        <w:spacing w:after="60"/>
      </w:pPr>
      <w:r>
        <w:t xml:space="preserve">Auditoría de inicios de sesión y de operaciones de firma electrónica.</w:t>
      </w:r>
    </w:p>
    <w:p>
      <w:pPr>
        <w:pStyle w:val="ListParagraph"/>
        <w:numPr>
          <w:ilvl w:val="0"/>
          <w:numId w:val="1"/>
        </w:numPr>
        <w:spacing w:after="60"/>
      </w:pPr>
      <w:r>
        <w:t xml:space="preserve">Revocación inmediata de accesos ante bajas de personal o reporte de compromiso de cuenta.</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Panel de administración de usuarios, roles y permisos (RBAC).</w:t>
      </w:r>
    </w:p>
    <w:p>
      <w:pPr>
        <w:pStyle w:val="ListParagraph"/>
        <w:numPr>
          <w:ilvl w:val="0"/>
          <w:numId w:val="1"/>
        </w:numPr>
        <w:spacing w:after="60"/>
      </w:pPr>
      <w:r>
        <w:t xml:space="preserve">Reportes de accesos, intentos fallidos y uso de MFA.</w:t>
      </w:r>
    </w:p>
    <w:p>
      <w:pPr>
        <w:pStyle w:val="ListParagraph"/>
        <w:numPr>
          <w:ilvl w:val="0"/>
          <w:numId w:val="1"/>
        </w:numPr>
        <w:spacing w:after="60"/>
      </w:pPr>
      <w:r>
        <w:t xml:space="preserve">Procedimiento formal de recuperación de acceso y restablecimiento de credenciales.</w:t>
      </w:r>
    </w:p>
    <w:p>
      <w:pPr>
        <w:pStyle w:val="Heading3"/>
        <w:spacing w:after="100" w:before="200"/>
      </w:pPr>
      <w:r>
        <w:rPr>
          <w:b/>
          <w:bCs/>
          <w:color w:val="1F2A44"/>
          <w:sz w:val="22"/>
          <w:szCs w:val="22"/>
        </w:rPr>
        <w:t xml:space="preserve">3.1 Interfaces — Visión General</w:t>
      </w:r>
    </w:p>
    <w:p>
      <w:pPr>
        <w:spacing w:after="120"/>
      </w:pPr>
      <w:r>
        <w:t xml:space="preserve">Provee servicios de autenticación y firma consumidos por la capacidad de atención digital (ABB-N-001), la capacidad de orquestación de expedientes (ABB-N-002) y, de forma transversal, por la capacidad de interoperabilidad (ABB-A-001) para autenticar consumidores de servicios.</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ABB-N-001</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Es consumido por</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OpenID Connect / OAuth 2.0</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Autenticación del ciudadano en el portal digital.</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ABB-N-002</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Es consumido por</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Firma digital / REST</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Firma electrónica de resoluciones dentro del flujo de expediente.</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ABB-A-001</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Se integra con</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OAuth 2.0</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Delegación de autenticación de consumidores de servicios.</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ABB-T-002 — Capacidad de Ciberseguridad: requerida para proteger el repositorio de identidades y credenciales.</w:t>
      </w:r>
    </w:p>
    <w:p>
      <w:pPr>
        <w:pStyle w:val="ListParagraph"/>
        <w:numPr>
          <w:ilvl w:val="0"/>
          <w:numId w:val="1"/>
        </w:numPr>
        <w:spacing w:after="60"/>
      </w:pPr>
      <w:r>
        <w:t xml:space="preserve">ABB-T-001 — Plataforma de Cómputo en la Nube: infraestructura de despliegue de alta disponibilidad.</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Propietaria de la plataforma de identidad institucional</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Ciudadano / Empresa (administrado)</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Usuario externo autenticado mediante identidad digital del Estado</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Funcionarios y analistas municipales</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Usuarios internos autenticados con MFA</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Ley de Gobierno Digital (D.L. N.° 1412)</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Promueve el uso de la identidad digital del Estado (gob.pe)</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Principio de Seguridad por Diseño</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Sustenta la incorporación de MFA y controles de acceso desde el diseño</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Normativa de Firma Digital del Estado Peruano</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Rige la validez legal de las resoluciones firmadas electrónicamente</w:t>
            </w:r>
          </w:p>
        </w:tc>
      </w:tr>
    </w:tbl>
    <w:p>
      <w:r>
        <w:br w:type="page"/>
      </w:r>
    </w:p>
    <w:p>
      <w:pPr>
        <w:pStyle w:val="Heading2"/>
        <w:spacing w:after="140" w:before="260"/>
      </w:pPr>
      <w:r>
        <w:rPr>
          <w:b/>
          <w:bCs/>
          <w:color w:val="2E5C8A"/>
          <w:sz w:val="25"/>
          <w:szCs w:val="25"/>
        </w:rPr>
        <w:t xml:space="preserve">ABB-T-001 — Plataforma de Cómputo en la Nube de Gobierno (Kubernetes)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ABB-T-001</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Plataforma de Cómputo en la Nube de Gobierno (Kubernetes)</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Tecnología</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D — Arquitectura Tecnológica</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SBB-T-001 (Nube de Gobierno + Kubernetes)</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Proveer la infraestructura de cómputo, contenedorización y orquestación sobre la cual se despliegan las aplicaciones municipales.</w:t>
      </w:r>
    </w:p>
    <w:p>
      <w:pPr>
        <w:pStyle w:val="ListParagraph"/>
        <w:numPr>
          <w:ilvl w:val="0"/>
          <w:numId w:val="1"/>
        </w:numPr>
        <w:spacing w:after="60"/>
      </w:pPr>
      <w:r>
        <w:t xml:space="preserve">Habilitar el escalamiento automático de los servicios ante variaciones de demanda (p. ej. picos de atención de trámites).</w:t>
      </w:r>
    </w:p>
    <w:p>
      <w:pPr>
        <w:pStyle w:val="ListParagraph"/>
        <w:numPr>
          <w:ilvl w:val="0"/>
          <w:numId w:val="1"/>
        </w:numPr>
        <w:spacing w:after="60"/>
      </w:pPr>
      <w:r>
        <w:t xml:space="preserve">Garantizar alta disponibilidad y recuperación ante fallos mediante redundancia de nodos y balanceo de carga.</w:t>
      </w:r>
    </w:p>
    <w:p>
      <w:pPr>
        <w:pStyle w:val="ListParagraph"/>
        <w:numPr>
          <w:ilvl w:val="0"/>
          <w:numId w:val="1"/>
        </w:numPr>
        <w:spacing w:after="60"/>
      </w:pPr>
      <w:r>
        <w:t xml:space="preserve">Estandarizar el modelo de despliegue continuo (CI/CD) de las aplicaciones institucionales.</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Modelo de despliegue</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Contenedores orquestados con Kubernetes</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Disponibilidad objetivo</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 99.5% para servicios críticos</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Escalabilidad</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Auto-escalado horizontal según demanda</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Recuperación ante desastres</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RPO ≤ 4h, RTO ≤ 8h</w:t>
            </w:r>
          </w:p>
        </w:tc>
      </w:tr>
    </w:tbl>
    <w:p>
      <w:pPr>
        <w:spacing w:after="160"/>
      </w:pPr>
    </w:p>
    <w:p>
      <w:pPr>
        <w:pStyle w:val="Heading3"/>
        <w:spacing w:after="100" w:before="200"/>
      </w:pPr>
      <w:r>
        <w:rPr>
          <w:b/>
          <w:bCs/>
          <w:color w:val="1F2A44"/>
          <w:sz w:val="22"/>
          <w:szCs w:val="22"/>
        </w:rPr>
        <w:t xml:space="preserve">2.3 Semántica</w:t>
      </w:r>
    </w:p>
    <w:p>
      <w:pPr>
        <w:spacing w:after="120"/>
      </w:pPr>
      <w:r>
        <w:t xml:space="preserve">Representa la capacidad de "cómputo elástico y gestionado" como una plataforma común sobre la que se ejecutan de manera uniforme todas las aplicaciones institucionales, independientemente de si el proveedor concreto es una nube pública, privada o híbrida de gobierno.</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Aislamiento de cargas de trabajo mediante namespaces y políticas de red (network policies).</w:t>
      </w:r>
    </w:p>
    <w:p>
      <w:pPr>
        <w:pStyle w:val="ListParagraph"/>
        <w:numPr>
          <w:ilvl w:val="0"/>
          <w:numId w:val="1"/>
        </w:numPr>
        <w:spacing w:after="60"/>
      </w:pPr>
      <w:r>
        <w:t xml:space="preserve">Gestión centralizada de secretos y credenciales de aplicación.</w:t>
      </w:r>
    </w:p>
    <w:p>
      <w:pPr>
        <w:pStyle w:val="ListParagraph"/>
        <w:numPr>
          <w:ilvl w:val="0"/>
          <w:numId w:val="1"/>
        </w:numPr>
        <w:spacing w:after="60"/>
      </w:pPr>
      <w:r>
        <w:t xml:space="preserve">Aplicación de parches y actualizaciones de seguridad de forma controlada.</w:t>
      </w:r>
    </w:p>
    <w:p>
      <w:pPr>
        <w:pStyle w:val="ListParagraph"/>
        <w:numPr>
          <w:ilvl w:val="0"/>
          <w:numId w:val="1"/>
        </w:numPr>
        <w:spacing w:after="60"/>
      </w:pPr>
      <w:r>
        <w:t xml:space="preserve">Cumplimiento de los lineamientos de seguridad de la Nube de Gobierno del Estado Peruano.</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Monitoreo de infraestructura (CPU, memoria, disponibilidad de nodos) mediante Prometheus/Grafana.</w:t>
      </w:r>
    </w:p>
    <w:p>
      <w:pPr>
        <w:pStyle w:val="ListParagraph"/>
        <w:numPr>
          <w:ilvl w:val="0"/>
          <w:numId w:val="1"/>
        </w:numPr>
        <w:spacing w:after="60"/>
      </w:pPr>
      <w:r>
        <w:t xml:space="preserve">Logging centralizado de todos los servicios desplegados (ELK).</w:t>
      </w:r>
    </w:p>
    <w:p>
      <w:pPr>
        <w:pStyle w:val="ListParagraph"/>
        <w:numPr>
          <w:ilvl w:val="0"/>
          <w:numId w:val="1"/>
        </w:numPr>
        <w:spacing w:after="60"/>
      </w:pPr>
      <w:r>
        <w:t xml:space="preserve">Automatización de despliegues mediante pipelines de integración y entrega continua (CI/CD).</w:t>
      </w:r>
    </w:p>
    <w:p>
      <w:pPr>
        <w:pStyle w:val="Heading3"/>
        <w:spacing w:after="100" w:before="200"/>
      </w:pPr>
      <w:r>
        <w:rPr>
          <w:b/>
          <w:bCs/>
          <w:color w:val="1F2A44"/>
          <w:sz w:val="22"/>
          <w:szCs w:val="22"/>
        </w:rPr>
        <w:t xml:space="preserve">3.1 Interfaces — Visión General</w:t>
      </w:r>
    </w:p>
    <w:p>
      <w:pPr>
        <w:spacing w:after="120"/>
      </w:pPr>
      <w:r>
        <w:t xml:space="preserve">Provee la infraestructura de ejecución para todos los demás building blocks de aplicación e integración (ABB-N-001, ABB-N-002, ABB-A-001, ABB-A-002, ABB-D-002), y se integra con la capacidad de ciberseguridad (ABB-T-002) para la protección del entorno.</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Todos los ABB de Negocio, Datos y Aplicaciones</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Aloja a</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Contenedores / Kubernetes API</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Provee el entorno de ejecución de todos los servicios institucionales.</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ABB-T-002</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Se integra con</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Agentes de seguridad / SIEM</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Reporta eventos de infraestructura al SOC.</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ABB-T-002 — Capacidad de Ciberseguridad: requerida para proteger la infraestructura y detectar amenazas.</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Propietaria y operadora de la plataforma de cómputo</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Todas las gerencias usuarias</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Beneficiarias indirectas mediante las aplicaciones desplegadas</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Nube de Gobierno del Estado Peruano</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Marco de referencia para el hospedaje de servicios digitales públicos</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Principio de Escalabilidad y Disponibilidad</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Fundamenta el diseño de alta disponibilidad y auto-escalado</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Política de Continuidad Operativa</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Rige los objetivos de RPO/RTO de la plataforma</w:t>
            </w:r>
          </w:p>
        </w:tc>
      </w:tr>
    </w:tbl>
    <w:p>
      <w:r>
        <w:br w:type="page"/>
      </w:r>
    </w:p>
    <w:p>
      <w:pPr>
        <w:pStyle w:val="Heading2"/>
        <w:spacing w:after="140" w:before="260"/>
      </w:pPr>
      <w:r>
        <w:rPr>
          <w:b/>
          <w:bCs/>
          <w:color w:val="2E5C8A"/>
          <w:sz w:val="25"/>
          <w:szCs w:val="25"/>
        </w:rPr>
        <w:t xml:space="preserve">ABB-T-002 — Capacidad de Ciberseguridad (NGFW / SIEM / SOC)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EAF1F8" w:val="clear"/>
            <w:tcMar>
              <w:top w:type="dxa" w:w="70"/>
              <w:left w:type="dxa" w:w="100"/>
              <w:bottom w:type="dxa" w:w="70"/>
              <w:right w:type="dxa" w:w="100"/>
            </w:tcMar>
          </w:tcPr>
          <w:p>
            <w:r>
              <w:rPr>
                <w:b/>
                <w:bCs/>
                <w:sz w:val="18"/>
                <w:szCs w:val="18"/>
              </w:rPr>
              <w:t xml:space="preserve">Identificador (ID):</w:t>
            </w:r>
          </w:p>
        </w:tc>
        <w:tc>
          <w:tcPr>
            <w:tcMar>
              <w:top w:type="dxa" w:w="70"/>
              <w:left w:type="dxa" w:w="100"/>
              <w:bottom w:type="dxa" w:w="70"/>
              <w:right w:type="dxa" w:w="100"/>
            </w:tcMar>
          </w:tcPr>
          <w:p>
            <w:r>
              <w:rPr>
                <w:b w:val="false"/>
                <w:bCs w:val="false"/>
                <w:sz w:val="18"/>
                <w:szCs w:val="18"/>
              </w:rPr>
              <w:t xml:space="preserve">ABB-T-002</w:t>
            </w:r>
          </w:p>
        </w:tc>
      </w:tr>
      <w:tr>
        <w:tc>
          <w:tcPr>
            <w:shd w:fill="EAF1F8" w:val="clear"/>
            <w:tcMar>
              <w:top w:type="dxa" w:w="70"/>
              <w:left w:type="dxa" w:w="100"/>
              <w:bottom w:type="dxa" w:w="70"/>
              <w:right w:type="dxa" w:w="100"/>
            </w:tcMar>
          </w:tcPr>
          <w:p>
            <w:r>
              <w:rPr>
                <w:b/>
                <w:bCs/>
                <w:sz w:val="18"/>
                <w:szCs w:val="18"/>
              </w:rPr>
              <w:t xml:space="preserve">Nombre del ABB:</w:t>
            </w:r>
          </w:p>
        </w:tc>
        <w:tc>
          <w:tcPr>
            <w:tcMar>
              <w:top w:type="dxa" w:w="70"/>
              <w:left w:type="dxa" w:w="100"/>
              <w:bottom w:type="dxa" w:w="70"/>
              <w:right w:type="dxa" w:w="100"/>
            </w:tcMar>
          </w:tcPr>
          <w:p>
            <w:r>
              <w:rPr>
                <w:b w:val="false"/>
                <w:bCs w:val="false"/>
                <w:sz w:val="18"/>
                <w:szCs w:val="18"/>
              </w:rPr>
              <w:t xml:space="preserve">Capacidad de Ciberseguridad (NGFW / SIEM / SOC)</w:t>
            </w:r>
          </w:p>
        </w:tc>
      </w:tr>
      <w:tr>
        <w:tc>
          <w:tcPr>
            <w:shd w:fill="EAF1F8" w:val="clear"/>
            <w:tcMar>
              <w:top w:type="dxa" w:w="70"/>
              <w:left w:type="dxa" w:w="100"/>
              <w:bottom w:type="dxa" w:w="70"/>
              <w:right w:type="dxa" w:w="100"/>
            </w:tcMar>
          </w:tcPr>
          <w:p>
            <w:r>
              <w:rPr>
                <w:b/>
                <w:bCs/>
                <w:sz w:val="18"/>
                <w:szCs w:val="18"/>
              </w:rPr>
              <w:t xml:space="preserve">Dominio de Arquitectura:</w:t>
            </w:r>
          </w:p>
        </w:tc>
        <w:tc>
          <w:tcPr>
            <w:tcMar>
              <w:top w:type="dxa" w:w="70"/>
              <w:left w:type="dxa" w:w="100"/>
              <w:bottom w:type="dxa" w:w="70"/>
              <w:right w:type="dxa" w:w="100"/>
            </w:tcMar>
          </w:tcPr>
          <w:p>
            <w:r>
              <w:rPr>
                <w:b w:val="false"/>
                <w:bCs w:val="false"/>
                <w:sz w:val="18"/>
                <w:szCs w:val="18"/>
              </w:rPr>
              <w:t xml:space="preserve">Tecnología</w:t>
            </w:r>
          </w:p>
        </w:tc>
      </w:tr>
      <w:tr>
        <w:tc>
          <w:tcPr>
            <w:shd w:fill="EAF1F8" w:val="clear"/>
            <w:tcMar>
              <w:top w:type="dxa" w:w="70"/>
              <w:left w:type="dxa" w:w="100"/>
              <w:bottom w:type="dxa" w:w="70"/>
              <w:right w:type="dxa" w:w="100"/>
            </w:tcMar>
          </w:tcPr>
          <w:p>
            <w:r>
              <w:rPr>
                <w:b/>
                <w:bCs/>
                <w:sz w:val="18"/>
                <w:szCs w:val="18"/>
              </w:rPr>
              <w:t xml:space="preserve">Fase ADM de Origen:</w:t>
            </w:r>
          </w:p>
        </w:tc>
        <w:tc>
          <w:tcPr>
            <w:tcMar>
              <w:top w:type="dxa" w:w="70"/>
              <w:left w:type="dxa" w:w="100"/>
              <w:bottom w:type="dxa" w:w="70"/>
              <w:right w:type="dxa" w:w="100"/>
            </w:tcMar>
          </w:tcPr>
          <w:p>
            <w:r>
              <w:rPr>
                <w:b w:val="false"/>
                <w:bCs w:val="false"/>
                <w:sz w:val="18"/>
                <w:szCs w:val="18"/>
              </w:rPr>
              <w:t xml:space="preserve">Fase D — Arquitectura Tecnológica</w:t>
            </w:r>
          </w:p>
        </w:tc>
      </w:tr>
      <w:tr>
        <w:tc>
          <w:tcPr>
            <w:shd w:fill="EAF1F8" w:val="clear"/>
            <w:tcMar>
              <w:top w:type="dxa" w:w="70"/>
              <w:left w:type="dxa" w:w="100"/>
              <w:bottom w:type="dxa" w:w="70"/>
              <w:right w:type="dxa" w:w="100"/>
            </w:tcMar>
          </w:tcPr>
          <w:p>
            <w:r>
              <w:rPr>
                <w:b/>
                <w:bCs/>
                <w:sz w:val="18"/>
                <w:szCs w:val="18"/>
              </w:rPr>
              <w:t xml:space="preserve">SBB(s) que lo Implementan:</w:t>
            </w:r>
          </w:p>
        </w:tc>
        <w:tc>
          <w:tcPr>
            <w:tcMar>
              <w:top w:type="dxa" w:w="70"/>
              <w:left w:type="dxa" w:w="100"/>
              <w:bottom w:type="dxa" w:w="70"/>
              <w:right w:type="dxa" w:w="100"/>
            </w:tcMar>
          </w:tcPr>
          <w:p>
            <w:r>
              <w:rPr>
                <w:b w:val="false"/>
                <w:bCs w:val="false"/>
                <w:sz w:val="18"/>
                <w:szCs w:val="18"/>
              </w:rPr>
              <w:t xml:space="preserve">SBB-T-002 (Ciberseguridad: NGFW + SIEM + SOC)</w:t>
            </w:r>
          </w:p>
        </w:tc>
      </w:tr>
      <w:tr>
        <w:tc>
          <w:tcPr>
            <w:shd w:fill="EAF1F8" w:val="clear"/>
            <w:tcMar>
              <w:top w:type="dxa" w:w="70"/>
              <w:left w:type="dxa" w:w="100"/>
              <w:bottom w:type="dxa" w:w="70"/>
              <w:right w:type="dxa" w:w="100"/>
            </w:tcMar>
          </w:tcPr>
          <w:p>
            <w:r>
              <w:rPr>
                <w:b/>
                <w:bCs/>
                <w:sz w:val="18"/>
                <w:szCs w:val="18"/>
              </w:rPr>
              <w:t xml:space="preserve">Estado:</w:t>
            </w:r>
          </w:p>
        </w:tc>
        <w:tc>
          <w:tcPr>
            <w:tcMar>
              <w:top w:type="dxa" w:w="70"/>
              <w:left w:type="dxa" w:w="100"/>
              <w:bottom w:type="dxa" w:w="70"/>
              <w:right w:type="dxa" w:w="100"/>
            </w:tcMar>
          </w:tcPr>
          <w:p>
            <w:r>
              <w:rPr>
                <w:b w:val="false"/>
                <w:bCs w:val="false"/>
                <w:sz w:val="18"/>
                <w:szCs w:val="18"/>
              </w:rPr>
              <w:t xml:space="preserve">Definido — en implementación</w:t>
            </w:r>
          </w:p>
        </w:tc>
      </w:tr>
    </w:tbl>
    <w:p>
      <w:pPr>
        <w:spacing w:after="160"/>
      </w:pPr>
    </w:p>
    <w:p>
      <w:pPr>
        <w:pStyle w:val="Heading3"/>
        <w:spacing w:after="100" w:before="200"/>
      </w:pPr>
      <w:r>
        <w:rPr>
          <w:b/>
          <w:bCs/>
          <w:color w:val="1F2A44"/>
          <w:sz w:val="22"/>
          <w:szCs w:val="22"/>
        </w:rPr>
        <w:t xml:space="preserve">2.1 Funcionalidad Fundamental</w:t>
      </w:r>
    </w:p>
    <w:p>
      <w:pPr>
        <w:pStyle w:val="ListParagraph"/>
        <w:numPr>
          <w:ilvl w:val="0"/>
          <w:numId w:val="1"/>
        </w:numPr>
        <w:spacing w:after="60"/>
      </w:pPr>
      <w:r>
        <w:t xml:space="preserve">Proteger el perímetro tecnológico institucional mediante firewalls de nueva generación (NGFW).</w:t>
      </w:r>
    </w:p>
    <w:p>
      <w:pPr>
        <w:pStyle w:val="ListParagraph"/>
        <w:numPr>
          <w:ilvl w:val="0"/>
          <w:numId w:val="1"/>
        </w:numPr>
        <w:spacing w:after="60"/>
      </w:pPr>
      <w:r>
        <w:t xml:space="preserve">Centralizar la correlación de eventos de seguridad de toda la plataforma mediante un SIEM.</w:t>
      </w:r>
    </w:p>
    <w:p>
      <w:pPr>
        <w:pStyle w:val="ListParagraph"/>
        <w:numPr>
          <w:ilvl w:val="0"/>
          <w:numId w:val="1"/>
        </w:numPr>
        <w:spacing w:after="60"/>
      </w:pPr>
      <w:r>
        <w:t xml:space="preserve">Detectar, monitorear y responder a incidentes de seguridad a través de un Centro de Operaciones de Seguridad (SOC).</w:t>
      </w:r>
    </w:p>
    <w:p>
      <w:pPr>
        <w:pStyle w:val="ListParagraph"/>
        <w:numPr>
          <w:ilvl w:val="0"/>
          <w:numId w:val="1"/>
        </w:numPr>
        <w:spacing w:after="60"/>
      </w:pPr>
      <w:r>
        <w:t xml:space="preserve">Garantizar la confidencialidad, integridad y disponibilidad de la información institucional frente a amenazas.</w:t>
      </w:r>
    </w:p>
    <w:p>
      <w:pPr>
        <w:pStyle w:val="Heading3"/>
        <w:spacing w:after="100" w:before="200"/>
      </w:pPr>
      <w:r>
        <w:rPr>
          <w:b/>
          <w:bCs/>
          <w:color w:val="1F2A44"/>
          <w:sz w:val="22"/>
          <w:szCs w:val="22"/>
        </w:rPr>
        <w:t xml:space="preserve">2.2 Atributos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60"/>
              <w:left w:type="dxa" w:w="100"/>
              <w:bottom w:type="dxa" w:w="60"/>
              <w:right w:type="dxa" w:w="100"/>
            </w:tcMar>
            <w:vAlign w:val="center"/>
          </w:tcPr>
          <w:p>
            <w:r>
              <w:rPr>
                <w:b/>
                <w:bCs/>
                <w:color w:val="FFFFFF"/>
                <w:sz w:val="18"/>
                <w:szCs w:val="18"/>
              </w:rPr>
              <w:t xml:space="preserve">Atributo</w:t>
            </w:r>
          </w:p>
        </w:tc>
        <w:tc>
          <w:tcPr>
            <w:tcW w:type="dxa" w:w="6800"/>
            <w:shd w:fill="1F2A44" w:val="clear"/>
            <w:tcMar>
              <w:top w:type="dxa" w:w="60"/>
              <w:left w:type="dxa" w:w="100"/>
              <w:bottom w:type="dxa" w:w="60"/>
              <w:right w:type="dxa" w:w="100"/>
            </w:tcMar>
            <w:vAlign w:val="center"/>
          </w:tcPr>
          <w:p>
            <w:r>
              <w:rPr>
                <w:b/>
                <w:bCs/>
                <w:color w:val="FFFFFF"/>
                <w:sz w:val="18"/>
                <w:szCs w:val="18"/>
              </w:rPr>
              <w:t xml:space="preserve">Especificación</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Cobertura</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Perímetro de red, endpoints y aplicaciones críticas</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Modelo de operación</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Monitoreo 24/7 mediante SOC</w:t>
            </w:r>
          </w:p>
        </w:tc>
      </w:tr>
      <w:tr>
        <w:tc>
          <w:tcPr>
            <w:tcW w:type="dxa" w:w="2600"/>
            <w:shd w:fill="FFFFFF" w:val="clear"/>
            <w:tcMar>
              <w:top w:type="dxa" w:w="60"/>
              <w:left w:type="dxa" w:w="100"/>
              <w:bottom w:type="dxa" w:w="60"/>
              <w:right w:type="dxa" w:w="100"/>
            </w:tcMar>
            <w:vAlign w:val="center"/>
          </w:tcPr>
          <w:p>
            <w:r>
              <w:rPr>
                <w:b w:val="false"/>
                <w:bCs w:val="false"/>
                <w:sz w:val="18"/>
                <w:szCs w:val="18"/>
              </w:rPr>
              <w:t xml:space="preserve">Estándar de gestión</w:t>
            </w:r>
          </w:p>
        </w:tc>
        <w:tc>
          <w:tcPr>
            <w:tcW w:type="dxa" w:w="6800"/>
            <w:shd w:fill="FFFFFF" w:val="clear"/>
            <w:tcMar>
              <w:top w:type="dxa" w:w="60"/>
              <w:left w:type="dxa" w:w="100"/>
              <w:bottom w:type="dxa" w:w="60"/>
              <w:right w:type="dxa" w:w="100"/>
            </w:tcMar>
            <w:vAlign w:val="center"/>
          </w:tcPr>
          <w:p>
            <w:r>
              <w:rPr>
                <w:b w:val="false"/>
                <w:bCs w:val="false"/>
                <w:sz w:val="18"/>
                <w:szCs w:val="18"/>
              </w:rPr>
              <w:t xml:space="preserve">Alineado a ISO/IEC 27001</w:t>
            </w:r>
          </w:p>
        </w:tc>
      </w:tr>
      <w:tr>
        <w:tc>
          <w:tcPr>
            <w:tcW w:type="dxa" w:w="2600"/>
            <w:shd w:fill="F2F2F2" w:val="clear"/>
            <w:tcMar>
              <w:top w:type="dxa" w:w="60"/>
              <w:left w:type="dxa" w:w="100"/>
              <w:bottom w:type="dxa" w:w="60"/>
              <w:right w:type="dxa" w:w="100"/>
            </w:tcMar>
            <w:vAlign w:val="center"/>
          </w:tcPr>
          <w:p>
            <w:r>
              <w:rPr>
                <w:b w:val="false"/>
                <w:bCs w:val="false"/>
                <w:sz w:val="18"/>
                <w:szCs w:val="18"/>
              </w:rPr>
              <w:t xml:space="preserve">Tiempo de respuesta a incidentes</w:t>
            </w:r>
          </w:p>
        </w:tc>
        <w:tc>
          <w:tcPr>
            <w:tcW w:type="dxa" w:w="6800"/>
            <w:shd w:fill="F2F2F2" w:val="clear"/>
            <w:tcMar>
              <w:top w:type="dxa" w:w="60"/>
              <w:left w:type="dxa" w:w="100"/>
              <w:bottom w:type="dxa" w:w="60"/>
              <w:right w:type="dxa" w:w="100"/>
            </w:tcMar>
            <w:vAlign w:val="center"/>
          </w:tcPr>
          <w:p>
            <w:r>
              <w:rPr>
                <w:b w:val="false"/>
                <w:bCs w:val="false"/>
                <w:sz w:val="18"/>
                <w:szCs w:val="18"/>
              </w:rPr>
              <w:t xml:space="preserve">Definido por niveles de severidad (SLA de SOC)</w:t>
            </w:r>
          </w:p>
        </w:tc>
      </w:tr>
    </w:tbl>
    <w:p>
      <w:pPr>
        <w:spacing w:after="160"/>
      </w:pPr>
    </w:p>
    <w:p>
      <w:pPr>
        <w:pStyle w:val="Heading3"/>
        <w:spacing w:after="100" w:before="200"/>
      </w:pPr>
      <w:r>
        <w:rPr>
          <w:b/>
          <w:bCs/>
          <w:color w:val="1F2A44"/>
          <w:sz w:val="22"/>
          <w:szCs w:val="22"/>
        </w:rPr>
        <w:t xml:space="preserve">2.3 Semántica</w:t>
      </w:r>
    </w:p>
    <w:p>
      <w:pPr>
        <w:spacing w:after="120"/>
      </w:pPr>
      <w:r>
        <w:t xml:space="preserve">Representa la capacidad de "protección y respuesta ante amenazas" como un servicio transversal único que aplica de manera uniforme a toda la plataforma tecnológica municipal, con independencia de los productos específicos (NGFW, SIEM, SOC) que la implementen.</w:t>
      </w:r>
    </w:p>
    <w:p>
      <w:pPr>
        <w:pStyle w:val="Heading3"/>
        <w:spacing w:after="100" w:before="200"/>
      </w:pPr>
      <w:r>
        <w:rPr>
          <w:b/>
          <w:bCs/>
          <w:color w:val="1F2A44"/>
          <w:sz w:val="22"/>
          <w:szCs w:val="22"/>
        </w:rPr>
        <w:t xml:space="preserve">2.4 Capacidad de Seguridad</w:t>
      </w:r>
    </w:p>
    <w:p>
      <w:pPr>
        <w:pStyle w:val="ListParagraph"/>
        <w:numPr>
          <w:ilvl w:val="0"/>
          <w:numId w:val="1"/>
        </w:numPr>
        <w:spacing w:after="60"/>
      </w:pPr>
      <w:r>
        <w:t xml:space="preserve">Segmentación de red y control de tráfico mediante reglas de firewall de nueva generación.</w:t>
      </w:r>
    </w:p>
    <w:p>
      <w:pPr>
        <w:pStyle w:val="ListParagraph"/>
        <w:numPr>
          <w:ilvl w:val="0"/>
          <w:numId w:val="1"/>
        </w:numPr>
        <w:spacing w:after="60"/>
      </w:pPr>
      <w:r>
        <w:t xml:space="preserve">Correlación y análisis de eventos de seguridad en tiempo real (SIEM).</w:t>
      </w:r>
    </w:p>
    <w:p>
      <w:pPr>
        <w:pStyle w:val="ListParagraph"/>
        <w:numPr>
          <w:ilvl w:val="0"/>
          <w:numId w:val="1"/>
        </w:numPr>
        <w:spacing w:after="60"/>
      </w:pPr>
      <w:r>
        <w:t xml:space="preserve">Gestión de incidentes de seguridad con procedimientos de escalamiento y respuesta (SOC).</w:t>
      </w:r>
    </w:p>
    <w:p>
      <w:pPr>
        <w:pStyle w:val="ListParagraph"/>
        <w:numPr>
          <w:ilvl w:val="0"/>
          <w:numId w:val="1"/>
        </w:numPr>
        <w:spacing w:after="60"/>
      </w:pPr>
      <w:r>
        <w:t xml:space="preserve">Cumplimiento de ISO/IEC 27001 y de la Política de Ciberseguridad Municipal.</w:t>
      </w:r>
    </w:p>
    <w:p>
      <w:pPr>
        <w:pStyle w:val="Heading3"/>
        <w:spacing w:after="100" w:before="200"/>
      </w:pPr>
      <w:r>
        <w:rPr>
          <w:b/>
          <w:bCs/>
          <w:color w:val="1F2A44"/>
          <w:sz w:val="22"/>
          <w:szCs w:val="22"/>
        </w:rPr>
        <w:t xml:space="preserve">2.5 Manejabilidad (Manageability)</w:t>
      </w:r>
    </w:p>
    <w:p>
      <w:pPr>
        <w:pStyle w:val="ListParagraph"/>
        <w:numPr>
          <w:ilvl w:val="0"/>
          <w:numId w:val="1"/>
        </w:numPr>
        <w:spacing w:after="60"/>
      </w:pPr>
      <w:r>
        <w:t xml:space="preserve">Tableros de monitoreo de eventos de seguridad y alertas activas.</w:t>
      </w:r>
    </w:p>
    <w:p>
      <w:pPr>
        <w:pStyle w:val="ListParagraph"/>
        <w:numPr>
          <w:ilvl w:val="0"/>
          <w:numId w:val="1"/>
        </w:numPr>
        <w:spacing w:after="60"/>
      </w:pPr>
      <w:r>
        <w:t xml:space="preserve">Reportes periódicos de vulnerabilidades y estado de remediación.</w:t>
      </w:r>
    </w:p>
    <w:p>
      <w:pPr>
        <w:pStyle w:val="ListParagraph"/>
        <w:numPr>
          <w:ilvl w:val="0"/>
          <w:numId w:val="1"/>
        </w:numPr>
        <w:spacing w:after="60"/>
      </w:pPr>
      <w:r>
        <w:t xml:space="preserve">Simulacros y pruebas periódicas de respuesta ante incidentes.</w:t>
      </w:r>
    </w:p>
    <w:p>
      <w:pPr>
        <w:pStyle w:val="Heading3"/>
        <w:spacing w:after="100" w:before="200"/>
      </w:pPr>
      <w:r>
        <w:rPr>
          <w:b/>
          <w:bCs/>
          <w:color w:val="1F2A44"/>
          <w:sz w:val="22"/>
          <w:szCs w:val="22"/>
        </w:rPr>
        <w:t xml:space="preserve">3.1 Interfaces — Visión General</w:t>
      </w:r>
    </w:p>
    <w:p>
      <w:pPr>
        <w:spacing w:after="120"/>
      </w:pPr>
      <w:r>
        <w:t xml:space="preserve">Provee servicios de protección y monitoreo transversales a toda la plataforma tecnológica, recibiendo eventos de la infraestructura de cómputo (ABB-T-001) y de la capa de interoperabilidad (ABB-A-001) para su correlación y análisis.</w:t>
      </w:r>
    </w:p>
    <w:p>
      <w:pPr>
        <w:pStyle w:val="Heading3"/>
        <w:spacing w:after="100" w:before="200"/>
      </w:pPr>
      <w:r>
        <w:rPr>
          <w:b/>
          <w:bCs/>
          <w:color w:val="1F2A44"/>
          <w:sz w:val="22"/>
          <w:szCs w:val="22"/>
        </w:rPr>
        <w:t xml:space="preserve">3.2 Interoperabilidad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F2A44" w:val="clear"/>
            <w:tcMar>
              <w:top w:type="dxa" w:w="60"/>
              <w:left w:type="dxa" w:w="100"/>
              <w:bottom w:type="dxa" w:w="60"/>
              <w:right w:type="dxa" w:w="100"/>
            </w:tcMar>
            <w:vAlign w:val="center"/>
          </w:tcPr>
          <w:p>
            <w:r>
              <w:rPr>
                <w:b/>
                <w:bCs/>
                <w:color w:val="FFFFFF"/>
                <w:sz w:val="18"/>
                <w:szCs w:val="18"/>
              </w:rPr>
              <w:t xml:space="preserve">Building Block Relacionado</w:t>
            </w:r>
          </w:p>
        </w:tc>
        <w:tc>
          <w:tcPr>
            <w:tcW w:type="dxa" w:w="1800"/>
            <w:shd w:fill="1F2A44" w:val="clear"/>
            <w:tcMar>
              <w:top w:type="dxa" w:w="60"/>
              <w:left w:type="dxa" w:w="100"/>
              <w:bottom w:type="dxa" w:w="60"/>
              <w:right w:type="dxa" w:w="100"/>
            </w:tcMar>
            <w:vAlign w:val="center"/>
          </w:tcPr>
          <w:p>
            <w:r>
              <w:rPr>
                <w:b/>
                <w:bCs/>
                <w:color w:val="FFFFFF"/>
                <w:sz w:val="18"/>
                <w:szCs w:val="18"/>
              </w:rPr>
              <w:t xml:space="preserve">Tipo de Relación</w:t>
            </w:r>
          </w:p>
        </w:tc>
        <w:tc>
          <w:tcPr>
            <w:tcW w:type="dxa" w:w="1800"/>
            <w:shd w:fill="1F2A44" w:val="clear"/>
            <w:tcMar>
              <w:top w:type="dxa" w:w="60"/>
              <w:left w:type="dxa" w:w="100"/>
              <w:bottom w:type="dxa" w:w="60"/>
              <w:right w:type="dxa" w:w="100"/>
            </w:tcMar>
            <w:vAlign w:val="center"/>
          </w:tcPr>
          <w:p>
            <w:r>
              <w:rPr>
                <w:b/>
                <w:bCs/>
                <w:color w:val="FFFFFF"/>
                <w:sz w:val="18"/>
                <w:szCs w:val="18"/>
              </w:rPr>
              <w:t xml:space="preserve">Protocolo / Estándar</w:t>
            </w:r>
          </w:p>
        </w:tc>
        <w:tc>
          <w:tcPr>
            <w:tcW w:type="dxa" w:w="3400"/>
            <w:shd w:fill="1F2A44" w:val="clear"/>
            <w:tcMar>
              <w:top w:type="dxa" w:w="60"/>
              <w:left w:type="dxa" w:w="100"/>
              <w:bottom w:type="dxa" w:w="60"/>
              <w:right w:type="dxa" w:w="100"/>
            </w:tcMar>
            <w:vAlign w:val="center"/>
          </w:tcPr>
          <w:p>
            <w:r>
              <w:rPr>
                <w:b/>
                <w:bCs/>
                <w:color w:val="FFFFFF"/>
                <w:sz w:val="18"/>
                <w:szCs w:val="18"/>
              </w:rPr>
              <w:t xml:space="preserve">Descripción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ABB-T-001</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Monitorea a</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Agentes de seguridad, logs</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Recibe eventos de infraestructura de cómputo para su análisis.</w:t>
            </w:r>
          </w:p>
        </w:tc>
      </w:tr>
      <w:tr>
        <w:tc>
          <w:tcPr>
            <w:tcW w:type="dxa" w:w="2400"/>
            <w:shd w:fill="F2F2F2" w:val="clear"/>
            <w:tcMar>
              <w:top w:type="dxa" w:w="60"/>
              <w:left w:type="dxa" w:w="100"/>
              <w:bottom w:type="dxa" w:w="60"/>
              <w:right w:type="dxa" w:w="100"/>
            </w:tcMar>
            <w:vAlign w:val="center"/>
          </w:tcPr>
          <w:p>
            <w:r>
              <w:rPr>
                <w:b w:val="false"/>
                <w:bCs w:val="false"/>
                <w:sz w:val="18"/>
                <w:szCs w:val="18"/>
              </w:rPr>
              <w:t xml:space="preserve">ABB-A-001</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Monitorea a</w:t>
            </w:r>
          </w:p>
        </w:tc>
        <w:tc>
          <w:tcPr>
            <w:tcW w:type="dxa" w:w="1800"/>
            <w:shd w:fill="F2F2F2" w:val="clear"/>
            <w:tcMar>
              <w:top w:type="dxa" w:w="60"/>
              <w:left w:type="dxa" w:w="100"/>
              <w:bottom w:type="dxa" w:w="60"/>
              <w:right w:type="dxa" w:w="100"/>
            </w:tcMar>
            <w:vAlign w:val="center"/>
          </w:tcPr>
          <w:p>
            <w:r>
              <w:rPr>
                <w:b w:val="false"/>
                <w:bCs w:val="false"/>
                <w:sz w:val="18"/>
                <w:szCs w:val="18"/>
              </w:rPr>
              <w:t xml:space="preserve">Logs de tráfico de APIs</w:t>
            </w:r>
          </w:p>
        </w:tc>
        <w:tc>
          <w:tcPr>
            <w:tcW w:type="dxa" w:w="3400"/>
            <w:shd w:fill="F2F2F2" w:val="clear"/>
            <w:tcMar>
              <w:top w:type="dxa" w:w="60"/>
              <w:left w:type="dxa" w:w="100"/>
              <w:bottom w:type="dxa" w:w="60"/>
              <w:right w:type="dxa" w:w="100"/>
            </w:tcMar>
            <w:vAlign w:val="center"/>
          </w:tcPr>
          <w:p>
            <w:r>
              <w:rPr>
                <w:b w:val="false"/>
                <w:bCs w:val="false"/>
                <w:sz w:val="18"/>
                <w:szCs w:val="18"/>
              </w:rPr>
              <w:t xml:space="preserve">Detecta anomalías en el tráfico de integración.</w:t>
            </w:r>
          </w:p>
        </w:tc>
      </w:tr>
      <w:tr>
        <w:tc>
          <w:tcPr>
            <w:tcW w:type="dxa" w:w="2400"/>
            <w:shd w:fill="FFFFFF" w:val="clear"/>
            <w:tcMar>
              <w:top w:type="dxa" w:w="60"/>
              <w:left w:type="dxa" w:w="100"/>
              <w:bottom w:type="dxa" w:w="60"/>
              <w:right w:type="dxa" w:w="100"/>
            </w:tcMar>
            <w:vAlign w:val="center"/>
          </w:tcPr>
          <w:p>
            <w:r>
              <w:rPr>
                <w:b w:val="false"/>
                <w:bCs w:val="false"/>
                <w:sz w:val="18"/>
                <w:szCs w:val="18"/>
              </w:rPr>
              <w:t xml:space="preserve">ABB-A-002</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Protege a</w:t>
            </w:r>
          </w:p>
        </w:tc>
        <w:tc>
          <w:tcPr>
            <w:tcW w:type="dxa" w:w="1800"/>
            <w:shd w:fill="FFFFFF" w:val="clear"/>
            <w:tcMar>
              <w:top w:type="dxa" w:w="60"/>
              <w:left w:type="dxa" w:w="100"/>
              <w:bottom w:type="dxa" w:w="60"/>
              <w:right w:type="dxa" w:w="100"/>
            </w:tcMar>
            <w:vAlign w:val="center"/>
          </w:tcPr>
          <w:p>
            <w:r>
              <w:rPr>
                <w:b w:val="false"/>
                <w:bCs w:val="false"/>
                <w:sz w:val="18"/>
                <w:szCs w:val="18"/>
              </w:rPr>
              <w:t xml:space="preserve">Logs de autenticación</w:t>
            </w:r>
          </w:p>
        </w:tc>
        <w:tc>
          <w:tcPr>
            <w:tcW w:type="dxa" w:w="3400"/>
            <w:shd w:fill="FFFFFF" w:val="clear"/>
            <w:tcMar>
              <w:top w:type="dxa" w:w="60"/>
              <w:left w:type="dxa" w:w="100"/>
              <w:bottom w:type="dxa" w:w="60"/>
              <w:right w:type="dxa" w:w="100"/>
            </w:tcMar>
            <w:vAlign w:val="center"/>
          </w:tcPr>
          <w:p>
            <w:r>
              <w:rPr>
                <w:b w:val="false"/>
                <w:bCs w:val="false"/>
                <w:sz w:val="18"/>
                <w:szCs w:val="18"/>
              </w:rPr>
              <w:t xml:space="preserve">Correlaciona eventos de acceso e identidad ante posibles amenazas.</w:t>
            </w:r>
          </w:p>
        </w:tc>
      </w:tr>
    </w:tbl>
    <w:p>
      <w:pPr>
        <w:spacing w:after="160"/>
      </w:pPr>
    </w:p>
    <w:p>
      <w:pPr>
        <w:pStyle w:val="Heading3"/>
        <w:spacing w:after="100" w:before="200"/>
      </w:pPr>
      <w:r>
        <w:rPr>
          <w:b/>
          <w:bCs/>
          <w:color w:val="1F2A44"/>
          <w:sz w:val="22"/>
          <w:szCs w:val="22"/>
        </w:rPr>
        <w:t xml:space="preserve">3.3 Building Blocks Dependientes</w:t>
      </w:r>
    </w:p>
    <w:p>
      <w:pPr>
        <w:pStyle w:val="ListParagraph"/>
        <w:numPr>
          <w:ilvl w:val="0"/>
          <w:numId w:val="1"/>
        </w:numPr>
        <w:spacing w:after="60"/>
      </w:pPr>
      <w:r>
        <w:t xml:space="preserve">Ninguno — actúa como capacidad transversal de protección para el resto de building blocks tecnológicos y de aplicación.</w:t>
      </w:r>
    </w:p>
    <w:p>
      <w:pPr>
        <w:pStyle w:val="Heading3"/>
        <w:spacing w:after="100" w:before="200"/>
      </w:pPr>
      <w:r>
        <w:rPr>
          <w:b/>
          <w:bCs/>
          <w:color w:val="1F2A44"/>
          <w:sz w:val="22"/>
          <w:szCs w:val="22"/>
        </w:rPr>
        <w:t xml:space="preserve">4.1 Mapeo a Entidades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1F2A44" w:val="clear"/>
            <w:tcMar>
              <w:top w:type="dxa" w:w="60"/>
              <w:left w:type="dxa" w:w="100"/>
              <w:bottom w:type="dxa" w:w="60"/>
              <w:right w:type="dxa" w:w="100"/>
            </w:tcMar>
            <w:vAlign w:val="center"/>
          </w:tcPr>
          <w:p>
            <w:r>
              <w:rPr>
                <w:b/>
                <w:bCs/>
                <w:color w:val="FFFFFF"/>
                <w:sz w:val="18"/>
                <w:szCs w:val="18"/>
              </w:rPr>
              <w:t xml:space="preserve">Entidad de Negocio / Organizacional</w:t>
            </w:r>
          </w:p>
        </w:tc>
        <w:tc>
          <w:tcPr>
            <w:tcW w:type="dxa" w:w="4800"/>
            <w:shd w:fill="1F2A44" w:val="clear"/>
            <w:tcMar>
              <w:top w:type="dxa" w:w="60"/>
              <w:left w:type="dxa" w:w="100"/>
              <w:bottom w:type="dxa" w:w="60"/>
              <w:right w:type="dxa" w:w="100"/>
            </w:tcMar>
            <w:vAlign w:val="center"/>
          </w:tcPr>
          <w:p>
            <w:r>
              <w:rPr>
                <w:b/>
                <w:bCs/>
                <w:color w:val="FFFFFF"/>
                <w:sz w:val="18"/>
                <w:szCs w:val="18"/>
              </w:rPr>
              <w:t xml:space="preserve">Relación</w:t>
            </w:r>
          </w:p>
        </w:tc>
      </w:tr>
      <w:tr>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4800"/>
            <w:shd w:fill="FFFFFF" w:val="clear"/>
            <w:tcMar>
              <w:top w:type="dxa" w:w="60"/>
              <w:left w:type="dxa" w:w="100"/>
              <w:bottom w:type="dxa" w:w="60"/>
              <w:right w:type="dxa" w:w="100"/>
            </w:tcMar>
            <w:vAlign w:val="center"/>
          </w:tcPr>
          <w:p>
            <w:r>
              <w:rPr>
                <w:b w:val="false"/>
                <w:bCs w:val="false"/>
                <w:sz w:val="18"/>
                <w:szCs w:val="18"/>
              </w:rPr>
              <w:t xml:space="preserve">Propietaria de la capacidad de ciberseguridad institucional</w:t>
            </w:r>
          </w:p>
        </w:tc>
      </w:tr>
      <w:tr>
        <w:tc>
          <w:tcPr>
            <w:tcW w:type="dxa" w:w="4600"/>
            <w:shd w:fill="F2F2F2" w:val="clear"/>
            <w:tcMar>
              <w:top w:type="dxa" w:w="60"/>
              <w:left w:type="dxa" w:w="100"/>
              <w:bottom w:type="dxa" w:w="60"/>
              <w:right w:type="dxa" w:w="100"/>
            </w:tcMar>
            <w:vAlign w:val="center"/>
          </w:tcPr>
          <w:p>
            <w:r>
              <w:rPr>
                <w:b w:val="false"/>
                <w:bCs w:val="false"/>
                <w:sz w:val="18"/>
                <w:szCs w:val="18"/>
              </w:rPr>
              <w:t xml:space="preserve">Oficina de Seguridad de la Información</w:t>
            </w:r>
          </w:p>
        </w:tc>
        <w:tc>
          <w:tcPr>
            <w:tcW w:type="dxa" w:w="4800"/>
            <w:shd w:fill="F2F2F2" w:val="clear"/>
            <w:tcMar>
              <w:top w:type="dxa" w:w="60"/>
              <w:left w:type="dxa" w:w="100"/>
              <w:bottom w:type="dxa" w:w="60"/>
              <w:right w:type="dxa" w:w="100"/>
            </w:tcMar>
            <w:vAlign w:val="center"/>
          </w:tcPr>
          <w:p>
            <w:r>
              <w:rPr>
                <w:b w:val="false"/>
                <w:bCs w:val="false"/>
                <w:sz w:val="18"/>
                <w:szCs w:val="18"/>
              </w:rPr>
              <w:t xml:space="preserve">Responsable de la operación del SOC y del cumplimiento normativo</w:t>
            </w:r>
          </w:p>
        </w:tc>
      </w:tr>
    </w:tbl>
    <w:p>
      <w:pPr>
        <w:spacing w:after="160"/>
      </w:pPr>
    </w:p>
    <w:p>
      <w:pPr>
        <w:pStyle w:val="Heading3"/>
        <w:spacing w:after="100" w:before="200"/>
      </w:pPr>
      <w:r>
        <w:rPr>
          <w:b/>
          <w:bCs/>
          <w:color w:val="1F2A44"/>
          <w:sz w:val="22"/>
          <w:szCs w:val="22"/>
        </w:rPr>
        <w:t xml:space="preserve">4.2 Mapeo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2A44" w:val="clear"/>
            <w:tcMar>
              <w:top w:type="dxa" w:w="60"/>
              <w:left w:type="dxa" w:w="100"/>
              <w:bottom w:type="dxa" w:w="60"/>
              <w:right w:type="dxa" w:w="100"/>
            </w:tcMar>
            <w:vAlign w:val="center"/>
          </w:tcPr>
          <w:p>
            <w:r>
              <w:rPr>
                <w:b/>
                <w:bCs/>
                <w:color w:val="FFFFFF"/>
                <w:sz w:val="18"/>
                <w:szCs w:val="18"/>
              </w:rPr>
              <w:t xml:space="preserve">Política / Estándar</w:t>
            </w:r>
          </w:p>
        </w:tc>
        <w:tc>
          <w:tcPr>
            <w:tcW w:type="dxa" w:w="6000"/>
            <w:shd w:fill="1F2A44" w:val="clear"/>
            <w:tcMar>
              <w:top w:type="dxa" w:w="60"/>
              <w:left w:type="dxa" w:w="100"/>
              <w:bottom w:type="dxa" w:w="60"/>
              <w:right w:type="dxa" w:w="100"/>
            </w:tcMar>
            <w:vAlign w:val="center"/>
          </w:tcPr>
          <w:p>
            <w:r>
              <w:rPr>
                <w:b/>
                <w:bCs/>
                <w:color w:val="FFFFFF"/>
                <w:sz w:val="18"/>
                <w:szCs w:val="18"/>
              </w:rPr>
              <w:t xml:space="preserve">Aplicación al ABB</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ISO/IEC 27001</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Marco de gestión de la seguridad de la información aplicable a toda la plataforma</w:t>
            </w:r>
          </w:p>
        </w:tc>
      </w:tr>
      <w:tr>
        <w:tc>
          <w:tcPr>
            <w:tcW w:type="dxa" w:w="3400"/>
            <w:shd w:fill="F2F2F2" w:val="clear"/>
            <w:tcMar>
              <w:top w:type="dxa" w:w="60"/>
              <w:left w:type="dxa" w:w="100"/>
              <w:bottom w:type="dxa" w:w="60"/>
              <w:right w:type="dxa" w:w="100"/>
            </w:tcMar>
            <w:vAlign w:val="center"/>
          </w:tcPr>
          <w:p>
            <w:r>
              <w:rPr>
                <w:b w:val="false"/>
                <w:bCs w:val="false"/>
                <w:sz w:val="18"/>
                <w:szCs w:val="18"/>
              </w:rPr>
              <w:t xml:space="preserve">Política de Ciberseguridad Municipal</w:t>
            </w:r>
          </w:p>
        </w:tc>
        <w:tc>
          <w:tcPr>
            <w:tcW w:type="dxa" w:w="6000"/>
            <w:shd w:fill="F2F2F2" w:val="clear"/>
            <w:tcMar>
              <w:top w:type="dxa" w:w="60"/>
              <w:left w:type="dxa" w:w="100"/>
              <w:bottom w:type="dxa" w:w="60"/>
              <w:right w:type="dxa" w:w="100"/>
            </w:tcMar>
            <w:vAlign w:val="center"/>
          </w:tcPr>
          <w:p>
            <w:r>
              <w:rPr>
                <w:b w:val="false"/>
                <w:bCs w:val="false"/>
                <w:sz w:val="18"/>
                <w:szCs w:val="18"/>
              </w:rPr>
              <w:t xml:space="preserve">Define controles para proteger aplicaciones, infraestructura y datos</w:t>
            </w:r>
          </w:p>
        </w:tc>
      </w:tr>
      <w:tr>
        <w:tc>
          <w:tcPr>
            <w:tcW w:type="dxa" w:w="3400"/>
            <w:shd w:fill="FFFFFF" w:val="clear"/>
            <w:tcMar>
              <w:top w:type="dxa" w:w="60"/>
              <w:left w:type="dxa" w:w="100"/>
              <w:bottom w:type="dxa" w:w="60"/>
              <w:right w:type="dxa" w:w="100"/>
            </w:tcMar>
            <w:vAlign w:val="center"/>
          </w:tcPr>
          <w:p>
            <w:r>
              <w:rPr>
                <w:b w:val="false"/>
                <w:bCs w:val="false"/>
                <w:sz w:val="18"/>
                <w:szCs w:val="18"/>
              </w:rPr>
              <w:t xml:space="preserve">Principio de Seguridad por Diseño</w:t>
            </w:r>
          </w:p>
        </w:tc>
        <w:tc>
          <w:tcPr>
            <w:tcW w:type="dxa" w:w="6000"/>
            <w:shd w:fill="FFFFFF" w:val="clear"/>
            <w:tcMar>
              <w:top w:type="dxa" w:w="60"/>
              <w:left w:type="dxa" w:w="100"/>
              <w:bottom w:type="dxa" w:w="60"/>
              <w:right w:type="dxa" w:w="100"/>
            </w:tcMar>
            <w:vAlign w:val="center"/>
          </w:tcPr>
          <w:p>
            <w:r>
              <w:rPr>
                <w:b w:val="false"/>
                <w:bCs w:val="false"/>
                <w:sz w:val="18"/>
                <w:szCs w:val="18"/>
              </w:rPr>
              <w:t xml:space="preserve">Sustenta la incorporación de controles de seguridad desde la arquitectura</w:t>
            </w:r>
          </w:p>
        </w:tc>
      </w:tr>
    </w:tbl>
    <w:p>
      <w:r>
        <w:br w:type="page"/>
      </w:r>
    </w:p>
    <w:p>
      <w:pPr>
        <w:pStyle w:val="Heading1"/>
        <w:spacing w:after="160" w:before="320"/>
      </w:pPr>
      <w:r>
        <w:rPr>
          <w:b/>
          <w:bCs/>
          <w:color w:val="1F2A44"/>
          <w:sz w:val="30"/>
          <w:szCs w:val="30"/>
        </w:rPr>
        <w:t xml:space="preserve">6. Mapeo Consolidado</w:t>
      </w:r>
    </w:p>
    <w:p>
      <w:pPr>
        <w:spacing w:after="120"/>
      </w:pPr>
      <w:r>
        <w:t xml:space="preserve">El propósito de esta sección es presentar de forma consolidada el mapeo de todos los ABB a las entidades y políticas de negocio/organizacionales de la Municipalidad Metropolitana de Lima. El detalle de cada mapeo específico se encuentra en la ficha individual de cada ABB (sección 5).</w:t>
      </w:r>
    </w:p>
    <w:p>
      <w:pPr>
        <w:pStyle w:val="Heading2"/>
        <w:spacing w:after="140" w:before="260"/>
      </w:pPr>
      <w:r>
        <w:rPr>
          <w:b/>
          <w:bCs/>
          <w:color w:val="2E5C8A"/>
          <w:sz w:val="25"/>
          <w:szCs w:val="25"/>
        </w:rPr>
        <w:t xml:space="preserve">6.1 Mapeo Consolidado a Entidades de Negocio / Organizacionales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000"/>
      </w:tblGrid>
      <w:tr>
        <w:trPr>
          <w:tblHeader/>
        </w:trPr>
        <w:tc>
          <w:tcPr>
            <w:tcW w:type="dxa" w:w="1400"/>
            <w:shd w:fill="1F2A44" w:val="clear"/>
            <w:tcMar>
              <w:top w:type="dxa" w:w="60"/>
              <w:left w:type="dxa" w:w="100"/>
              <w:bottom w:type="dxa" w:w="60"/>
              <w:right w:type="dxa" w:w="100"/>
            </w:tcMar>
            <w:vAlign w:val="center"/>
          </w:tcPr>
          <w:p>
            <w:r>
              <w:rPr>
                <w:b/>
                <w:bCs/>
                <w:color w:val="FFFFFF"/>
                <w:sz w:val="18"/>
                <w:szCs w:val="18"/>
              </w:rPr>
              <w:t xml:space="preserve">ID ABB</w:t>
            </w:r>
          </w:p>
        </w:tc>
        <w:tc>
          <w:tcPr>
            <w:tcW w:type="dxa" w:w="4600"/>
            <w:shd w:fill="1F2A44" w:val="clear"/>
            <w:tcMar>
              <w:top w:type="dxa" w:w="60"/>
              <w:left w:type="dxa" w:w="100"/>
              <w:bottom w:type="dxa" w:w="60"/>
              <w:right w:type="dxa" w:w="100"/>
            </w:tcMar>
            <w:vAlign w:val="center"/>
          </w:tcPr>
          <w:p>
            <w:r>
              <w:rPr>
                <w:b/>
                <w:bCs/>
                <w:color w:val="FFFFFF"/>
                <w:sz w:val="18"/>
                <w:szCs w:val="18"/>
              </w:rPr>
              <w:t xml:space="preserve">Entidad/Área Organizacional Propietaria</w:t>
            </w:r>
          </w:p>
        </w:tc>
        <w:tc>
          <w:tcPr>
            <w:tcW w:type="dxa" w:w="3000"/>
            <w:shd w:fill="1F2A44" w:val="clear"/>
            <w:tcMar>
              <w:top w:type="dxa" w:w="60"/>
              <w:left w:type="dxa" w:w="100"/>
              <w:bottom w:type="dxa" w:w="60"/>
              <w:right w:type="dxa" w:w="100"/>
            </w:tcMar>
            <w:vAlign w:val="center"/>
          </w:tcPr>
          <w:p>
            <w:r>
              <w:rPr>
                <w:b/>
                <w:bCs/>
                <w:color w:val="FFFFFF"/>
                <w:sz w:val="18"/>
                <w:szCs w:val="18"/>
              </w:rPr>
              <w:t xml:space="preserve">Rol Principal</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ABB-N-001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Licencias, Rentas/SAT y Fiscalización</w:t>
            </w:r>
          </w:p>
        </w:tc>
        <w:tc>
          <w:tcPr>
            <w:tcW w:type="dxa" w:w="3000"/>
            <w:shd w:fill="FFFFFF" w:val="clear"/>
            <w:tcMar>
              <w:top w:type="dxa" w:w="60"/>
              <w:left w:type="dxa" w:w="100"/>
              <w:bottom w:type="dxa" w:w="60"/>
              <w:right w:type="dxa" w:w="100"/>
            </w:tcMar>
            <w:vAlign w:val="center"/>
          </w:tcPr>
          <w:p>
            <w:r>
              <w:rPr>
                <w:b w:val="false"/>
                <w:bCs w:val="false"/>
                <w:sz w:val="18"/>
                <w:szCs w:val="18"/>
              </w:rPr>
              <w:t xml:space="preserve">Propietaria del proceso de atención al ciudadano</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ABB-N-002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Analistas de Licencias, Rentas y Fiscalización</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Ejecutores de las reglas de negocio del flujo</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ABB-D-001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Rentas / SAT y Oficina de Gobierno de Datos</w:t>
            </w:r>
          </w:p>
        </w:tc>
        <w:tc>
          <w:tcPr>
            <w:tcW w:type="dxa" w:w="3000"/>
            <w:shd w:fill="FFFFFF" w:val="clear"/>
            <w:tcMar>
              <w:top w:type="dxa" w:w="60"/>
              <w:left w:type="dxa" w:w="100"/>
              <w:bottom w:type="dxa" w:w="60"/>
              <w:right w:type="dxa" w:w="100"/>
            </w:tcMar>
            <w:vAlign w:val="center"/>
          </w:tcPr>
          <w:p>
            <w:r>
              <w:rPr>
                <w:b w:val="false"/>
                <w:bCs w:val="false"/>
                <w:sz w:val="18"/>
                <w:szCs w:val="18"/>
              </w:rPr>
              <w:t xml:space="preserve">Propietaria funcional del dato maestro</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ABB-D-002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Alta Dirección / Gerencia Municipal</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Consumidora de indicadores y tableros ejecutivos</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ABB-A-001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3000"/>
            <w:shd w:fill="FFFFFF" w:val="clear"/>
            <w:tcMar>
              <w:top w:type="dxa" w:w="60"/>
              <w:left w:type="dxa" w:w="100"/>
              <w:bottom w:type="dxa" w:w="60"/>
              <w:right w:type="dxa" w:w="100"/>
            </w:tcMar>
            <w:vAlign w:val="center"/>
          </w:tcPr>
          <w:p>
            <w:r>
              <w:rPr>
                <w:b w:val="false"/>
                <w:bCs w:val="false"/>
                <w:sz w:val="18"/>
                <w:szCs w:val="18"/>
              </w:rPr>
              <w:t xml:space="preserve">Propietaria de la capa de interoperabilidad</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ABB-A-002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Propietaria de la plataforma de identidad</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ABB-T-001</w:t>
            </w:r>
          </w:p>
        </w:tc>
        <w:tc>
          <w:tcPr>
            <w:tcW w:type="dxa" w:w="4600"/>
            <w:shd w:fill="FFFFFF" w:val="clear"/>
            <w:tcMar>
              <w:top w:type="dxa" w:w="60"/>
              <w:left w:type="dxa" w:w="100"/>
              <w:bottom w:type="dxa" w:w="60"/>
              <w:right w:type="dxa" w:w="100"/>
            </w:tcMar>
            <w:vAlign w:val="center"/>
          </w:tcPr>
          <w:p>
            <w:r>
              <w:rPr>
                <w:b w:val="false"/>
                <w:bCs w:val="false"/>
                <w:sz w:val="18"/>
                <w:szCs w:val="18"/>
              </w:rPr>
              <w:t xml:space="preserve">Gerencia de Tecnologías de la Información</w:t>
            </w:r>
          </w:p>
        </w:tc>
        <w:tc>
          <w:tcPr>
            <w:tcW w:type="dxa" w:w="3000"/>
            <w:shd w:fill="FFFFFF" w:val="clear"/>
            <w:tcMar>
              <w:top w:type="dxa" w:w="60"/>
              <w:left w:type="dxa" w:w="100"/>
              <w:bottom w:type="dxa" w:w="60"/>
              <w:right w:type="dxa" w:w="100"/>
            </w:tcMar>
            <w:vAlign w:val="center"/>
          </w:tcPr>
          <w:p>
            <w:r>
              <w:rPr>
                <w:b w:val="false"/>
                <w:bCs w:val="false"/>
                <w:sz w:val="18"/>
                <w:szCs w:val="18"/>
              </w:rPr>
              <w:t xml:space="preserve">Operadora de la plataforma de cómputo</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ABB-T-002</w:t>
            </w:r>
          </w:p>
        </w:tc>
        <w:tc>
          <w:tcPr>
            <w:tcW w:type="dxa" w:w="4600"/>
            <w:shd w:fill="F2F2F2" w:val="clear"/>
            <w:tcMar>
              <w:top w:type="dxa" w:w="60"/>
              <w:left w:type="dxa" w:w="100"/>
              <w:bottom w:type="dxa" w:w="60"/>
              <w:right w:type="dxa" w:w="100"/>
            </w:tcMar>
            <w:vAlign w:val="center"/>
          </w:tcPr>
          <w:p>
            <w:r>
              <w:rPr>
                <w:b w:val="false"/>
                <w:bCs w:val="false"/>
                <w:sz w:val="18"/>
                <w:szCs w:val="18"/>
              </w:rPr>
              <w:t xml:space="preserve">Oficina de Seguridad de la Información</w:t>
            </w:r>
          </w:p>
        </w:tc>
        <w:tc>
          <w:tcPr>
            <w:tcW w:type="dxa" w:w="3000"/>
            <w:shd w:fill="F2F2F2" w:val="clear"/>
            <w:tcMar>
              <w:top w:type="dxa" w:w="60"/>
              <w:left w:type="dxa" w:w="100"/>
              <w:bottom w:type="dxa" w:w="60"/>
              <w:right w:type="dxa" w:w="100"/>
            </w:tcMar>
            <w:vAlign w:val="center"/>
          </w:tcPr>
          <w:p>
            <w:r>
              <w:rPr>
                <w:b w:val="false"/>
                <w:bCs w:val="false"/>
                <w:sz w:val="18"/>
                <w:szCs w:val="18"/>
              </w:rPr>
              <w:t xml:space="preserve">Responsable del SOC y cumplimiento normativo</w:t>
            </w:r>
          </w:p>
        </w:tc>
      </w:tr>
    </w:tbl>
    <w:p>
      <w:pPr>
        <w:spacing w:after="300"/>
      </w:pPr>
    </w:p>
    <w:p>
      <w:pPr>
        <w:pStyle w:val="Heading2"/>
        <w:spacing w:after="140" w:before="260"/>
      </w:pPr>
      <w:r>
        <w:rPr>
          <w:b/>
          <w:bCs/>
          <w:color w:val="2E5C8A"/>
          <w:sz w:val="25"/>
          <w:szCs w:val="25"/>
        </w:rPr>
        <w:t xml:space="preserve">6.2 Mapeo Consolidado a Políticas de Negocio / Organizacionales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2A44" w:val="clear"/>
            <w:tcMar>
              <w:top w:type="dxa" w:w="60"/>
              <w:left w:type="dxa" w:w="100"/>
              <w:bottom w:type="dxa" w:w="60"/>
              <w:right w:type="dxa" w:w="100"/>
            </w:tcMar>
            <w:vAlign w:val="center"/>
          </w:tcPr>
          <w:p>
            <w:r>
              <w:rPr>
                <w:b/>
                <w:bCs/>
                <w:color w:val="FFFFFF"/>
                <w:sz w:val="18"/>
                <w:szCs w:val="18"/>
              </w:rPr>
              <w:t xml:space="preserve">ID ABB</w:t>
            </w:r>
          </w:p>
        </w:tc>
        <w:tc>
          <w:tcPr>
            <w:tcW w:type="dxa" w:w="8000"/>
            <w:shd w:fill="1F2A44" w:val="clear"/>
            <w:tcMar>
              <w:top w:type="dxa" w:w="60"/>
              <w:left w:type="dxa" w:w="100"/>
              <w:bottom w:type="dxa" w:w="60"/>
              <w:right w:type="dxa" w:w="100"/>
            </w:tcMar>
            <w:vAlign w:val="center"/>
          </w:tcPr>
          <w:p>
            <w:r>
              <w:rPr>
                <w:b/>
                <w:bCs/>
                <w:color w:val="FFFFFF"/>
                <w:sz w:val="18"/>
                <w:szCs w:val="18"/>
              </w:rPr>
              <w:t xml:space="preserve">Política / Estándar Principal Aplicable</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ABB-N-001</w:t>
            </w:r>
          </w:p>
        </w:tc>
        <w:tc>
          <w:tcPr>
            <w:tcW w:type="dxa" w:w="8000"/>
            <w:shd w:fill="FFFFFF" w:val="clear"/>
            <w:tcMar>
              <w:top w:type="dxa" w:w="60"/>
              <w:left w:type="dxa" w:w="100"/>
              <w:bottom w:type="dxa" w:w="60"/>
              <w:right w:type="dxa" w:w="100"/>
            </w:tcMar>
            <w:vAlign w:val="center"/>
          </w:tcPr>
          <w:p>
            <w:r>
              <w:rPr>
                <w:b w:val="false"/>
                <w:bCs w:val="false"/>
                <w:sz w:val="18"/>
                <w:szCs w:val="18"/>
              </w:rPr>
              <w:t xml:space="preserve">Ley de Gobierno Digital (D.L. N.° 1412); WCAG 2.1 AA; Principio de Orientación al Ciudadano</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ABB-N-002</w:t>
            </w:r>
          </w:p>
        </w:tc>
        <w:tc>
          <w:tcPr>
            <w:tcW w:type="dxa" w:w="8000"/>
            <w:shd w:fill="F2F2F2" w:val="clear"/>
            <w:tcMar>
              <w:top w:type="dxa" w:w="60"/>
              <w:left w:type="dxa" w:w="100"/>
              <w:bottom w:type="dxa" w:w="60"/>
              <w:right w:type="dxa" w:w="100"/>
            </w:tcMar>
            <w:vAlign w:val="center"/>
          </w:tcPr>
          <w:p>
            <w:r>
              <w:rPr>
                <w:b w:val="false"/>
                <w:bCs w:val="false"/>
                <w:sz w:val="18"/>
                <w:szCs w:val="18"/>
              </w:rPr>
              <w:t xml:space="preserve">TUPA institucional; Ley N.° 27444 de Procedimiento Administrativo General</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ABB-D-001</w:t>
            </w:r>
          </w:p>
        </w:tc>
        <w:tc>
          <w:tcPr>
            <w:tcW w:type="dxa" w:w="8000"/>
            <w:shd w:fill="FFFFFF" w:val="clear"/>
            <w:tcMar>
              <w:top w:type="dxa" w:w="60"/>
              <w:left w:type="dxa" w:w="100"/>
              <w:bottom w:type="dxa" w:w="60"/>
              <w:right w:type="dxa" w:w="100"/>
            </w:tcMar>
            <w:vAlign w:val="center"/>
          </w:tcPr>
          <w:p>
            <w:r>
              <w:rPr>
                <w:b w:val="false"/>
                <w:bCs w:val="false"/>
                <w:sz w:val="18"/>
                <w:szCs w:val="18"/>
              </w:rPr>
              <w:t xml:space="preserve">Ley N.° 29733 de Protección de Datos Personales; Principio Datos como Activo Estratégico</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ABB-D-002</w:t>
            </w:r>
          </w:p>
        </w:tc>
        <w:tc>
          <w:tcPr>
            <w:tcW w:type="dxa" w:w="8000"/>
            <w:shd w:fill="F2F2F2" w:val="clear"/>
            <w:tcMar>
              <w:top w:type="dxa" w:w="60"/>
              <w:left w:type="dxa" w:w="100"/>
              <w:bottom w:type="dxa" w:w="60"/>
              <w:right w:type="dxa" w:w="100"/>
            </w:tcMar>
            <w:vAlign w:val="center"/>
          </w:tcPr>
          <w:p>
            <w:r>
              <w:rPr>
                <w:b w:val="false"/>
                <w:bCs w:val="false"/>
                <w:sz w:val="18"/>
                <w:szCs w:val="18"/>
              </w:rPr>
              <w:t xml:space="preserve">Principio de Calidad e Integridad de los Datos; Lineamientos de Gobierno Digital (PCM)</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ABB-A-001</w:t>
            </w:r>
          </w:p>
        </w:tc>
        <w:tc>
          <w:tcPr>
            <w:tcW w:type="dxa" w:w="8000"/>
            <w:shd w:fill="FFFFFF" w:val="clear"/>
            <w:tcMar>
              <w:top w:type="dxa" w:w="60"/>
              <w:left w:type="dxa" w:w="100"/>
              <w:bottom w:type="dxa" w:w="60"/>
              <w:right w:type="dxa" w:w="100"/>
            </w:tcMar>
            <w:vAlign w:val="center"/>
          </w:tcPr>
          <w:p>
            <w:r>
              <w:rPr>
                <w:b w:val="false"/>
                <w:bCs w:val="false"/>
                <w:sz w:val="18"/>
                <w:szCs w:val="18"/>
              </w:rPr>
              <w:t xml:space="preserve">Plataforma de Interoperabilidad del Estado (PIDE); Estándares REST/OpenAPI</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ABB-A-002</w:t>
            </w:r>
          </w:p>
        </w:tc>
        <w:tc>
          <w:tcPr>
            <w:tcW w:type="dxa" w:w="8000"/>
            <w:shd w:fill="F2F2F2" w:val="clear"/>
            <w:tcMar>
              <w:top w:type="dxa" w:w="60"/>
              <w:left w:type="dxa" w:w="100"/>
              <w:bottom w:type="dxa" w:w="60"/>
              <w:right w:type="dxa" w:w="100"/>
            </w:tcMar>
            <w:vAlign w:val="center"/>
          </w:tcPr>
          <w:p>
            <w:r>
              <w:rPr>
                <w:b w:val="false"/>
                <w:bCs w:val="false"/>
                <w:sz w:val="18"/>
                <w:szCs w:val="18"/>
              </w:rPr>
              <w:t xml:space="preserve">Ley de Gobierno Digital (D.L. N.° 1412); Normativa de Firma Digital del Estado Peruano</w:t>
            </w:r>
          </w:p>
        </w:tc>
      </w:tr>
      <w:tr>
        <w:tc>
          <w:tcPr>
            <w:tcW w:type="dxa" w:w="1400"/>
            <w:shd w:fill="FFFFFF" w:val="clear"/>
            <w:tcMar>
              <w:top w:type="dxa" w:w="60"/>
              <w:left w:type="dxa" w:w="100"/>
              <w:bottom w:type="dxa" w:w="60"/>
              <w:right w:type="dxa" w:w="100"/>
            </w:tcMar>
            <w:vAlign w:val="center"/>
          </w:tcPr>
          <w:p>
            <w:r>
              <w:rPr>
                <w:b w:val="false"/>
                <w:bCs w:val="false"/>
                <w:sz w:val="18"/>
                <w:szCs w:val="18"/>
              </w:rPr>
              <w:t xml:space="preserve">ABB-T-001</w:t>
            </w:r>
          </w:p>
        </w:tc>
        <w:tc>
          <w:tcPr>
            <w:tcW w:type="dxa" w:w="8000"/>
            <w:shd w:fill="FFFFFF" w:val="clear"/>
            <w:tcMar>
              <w:top w:type="dxa" w:w="60"/>
              <w:left w:type="dxa" w:w="100"/>
              <w:bottom w:type="dxa" w:w="60"/>
              <w:right w:type="dxa" w:w="100"/>
            </w:tcMar>
            <w:vAlign w:val="center"/>
          </w:tcPr>
          <w:p>
            <w:r>
              <w:rPr>
                <w:b w:val="false"/>
                <w:bCs w:val="false"/>
                <w:sz w:val="18"/>
                <w:szCs w:val="18"/>
              </w:rPr>
              <w:t xml:space="preserve">Nube de Gobierno del Estado Peruano; Política de Continuidad Operativa</w:t>
            </w:r>
          </w:p>
        </w:tc>
      </w:tr>
      <w:tr>
        <w:tc>
          <w:tcPr>
            <w:tcW w:type="dxa" w:w="1400"/>
            <w:shd w:fill="F2F2F2" w:val="clear"/>
            <w:tcMar>
              <w:top w:type="dxa" w:w="60"/>
              <w:left w:type="dxa" w:w="100"/>
              <w:bottom w:type="dxa" w:w="60"/>
              <w:right w:type="dxa" w:w="100"/>
            </w:tcMar>
            <w:vAlign w:val="center"/>
          </w:tcPr>
          <w:p>
            <w:r>
              <w:rPr>
                <w:b w:val="false"/>
                <w:bCs w:val="false"/>
                <w:sz w:val="18"/>
                <w:szCs w:val="18"/>
              </w:rPr>
              <w:t xml:space="preserve">ABB-T-002</w:t>
            </w:r>
          </w:p>
        </w:tc>
        <w:tc>
          <w:tcPr>
            <w:tcW w:type="dxa" w:w="8000"/>
            <w:shd w:fill="F2F2F2" w:val="clear"/>
            <w:tcMar>
              <w:top w:type="dxa" w:w="60"/>
              <w:left w:type="dxa" w:w="100"/>
              <w:bottom w:type="dxa" w:w="60"/>
              <w:right w:type="dxa" w:w="100"/>
            </w:tcMar>
            <w:vAlign w:val="center"/>
          </w:tcPr>
          <w:p>
            <w:r>
              <w:rPr>
                <w:b w:val="false"/>
                <w:bCs w:val="false"/>
                <w:sz w:val="18"/>
                <w:szCs w:val="18"/>
              </w:rPr>
              <w:t xml:space="preserve">ISO/IEC 27001; Política de Ciberseguridad Municipal</w:t>
            </w:r>
          </w:p>
        </w:tc>
      </w:tr>
    </w:tbl>
    <w:p>
      <w:pPr>
        <w:spacing w:after="300"/>
      </w:pPr>
    </w:p>
    <w:p>
      <w:pPr>
        <w:pStyle w:val="Heading2"/>
        <w:spacing w:after="140" w:before="260"/>
      </w:pPr>
      <w:r>
        <w:rPr>
          <w:b/>
          <w:bCs/>
          <w:color w:val="2E5C8A"/>
          <w:sz w:val="25"/>
          <w:szCs w:val="25"/>
        </w:rPr>
        <w:t xml:space="preserve">6.3 Trazabilidad hacia las Fases Siguientes del ADM</w:t>
      </w:r>
    </w:p>
    <w:p>
      <w:pPr>
        <w:spacing w:after="120"/>
      </w:pPr>
      <w:r>
        <w:t xml:space="preserve">Los ABB documentados en este catálogo constituyen el insumo de referencia para:</w:t>
      </w:r>
    </w:p>
    <w:p>
      <w:pPr>
        <w:pStyle w:val="ListParagraph"/>
        <w:numPr>
          <w:ilvl w:val="0"/>
          <w:numId w:val="1"/>
        </w:numPr>
        <w:spacing w:after="60"/>
      </w:pPr>
      <w:r>
        <w:t xml:space="preserve">Fase E — Oportunidades y Soluciones: identificación y priorización de los Solution Building Blocks (SBB) y de los Work Packages asociados.</w:t>
      </w:r>
    </w:p>
    <w:p>
      <w:pPr>
        <w:pStyle w:val="ListParagraph"/>
        <w:numPr>
          <w:ilvl w:val="0"/>
          <w:numId w:val="1"/>
        </w:numPr>
        <w:spacing w:after="60"/>
      </w:pPr>
      <w:r>
        <w:t xml:space="preserve">Fase F — Planificación de la Migración: secuenciamiento de las Arquitecturas de Transición (AT-1, AT-2, AT-3).</w:t>
      </w:r>
    </w:p>
    <w:p>
      <w:pPr>
        <w:pStyle w:val="ListParagraph"/>
        <w:numPr>
          <w:ilvl w:val="0"/>
          <w:numId w:val="1"/>
        </w:numPr>
        <w:spacing w:after="60"/>
      </w:pPr>
      <w:r>
        <w:t xml:space="preserve">Fase G — Gobierno de la Implementación: verificación de conformidad de cada SBB frente al ABB que implementa (Compliance Review).</w:t>
      </w:r>
    </w:p>
    <w:p>
      <w:pPr>
        <w:pStyle w:val="ListParagraph"/>
        <w:numPr>
          <w:ilvl w:val="0"/>
          <w:numId w:val="1"/>
        </w:numPr>
        <w:spacing w:after="60"/>
      </w:pPr>
      <w:r>
        <w:t xml:space="preserve">Fase H — Gestión del Cambio Arquitectónico: evaluación de solicitudes de cambio (Architecture Change Request) que afecten a uno o más ABB.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6"/>
        <w:szCs w:val="16"/>
      </w:rPr>
      <w:t xml:space="preserve">Página </w:t>
    </w:r>
    <w:r>
      <w:rPr>
        <w:color w:val="8899AA"/>
        <w:sz w:val="16"/>
        <w:szCs w:val="16"/>
      </w:rPr>
      <w:fldChar w:fldCharType="begin"/>
      <w:instrText xml:space="preserve">PAGE</w:instrText>
      <w:fldChar w:fldCharType="separate"/>
      <w:fldChar w:fldCharType="end"/>
    </w:r>
    <w:r>
      <w:rPr>
        <w:color w:val="8899AA"/>
        <w:sz w:val="16"/>
        <w:szCs w:val="16"/>
      </w:rPr>
      <w:t xml:space="preserve"> de </w:t>
    </w:r>
    <w:r>
      <w:rPr>
        <w:color w:val="8899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99AA"/>
        <w:sz w:val="15"/>
        <w:szCs w:val="15"/>
      </w:rPr>
      <w:t xml:space="preserve">Architecture Building Blocks · MML · ABB-CAT-MML-v0.1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2026-07-02T00:53:27.061Z</dcterms:created>
  <dcterms:modified xsi:type="dcterms:W3CDTF">2026-07-02T00:53:27.074Z</dcterms:modified>
</cp:coreProperties>
</file>

<file path=docProps/custom.xml><?xml version="1.0" encoding="utf-8"?>
<Properties xmlns="http://schemas.openxmlformats.org/officeDocument/2006/custom-properties" xmlns:vt="http://schemas.openxmlformats.org/officeDocument/2006/docPropsVTypes"/>
</file>