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1F3864"/>
          <w:sz w:val="28"/>
          <w:szCs w:val="28"/>
        </w:rPr>
        <w:t xml:space="preserve">UNIVERSIDAD NACIONAL DE INGENIERÍA</w:t>
      </w:r>
    </w:p>
    <w:p>
      <w:pPr>
        <w:jc w:val="center"/>
      </w:pPr>
      <w:r>
        <w:rPr>
          <w:b/>
          <w:bCs/>
          <w:color w:val="1F3864"/>
          <w:sz w:val="22"/>
          <w:szCs w:val="22"/>
        </w:rPr>
        <w:t xml:space="preserve">FACULTAD DE INGENIERÍA INDUSTRIAL Y SISTEMAS</w:t>
      </w:r>
    </w:p>
    <w:p>
      <w:r>
        <w:t xml:space="preserve"/>
      </w:r>
    </w:p>
    <w:p>
      <w:pPr>
        <w:jc w:val="center"/>
      </w:pPr>
      <w:r>
        <w:rPr>
          <w:b/>
          <w:bCs/>
          <w:color w:val="2E74B5"/>
          <w:sz w:val="26"/>
          <w:szCs w:val="26"/>
        </w:rPr>
        <w:t xml:space="preserve">APLICACIÓN DE TOGAF A LA MUNICIPALIDAD METROPOLITANA DE LIMA</w:t>
      </w:r>
    </w:p>
    <w:p>
      <w:r>
        <w:t xml:space="preserve"/>
      </w:r>
    </w:p>
    <w:p>
      <w:pPr>
        <w:jc w:val="center"/>
      </w:pPr>
      <w:r>
        <w:rPr>
          <w:b/>
          <w:bCs/>
          <w:color w:val="1F3864"/>
          <w:sz w:val="28"/>
          <w:szCs w:val="28"/>
        </w:rPr>
        <w:t xml:space="preserve">FASE B: ARQUITECTURA DE NEGOCIO</w:t>
      </w:r>
    </w:p>
    <w:p>
      <w:r>
        <w:t xml:space="preserve"/>
      </w:r>
    </w:p>
    <w:p>
      <w:pPr>
        <w:jc w:val="center"/>
      </w:pPr>
      <w:r>
        <w:rPr>
          <w:b/>
          <w:bCs/>
          <w:color w:val="1F3864"/>
          <w:sz w:val="32"/>
          <w:szCs w:val="32"/>
        </w:rPr>
        <w:t xml:space="preserve">Documento de Definición de Arquitectura</w:t>
      </w:r>
    </w:p>
    <w:p>
      <w:pPr>
        <w:jc w:val="center"/>
      </w:pPr>
      <w:r>
        <w:rPr>
          <w:color w:val="404040"/>
          <w:sz w:val="22"/>
          <w:szCs w:val="22"/>
        </w:rPr>
        <w:t xml:space="preserve">Versión 2.0 — Entregable TOGAF Fase B</w:t>
      </w:r>
    </w:p>
    <w:p>
      <w:r>
        <w:t xml:space="preserve"/>
      </w:r>
    </w:p>
    <w:p>
      <w:r>
        <w:t xml:space="preserve"/>
      </w:r>
    </w:p>
    <w:p>
      <w:pPr>
        <w:jc w:val="center"/>
      </w:pPr>
      <w:r>
        <w:rPr>
          <w:b/>
          <w:bCs/>
          <w:sz w:val="22"/>
          <w:szCs w:val="22"/>
        </w:rPr>
        <w:t xml:space="preserve">Integrantes:</w:t>
      </w:r>
    </w:p>
    <w:p>
      <w:pPr>
        <w:jc w:val="center"/>
      </w:pPr>
      <w:r>
        <w:rPr>
          <w:sz w:val="20"/>
          <w:szCs w:val="20"/>
        </w:rPr>
        <w:t xml:space="preserve">Chirinos Paredes, Fernando Angel — 20221247C</w:t>
      </w:r>
    </w:p>
    <w:p>
      <w:pPr>
        <w:jc w:val="center"/>
      </w:pPr>
      <w:r>
        <w:rPr>
          <w:sz w:val="20"/>
          <w:szCs w:val="20"/>
        </w:rPr>
        <w:t xml:space="preserve">Ruiz Luna, Dair Aldrin — 20212141A</w:t>
      </w:r>
    </w:p>
    <w:p>
      <w:pPr>
        <w:jc w:val="center"/>
      </w:pPr>
      <w:r>
        <w:rPr>
          <w:sz w:val="20"/>
          <w:szCs w:val="20"/>
        </w:rPr>
        <w:t xml:space="preserve">Garcia Retuerto, Jholvis Juan — 20221013B</w:t>
      </w:r>
    </w:p>
    <w:p>
      <w:pPr>
        <w:jc w:val="center"/>
      </w:pPr>
      <w:r>
        <w:rPr>
          <w:sz w:val="20"/>
          <w:szCs w:val="20"/>
        </w:rPr>
        <w:t xml:space="preserve">Jaramillo Blanco, Lenin Anderson — 20212632E</w:t>
      </w:r>
    </w:p>
    <w:p>
      <w:pPr>
        <w:jc w:val="center"/>
      </w:pPr>
      <w:r>
        <w:rPr>
          <w:sz w:val="20"/>
          <w:szCs w:val="20"/>
        </w:rPr>
        <w:t xml:space="preserve">Ramos Lopez, Denilson David Giovanni — 20191240F</w:t>
      </w:r>
    </w:p>
    <w:p>
      <w:pPr>
        <w:jc w:val="center"/>
      </w:pPr>
      <w:r>
        <w:rPr>
          <w:sz w:val="20"/>
          <w:szCs w:val="20"/>
        </w:rPr>
        <w:t xml:space="preserve">Vila Chahua, Jean Paul — 20170035D</w:t>
      </w:r>
    </w:p>
    <w:p>
      <w:pPr>
        <w:jc w:val="center"/>
      </w:pPr>
      <w:r>
        <w:rPr>
          <w:sz w:val="20"/>
          <w:szCs w:val="20"/>
        </w:rPr>
        <w:t xml:space="preserve">Chauvet, Loriano Celso Gaby — II2026102</w:t>
      </w:r>
    </w:p>
    <w:p>
      <w:r>
        <w:t xml:space="preserve"/>
      </w:r>
    </w:p>
    <w:p>
      <w:pPr>
        <w:jc w:val="center"/>
      </w:pPr>
      <w:r>
        <w:rPr>
          <w:sz w:val="22"/>
          <w:szCs w:val="22"/>
        </w:rPr>
        <w:t xml:space="preserve">Docente: Tobías Enrique Aliaga Vílchez</w:t>
      </w:r>
    </w:p>
    <w:p>
      <w:pPr>
        <w:jc w:val="center"/>
      </w:pPr>
      <w:r>
        <w:rPr>
          <w:sz w:val="22"/>
          <w:szCs w:val="22"/>
        </w:rPr>
        <w:t xml:space="preserve">SI605U: Arquitectura Empresarial</w:t>
      </w:r>
    </w:p>
    <w:p>
      <w:pPr>
        <w:jc w:val="center"/>
      </w:pPr>
      <w:r>
        <w:rPr>
          <w:sz w:val="22"/>
          <w:szCs w:val="22"/>
        </w:rPr>
        <w:t xml:space="preserve">Lima – Perú · Abril 2026</w:t>
      </w:r>
    </w:p>
    <w:p>
      <w:r>
        <w:br w:type="page"/>
      </w:r>
    </w:p>
    <w:p>
      <w:pPr>
        <w:pStyle w:val="Heading1"/>
        <w:spacing w:after="120" w:before="240"/>
      </w:pPr>
      <w:r>
        <w:rPr>
          <w:b/>
          <w:bCs/>
          <w:color w:val="1F3864"/>
          <w:sz w:val="32"/>
          <w:szCs w:val="32"/>
        </w:rPr>
        <w:t xml:space="preserve">Información del Documento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400"/>
      </w:tblGrid>
      <w:tr>
        <w:trPr>
          <w:tblHeader/>
        </w:trPr>
        <w:tc>
          <w:tcPr>
            <w:tcW w:type="dxa" w:w="2400"/>
            <w:shd w:fill="1F3864" w:val="clear"/>
          </w:tcPr>
          <w:p>
            <w:pPr>
              <w:jc w:val="center"/>
            </w:pPr>
            <w:r>
              <w:rPr>
                <w:b/>
                <w:bCs/>
                <w:color w:val="FFFFFF"/>
                <w:sz w:val="18"/>
                <w:szCs w:val="18"/>
              </w:rPr>
              <w:t xml:space="preserve">Campo</w:t>
            </w:r>
          </w:p>
        </w:tc>
        <w:tc>
          <w:tcPr>
            <w:tcW w:type="dxa" w:w="6400"/>
            <w:shd w:fill="1F3864" w:val="clear"/>
          </w:tcPr>
          <w:p>
            <w:pPr>
              <w:jc w:val="center"/>
            </w:pPr>
            <w:r>
              <w:rPr>
                <w:b/>
                <w:bCs/>
                <w:color w:val="FFFFFF"/>
                <w:sz w:val="18"/>
                <w:szCs w:val="18"/>
              </w:rPr>
              <w:t xml:space="preserve">Detalle</w:t>
            </w:r>
          </w:p>
        </w:tc>
      </w:tr>
      <w:tr>
        <w:tc>
          <w:tcPr>
            <w:tcW w:type="dxa" w:w="2400"/>
            <w:shd w:fill="FFFFFF" w:val="clear"/>
          </w:tcPr>
          <w:p>
            <w:pPr>
              <w:spacing w:after="40" w:before="40"/>
              <w:jc w:val="left"/>
            </w:pPr>
            <w:r>
              <w:rPr>
                <w:sz w:val="18"/>
                <w:szCs w:val="18"/>
              </w:rPr>
              <w:t xml:space="preserve">Proyecto</w:t>
            </w:r>
          </w:p>
        </w:tc>
        <w:tc>
          <w:tcPr>
            <w:tcW w:type="dxa" w:w="6400"/>
            <w:shd w:fill="FFFFFF" w:val="clear"/>
          </w:tcPr>
          <w:p>
            <w:pPr>
              <w:spacing w:after="40" w:before="40"/>
              <w:jc w:val="left"/>
            </w:pPr>
            <w:r>
              <w:rPr>
                <w:sz w:val="18"/>
                <w:szCs w:val="18"/>
              </w:rPr>
              <w:t xml:space="preserve">Aplicación de TOGAF — Municipalidad Metropolitana de Lima (MML)</w:t>
            </w:r>
          </w:p>
        </w:tc>
      </w:tr>
      <w:tr>
        <w:tc>
          <w:tcPr>
            <w:tcW w:type="dxa" w:w="2400"/>
            <w:shd w:fill="D6E4F7" w:val="clear"/>
          </w:tcPr>
          <w:p>
            <w:pPr>
              <w:spacing w:after="40" w:before="40"/>
              <w:jc w:val="left"/>
            </w:pPr>
            <w:r>
              <w:rPr>
                <w:sz w:val="18"/>
                <w:szCs w:val="18"/>
              </w:rPr>
              <w:t xml:space="preserve">Título del documento</w:t>
            </w:r>
          </w:p>
        </w:tc>
        <w:tc>
          <w:tcPr>
            <w:tcW w:type="dxa" w:w="6400"/>
            <w:shd w:fill="D6E4F7" w:val="clear"/>
          </w:tcPr>
          <w:p>
            <w:pPr>
              <w:spacing w:after="40" w:before="40"/>
              <w:jc w:val="left"/>
            </w:pPr>
            <w:r>
              <w:rPr>
                <w:sz w:val="18"/>
                <w:szCs w:val="18"/>
              </w:rPr>
              <w:t xml:space="preserve">Documento de Definición de Arquitectura — Fase B v2</w:t>
            </w:r>
          </w:p>
        </w:tc>
      </w:tr>
      <w:tr>
        <w:tc>
          <w:tcPr>
            <w:tcW w:type="dxa" w:w="2400"/>
            <w:shd w:fill="FFFFFF" w:val="clear"/>
          </w:tcPr>
          <w:p>
            <w:pPr>
              <w:spacing w:after="40" w:before="40"/>
              <w:jc w:val="left"/>
            </w:pPr>
            <w:r>
              <w:rPr>
                <w:sz w:val="18"/>
                <w:szCs w:val="18"/>
              </w:rPr>
              <w:t xml:space="preserve">Fase ADM</w:t>
            </w:r>
          </w:p>
        </w:tc>
        <w:tc>
          <w:tcPr>
            <w:tcW w:type="dxa" w:w="6400"/>
            <w:shd w:fill="FFFFFF" w:val="clear"/>
          </w:tcPr>
          <w:p>
            <w:pPr>
              <w:spacing w:after="40" w:before="40"/>
              <w:jc w:val="left"/>
            </w:pPr>
            <w:r>
              <w:rPr>
                <w:sz w:val="18"/>
                <w:szCs w:val="18"/>
              </w:rPr>
              <w:t xml:space="preserve">Fase B — Arquitectura de Negocio (Business Architecture)</w:t>
            </w:r>
          </w:p>
        </w:tc>
      </w:tr>
      <w:tr>
        <w:tc>
          <w:tcPr>
            <w:tcW w:type="dxa" w:w="2400"/>
            <w:shd w:fill="D6E4F7" w:val="clear"/>
          </w:tcPr>
          <w:p>
            <w:pPr>
              <w:spacing w:after="40" w:before="40"/>
              <w:jc w:val="left"/>
            </w:pPr>
            <w:r>
              <w:rPr>
                <w:sz w:val="18"/>
                <w:szCs w:val="18"/>
              </w:rPr>
              <w:t xml:space="preserve">Versión</w:t>
            </w:r>
          </w:p>
        </w:tc>
        <w:tc>
          <w:tcPr>
            <w:tcW w:type="dxa" w:w="6400"/>
            <w:shd w:fill="D6E4F7" w:val="clear"/>
          </w:tcPr>
          <w:p>
            <w:pPr>
              <w:spacing w:after="40" w:before="40"/>
              <w:jc w:val="left"/>
            </w:pPr>
            <w:r>
              <w:rPr>
                <w:sz w:val="18"/>
                <w:szCs w:val="18"/>
              </w:rPr>
              <w:t xml:space="preserve">2.0</w:t>
            </w:r>
          </w:p>
        </w:tc>
      </w:tr>
      <w:tr>
        <w:tc>
          <w:tcPr>
            <w:tcW w:type="dxa" w:w="2400"/>
            <w:shd w:fill="FFFFFF" w:val="clear"/>
          </w:tcPr>
          <w:p>
            <w:pPr>
              <w:spacing w:after="40" w:before="40"/>
              <w:jc w:val="left"/>
            </w:pPr>
            <w:r>
              <w:rPr>
                <w:sz w:val="18"/>
                <w:szCs w:val="18"/>
              </w:rPr>
              <w:t xml:space="preserve">Estado</w:t>
            </w:r>
          </w:p>
        </w:tc>
        <w:tc>
          <w:tcPr>
            <w:tcW w:type="dxa" w:w="6400"/>
            <w:shd w:fill="FFFFFF" w:val="clear"/>
          </w:tcPr>
          <w:p>
            <w:pPr>
              <w:spacing w:after="40" w:before="40"/>
              <w:jc w:val="left"/>
            </w:pPr>
            <w:r>
              <w:rPr>
                <w:sz w:val="18"/>
                <w:szCs w:val="18"/>
              </w:rPr>
              <w:t xml:space="preserve">Aprobado por el Comité de Arquitectura Empresarial</w:t>
            </w:r>
          </w:p>
        </w:tc>
      </w:tr>
      <w:tr>
        <w:tc>
          <w:tcPr>
            <w:tcW w:type="dxa" w:w="2400"/>
            <w:shd w:fill="D6E4F7" w:val="clear"/>
          </w:tcPr>
          <w:p>
            <w:pPr>
              <w:spacing w:after="40" w:before="40"/>
              <w:jc w:val="left"/>
            </w:pPr>
            <w:r>
              <w:rPr>
                <w:sz w:val="18"/>
                <w:szCs w:val="18"/>
              </w:rPr>
              <w:t xml:space="preserve">Elaborado por</w:t>
            </w:r>
          </w:p>
        </w:tc>
        <w:tc>
          <w:tcPr>
            <w:tcW w:type="dxa" w:w="6400"/>
            <w:shd w:fill="D6E4F7" w:val="clear"/>
          </w:tcPr>
          <w:p>
            <w:pPr>
              <w:spacing w:after="40" w:before="40"/>
              <w:jc w:val="left"/>
            </w:pPr>
            <w:r>
              <w:rPr>
                <w:sz w:val="18"/>
                <w:szCs w:val="18"/>
              </w:rPr>
              <w:t xml:space="preserve">Equipo de Arquitectura Empresarial — FIIS-UNI, Grupo 3</w:t>
            </w:r>
          </w:p>
        </w:tc>
      </w:tr>
      <w:tr>
        <w:tc>
          <w:tcPr>
            <w:tcW w:type="dxa" w:w="2400"/>
            <w:shd w:fill="FFFFFF" w:val="clear"/>
          </w:tcPr>
          <w:p>
            <w:pPr>
              <w:spacing w:after="40" w:before="40"/>
              <w:jc w:val="left"/>
            </w:pPr>
            <w:r>
              <w:rPr>
                <w:sz w:val="18"/>
                <w:szCs w:val="18"/>
              </w:rPr>
              <w:t xml:space="preserve">Revisado por</w:t>
            </w:r>
          </w:p>
        </w:tc>
        <w:tc>
          <w:tcPr>
            <w:tcW w:type="dxa" w:w="6400"/>
            <w:shd w:fill="FFFFFF" w:val="clear"/>
          </w:tcPr>
          <w:p>
            <w:pPr>
              <w:spacing w:after="40" w:before="40"/>
              <w:jc w:val="left"/>
            </w:pPr>
            <w:r>
              <w:rPr>
                <w:sz w:val="18"/>
                <w:szCs w:val="18"/>
              </w:rPr>
              <w:t xml:space="preserve">Arquitecto Empresarial Principal</w:t>
            </w:r>
          </w:p>
        </w:tc>
      </w:tr>
      <w:tr>
        <w:tc>
          <w:tcPr>
            <w:tcW w:type="dxa" w:w="2400"/>
            <w:shd w:fill="D6E4F7" w:val="clear"/>
          </w:tcPr>
          <w:p>
            <w:pPr>
              <w:spacing w:after="40" w:before="40"/>
              <w:jc w:val="left"/>
            </w:pPr>
            <w:r>
              <w:rPr>
                <w:sz w:val="18"/>
                <w:szCs w:val="18"/>
              </w:rPr>
              <w:t xml:space="preserve">Aprobado por</w:t>
            </w:r>
          </w:p>
        </w:tc>
        <w:tc>
          <w:tcPr>
            <w:tcW w:type="dxa" w:w="6400"/>
            <w:shd w:fill="D6E4F7" w:val="clear"/>
          </w:tcPr>
          <w:p>
            <w:pPr>
              <w:spacing w:after="40" w:before="40"/>
              <w:jc w:val="left"/>
            </w:pPr>
            <w:r>
              <w:rPr>
                <w:sz w:val="18"/>
                <w:szCs w:val="18"/>
              </w:rPr>
              <w:t xml:space="preserve">Comité de Arquitectura Empresarial (Gerencia Municipal · Planificación · GTI)</w:t>
            </w:r>
          </w:p>
        </w:tc>
      </w:tr>
      <w:tr>
        <w:tc>
          <w:tcPr>
            <w:tcW w:type="dxa" w:w="2400"/>
            <w:shd w:fill="FFFFFF" w:val="clear"/>
          </w:tcPr>
          <w:p>
            <w:pPr>
              <w:spacing w:after="40" w:before="40"/>
              <w:jc w:val="left"/>
            </w:pPr>
            <w:r>
              <w:rPr>
                <w:sz w:val="18"/>
                <w:szCs w:val="18"/>
              </w:rPr>
              <w:t xml:space="preserve">Fecha</w:t>
            </w:r>
          </w:p>
        </w:tc>
        <w:tc>
          <w:tcPr>
            <w:tcW w:type="dxa" w:w="6400"/>
            <w:shd w:fill="FFFFFF" w:val="clear"/>
          </w:tcPr>
          <w:p>
            <w:pPr>
              <w:spacing w:after="40" w:before="40"/>
              <w:jc w:val="left"/>
            </w:pPr>
            <w:r>
              <w:rPr>
                <w:sz w:val="18"/>
                <w:szCs w:val="18"/>
              </w:rPr>
              <w:t xml:space="preserve">Abril 2026</w:t>
            </w:r>
          </w:p>
        </w:tc>
      </w:tr>
      <w:tr>
        <w:tc>
          <w:tcPr>
            <w:tcW w:type="dxa" w:w="2400"/>
            <w:shd w:fill="D6E4F7" w:val="clear"/>
          </w:tcPr>
          <w:p>
            <w:pPr>
              <w:spacing w:after="40" w:before="40"/>
              <w:jc w:val="left"/>
            </w:pPr>
            <w:r>
              <w:rPr>
                <w:sz w:val="18"/>
                <w:szCs w:val="18"/>
              </w:rPr>
              <w:t xml:space="preserve">SoAW de referencia</w:t>
            </w:r>
          </w:p>
        </w:tc>
        <w:tc>
          <w:tcPr>
            <w:tcW w:type="dxa" w:w="6400"/>
            <w:shd w:fill="D6E4F7" w:val="clear"/>
          </w:tcPr>
          <w:p>
            <w:pPr>
              <w:spacing w:after="40" w:before="40"/>
              <w:jc w:val="left"/>
            </w:pPr>
            <w:r>
              <w:rPr>
                <w:sz w:val="18"/>
                <w:szCs w:val="18"/>
              </w:rPr>
              <w:t xml:space="preserve">Statement of Architecture Work MML — autorizado el 05/03/2026</w:t>
            </w:r>
          </w:p>
        </w:tc>
      </w:tr>
    </w:tbl>
    <w:p>
      <w:r>
        <w:t xml:space="preserve"/>
      </w:r>
    </w:p>
    <w:p>
      <w:pPr>
        <w:pStyle w:val="Heading1"/>
        <w:spacing w:after="120" w:before="240"/>
      </w:pPr>
      <w:r>
        <w:rPr>
          <w:b/>
          <w:bCs/>
          <w:color w:val="1F3864"/>
          <w:sz w:val="32"/>
          <w:szCs w:val="32"/>
        </w:rPr>
        <w:t xml:space="preserve">Historial de Versiones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00"/>
        <w:gridCol w:w="1500"/>
        <w:gridCol w:w="5500"/>
      </w:tblGrid>
      <w:tr>
        <w:trPr>
          <w:tblHeader/>
        </w:trPr>
        <w:tc>
          <w:tcPr>
            <w:tcW w:type="dxa" w:w="900"/>
            <w:shd w:fill="1F3864" w:val="clear"/>
          </w:tcPr>
          <w:p>
            <w:pPr>
              <w:jc w:val="center"/>
            </w:pPr>
            <w:r>
              <w:rPr>
                <w:b/>
                <w:bCs/>
                <w:color w:val="FFFFFF"/>
                <w:sz w:val="18"/>
                <w:szCs w:val="18"/>
              </w:rPr>
              <w:t xml:space="preserve">Versión</w:t>
            </w:r>
          </w:p>
        </w:tc>
        <w:tc>
          <w:tcPr>
            <w:tcW w:type="dxa" w:w="900"/>
            <w:shd w:fill="1F3864" w:val="clear"/>
          </w:tcPr>
          <w:p>
            <w:pPr>
              <w:jc w:val="center"/>
            </w:pPr>
            <w:r>
              <w:rPr>
                <w:b/>
                <w:bCs/>
                <w:color w:val="FFFFFF"/>
                <w:sz w:val="18"/>
                <w:szCs w:val="18"/>
              </w:rPr>
              <w:t xml:space="preserve">Fecha</w:t>
            </w:r>
          </w:p>
        </w:tc>
        <w:tc>
          <w:tcPr>
            <w:tcW w:type="dxa" w:w="1500"/>
            <w:shd w:fill="1F3864" w:val="clear"/>
          </w:tcPr>
          <w:p>
            <w:pPr>
              <w:jc w:val="center"/>
            </w:pPr>
            <w:r>
              <w:rPr>
                <w:b/>
                <w:bCs/>
                <w:color w:val="FFFFFF"/>
                <w:sz w:val="18"/>
                <w:szCs w:val="18"/>
              </w:rPr>
              <w:t xml:space="preserve">Autor</w:t>
            </w:r>
          </w:p>
        </w:tc>
        <w:tc>
          <w:tcPr>
            <w:tcW w:type="dxa" w:w="5500"/>
            <w:shd w:fill="1F3864" w:val="clear"/>
          </w:tcPr>
          <w:p>
            <w:pPr>
              <w:jc w:val="center"/>
            </w:pPr>
            <w:r>
              <w:rPr>
                <w:b/>
                <w:bCs/>
                <w:color w:val="FFFFFF"/>
                <w:sz w:val="18"/>
                <w:szCs w:val="18"/>
              </w:rPr>
              <w:t xml:space="preserve">Descripción</w:t>
            </w:r>
          </w:p>
        </w:tc>
      </w:tr>
      <w:tr>
        <w:tc>
          <w:tcPr>
            <w:tcW w:type="dxa" w:w="900"/>
            <w:shd w:fill="FFFFFF" w:val="clear"/>
          </w:tcPr>
          <w:p>
            <w:pPr>
              <w:spacing w:after="40" w:before="40"/>
              <w:jc w:val="left"/>
            </w:pPr>
            <w:r>
              <w:rPr>
                <w:sz w:val="18"/>
                <w:szCs w:val="18"/>
              </w:rPr>
              <w:t xml:space="preserve">0.1</w:t>
            </w:r>
          </w:p>
        </w:tc>
        <w:tc>
          <w:tcPr>
            <w:tcW w:type="dxa" w:w="900"/>
            <w:shd w:fill="FFFFFF" w:val="clear"/>
          </w:tcPr>
          <w:p>
            <w:pPr>
              <w:spacing w:after="40" w:before="40"/>
              <w:jc w:val="left"/>
            </w:pPr>
            <w:r>
              <w:rPr>
                <w:sz w:val="18"/>
                <w:szCs w:val="18"/>
              </w:rPr>
              <w:t xml:space="preserve">Mar 2026</w:t>
            </w:r>
          </w:p>
        </w:tc>
        <w:tc>
          <w:tcPr>
            <w:tcW w:type="dxa" w:w="1500"/>
            <w:shd w:fill="FFFFFF" w:val="clear"/>
          </w:tcPr>
          <w:p>
            <w:pPr>
              <w:spacing w:after="40" w:before="40"/>
              <w:jc w:val="left"/>
            </w:pPr>
            <w:r>
              <w:rPr>
                <w:sz w:val="18"/>
                <w:szCs w:val="18"/>
              </w:rPr>
              <w:t xml:space="preserve">Equipo AE</w:t>
            </w:r>
          </w:p>
        </w:tc>
        <w:tc>
          <w:tcPr>
            <w:tcW w:type="dxa" w:w="5500"/>
            <w:shd w:fill="FFFFFF" w:val="clear"/>
          </w:tcPr>
          <w:p>
            <w:pPr>
              <w:spacing w:after="40" w:before="40"/>
              <w:jc w:val="left"/>
            </w:pPr>
            <w:r>
              <w:rPr>
                <w:sz w:val="18"/>
                <w:szCs w:val="18"/>
              </w:rPr>
              <w:t xml:space="preserve">Estructura inicial a partir de plantilla TOGAF 9.</w:t>
            </w:r>
          </w:p>
        </w:tc>
      </w:tr>
      <w:tr>
        <w:tc>
          <w:tcPr>
            <w:tcW w:type="dxa" w:w="900"/>
            <w:shd w:fill="D6E4F7" w:val="clear"/>
          </w:tcPr>
          <w:p>
            <w:pPr>
              <w:spacing w:after="40" w:before="40"/>
              <w:jc w:val="left"/>
            </w:pPr>
            <w:r>
              <w:rPr>
                <w:sz w:val="18"/>
                <w:szCs w:val="18"/>
              </w:rPr>
              <w:t xml:space="preserve">0.5</w:t>
            </w:r>
          </w:p>
        </w:tc>
        <w:tc>
          <w:tcPr>
            <w:tcW w:type="dxa" w:w="900"/>
            <w:shd w:fill="D6E4F7" w:val="clear"/>
          </w:tcPr>
          <w:p>
            <w:pPr>
              <w:spacing w:after="40" w:before="40"/>
              <w:jc w:val="left"/>
            </w:pPr>
            <w:r>
              <w:rPr>
                <w:sz w:val="18"/>
                <w:szCs w:val="18"/>
              </w:rPr>
              <w:t xml:space="preserve">Mar 2026</w:t>
            </w:r>
          </w:p>
        </w:tc>
        <w:tc>
          <w:tcPr>
            <w:tcW w:type="dxa" w:w="1500"/>
            <w:shd w:fill="D6E4F7" w:val="clear"/>
          </w:tcPr>
          <w:p>
            <w:pPr>
              <w:spacing w:after="40" w:before="40"/>
              <w:jc w:val="left"/>
            </w:pPr>
            <w:r>
              <w:rPr>
                <w:sz w:val="18"/>
                <w:szCs w:val="18"/>
              </w:rPr>
              <w:t xml:space="preserve">Equipo AE</w:t>
            </w:r>
          </w:p>
        </w:tc>
        <w:tc>
          <w:tcPr>
            <w:tcW w:type="dxa" w:w="5500"/>
            <w:shd w:fill="D6E4F7" w:val="clear"/>
          </w:tcPr>
          <w:p>
            <w:pPr>
              <w:spacing w:after="40" w:before="40"/>
              <w:jc w:val="left"/>
            </w:pPr>
            <w:r>
              <w:rPr>
                <w:sz w:val="18"/>
                <w:szCs w:val="18"/>
              </w:rPr>
              <w:t xml:space="preserve">Incorporación de contenido de Fases Preliminar y A.</w:t>
            </w:r>
          </w:p>
        </w:tc>
      </w:tr>
      <w:tr>
        <w:tc>
          <w:tcPr>
            <w:tcW w:type="dxa" w:w="900"/>
            <w:shd w:fill="FFFFFF" w:val="clear"/>
          </w:tcPr>
          <w:p>
            <w:pPr>
              <w:spacing w:after="40" w:before="40"/>
              <w:jc w:val="left"/>
            </w:pPr>
            <w:r>
              <w:rPr>
                <w:sz w:val="18"/>
                <w:szCs w:val="18"/>
              </w:rPr>
              <w:t xml:space="preserve">1.0</w:t>
            </w:r>
          </w:p>
        </w:tc>
        <w:tc>
          <w:tcPr>
            <w:tcW w:type="dxa" w:w="900"/>
            <w:shd w:fill="FFFFFF" w:val="clear"/>
          </w:tcPr>
          <w:p>
            <w:pPr>
              <w:spacing w:after="40" w:before="40"/>
              <w:jc w:val="left"/>
            </w:pPr>
            <w:r>
              <w:rPr>
                <w:sz w:val="18"/>
                <w:szCs w:val="18"/>
              </w:rPr>
              <w:t xml:space="preserve">Abr 2026</w:t>
            </w:r>
          </w:p>
        </w:tc>
        <w:tc>
          <w:tcPr>
            <w:tcW w:type="dxa" w:w="1500"/>
            <w:shd w:fill="FFFFFF" w:val="clear"/>
          </w:tcPr>
          <w:p>
            <w:pPr>
              <w:spacing w:after="40" w:before="40"/>
              <w:jc w:val="left"/>
            </w:pPr>
            <w:r>
              <w:rPr>
                <w:sz w:val="18"/>
                <w:szCs w:val="18"/>
              </w:rPr>
              <w:t xml:space="preserve">Equipo AE</w:t>
            </w:r>
          </w:p>
        </w:tc>
        <w:tc>
          <w:tcPr>
            <w:tcW w:type="dxa" w:w="5500"/>
            <w:shd w:fill="FFFFFF" w:val="clear"/>
          </w:tcPr>
          <w:p>
            <w:pPr>
              <w:spacing w:after="40" w:before="40"/>
              <w:jc w:val="left"/>
            </w:pPr>
            <w:r>
              <w:rPr>
                <w:sz w:val="18"/>
                <w:szCs w:val="18"/>
              </w:rPr>
              <w:t xml:space="preserve">Versión completa adaptada a la MML para Fase B.</w:t>
            </w:r>
          </w:p>
        </w:tc>
      </w:tr>
      <w:tr>
        <w:tc>
          <w:tcPr>
            <w:tcW w:type="dxa" w:w="900"/>
            <w:shd w:fill="D6E4F7" w:val="clear"/>
          </w:tcPr>
          <w:p>
            <w:pPr>
              <w:spacing w:after="40" w:before="40"/>
              <w:jc w:val="left"/>
            </w:pPr>
            <w:r>
              <w:rPr>
                <w:sz w:val="18"/>
                <w:szCs w:val="18"/>
              </w:rPr>
              <w:t xml:space="preserve">2.0</w:t>
            </w:r>
          </w:p>
        </w:tc>
        <w:tc>
          <w:tcPr>
            <w:tcW w:type="dxa" w:w="900"/>
            <w:shd w:fill="D6E4F7" w:val="clear"/>
          </w:tcPr>
          <w:p>
            <w:pPr>
              <w:spacing w:after="40" w:before="40"/>
              <w:jc w:val="left"/>
            </w:pPr>
            <w:r>
              <w:rPr>
                <w:sz w:val="18"/>
                <w:szCs w:val="18"/>
              </w:rPr>
              <w:t xml:space="preserve">Abr 2026</w:t>
            </w:r>
          </w:p>
        </w:tc>
        <w:tc>
          <w:tcPr>
            <w:tcW w:type="dxa" w:w="1500"/>
            <w:shd w:fill="D6E4F7" w:val="clear"/>
          </w:tcPr>
          <w:p>
            <w:pPr>
              <w:spacing w:after="40" w:before="40"/>
              <w:jc w:val="left"/>
            </w:pPr>
            <w:r>
              <w:rPr>
                <w:sz w:val="18"/>
                <w:szCs w:val="18"/>
              </w:rPr>
              <w:t xml:space="preserve">Grupo 3</w:t>
            </w:r>
          </w:p>
        </w:tc>
        <w:tc>
          <w:tcPr>
            <w:tcW w:type="dxa" w:w="5500"/>
            <w:shd w:fill="D6E4F7" w:val="clear"/>
          </w:tcPr>
          <w:p>
            <w:pPr>
              <w:spacing w:after="40" w:before="40"/>
              <w:jc w:val="left"/>
            </w:pPr>
            <w:r>
              <w:rPr>
                <w:sz w:val="18"/>
                <w:szCs w:val="18"/>
              </w:rPr>
              <w:t xml:space="preserve">Corrección v2: referencias explícitas a los 15 principios (BP01–BP04, DP01–DP04, AP01–AP04, TP01–TP03); fechas alineadas con SoAW (05/03/2026); portada tailorizada; trazabilidad hacia Fases Preliminar V2 y A V2 reforzada.</w:t>
            </w:r>
          </w:p>
        </w:tc>
      </w:tr>
    </w:tbl>
    <w:p>
      <w:r>
        <w:t xml:space="preserve"/>
      </w:r>
    </w:p>
    <w:p>
      <w:r>
        <w:br w:type="page"/>
      </w:r>
    </w:p>
    <w:p>
      <w:pPr>
        <w:pStyle w:val="Heading1"/>
        <w:spacing w:after="120" w:before="240"/>
      </w:pPr>
      <w:r>
        <w:rPr>
          <w:b/>
          <w:bCs/>
          <w:color w:val="1F3864"/>
          <w:sz w:val="32"/>
          <w:szCs w:val="32"/>
        </w:rPr>
        <w:t xml:space="preserve">1. Propósito del Documento</w:t>
      </w:r>
    </w:p>
    <w:p>
      <w:pPr>
        <w:spacing w:after="80" w:before="80"/>
        <w:jc w:val="both"/>
      </w:pPr>
      <w:r>
        <w:rPr>
          <w:sz w:val="22"/>
          <w:szCs w:val="22"/>
        </w:rPr>
        <w:t xml:space="preserve">El presente Documento de Definición de Arquitectura (Architecture Definition Document, ADD) consolida los artefactos arquitectónicos producidos durante la Fase B – Arquitectura de Negocio del ADM TOGAF, aplicado a la Municipalidad Metropolitana de Lima (MML). El trabajo fue formalmente autorizado mediante el Statement of Architecture Work (SoAW) firmado el 05 de marzo de 2026.</w:t>
      </w:r>
    </w:p>
    <w:p>
      <w:pPr>
        <w:spacing w:after="80" w:before="80"/>
        <w:jc w:val="both"/>
      </w:pPr>
      <w:r>
        <w:rPr>
          <w:sz w:val="22"/>
          <w:szCs w:val="22"/>
        </w:rPr>
        <w:t xml:space="preserve">De acuerdo con TOGAF, el ADD constituye el contenedor de entregables que abarca los cuatro dominios de arquitectura (negocio, datos, aplicaciones y tecnología) y examina los estados de arquitectura línea base (AS-IS) y objetivo (TO-BE). Esta iteración desarrolla en profundidad el dominio de negocio; los dominios de datos, aplicaciones y tecnología se detallarán en las Fases C y D.</w:t>
      </w:r>
    </w:p>
    <w:p>
      <w:pPr>
        <w:spacing w:after="80" w:before="80"/>
        <w:jc w:val="both"/>
      </w:pPr>
      <w:r>
        <w:rPr>
          <w:sz w:val="22"/>
          <w:szCs w:val="22"/>
        </w:rPr>
        <w:t xml:space="preserve">Esta versión 2.0 incorpora las correcciones de la auditoría de consistencia TOGAF: (a) referencias explícitas a los 15 principios del catálogo de la Fase Preliminar V2 (BP01–BP04, DP01–DP04, AP01–AP04, TP01–TP03); (b) alineación de fechas con la cronología aprobada (Fase Preliminar: Ene-Feb 2026; Fase A: Marzo 2026; Fase B: Abril 2026); (c) trazabilidad reforzada con los entregables de las Fases Preliminar V2 y A V2.</w:t>
      </w:r>
    </w:p>
    <w:p>
      <w:pPr>
        <w:pStyle w:val="Heading1"/>
        <w:spacing w:after="120" w:before="240"/>
      </w:pPr>
      <w:r>
        <w:rPr>
          <w:b/>
          <w:bCs/>
          <w:color w:val="1F3864"/>
          <w:sz w:val="32"/>
          <w:szCs w:val="32"/>
        </w:rPr>
        <w:t xml:space="preserve">2. Alcance</w:t>
      </w:r>
    </w:p>
    <w:p>
      <w:pPr>
        <w:spacing w:after="80" w:before="80"/>
        <w:jc w:val="both"/>
      </w:pPr>
      <w:r>
        <w:rPr>
          <w:sz w:val="22"/>
          <w:szCs w:val="22"/>
        </w:rPr>
        <w:t xml:space="preserve">El alcance se concentra en dos frentes prioritarios definidos en la Fase A (Visión de Arquitectura): la digitalización de los servicios orientados al ciudadano y la integración e interoperabilidad de los procesos y sistemas internos.</w:t>
      </w:r>
    </w:p>
    <w:p>
      <w:pPr>
        <w:pStyle w:val="Heading2"/>
        <w:spacing w:after="120" w:before="240"/>
      </w:pPr>
      <w:r>
        <w:rPr>
          <w:b/>
          <w:bCs/>
          <w:color w:val="2E74B5"/>
          <w:sz w:val="26"/>
          <w:szCs w:val="26"/>
        </w:rPr>
        <w:t xml:space="preserve">2.1. Elementos dentro del alcance</w:t>
      </w:r>
    </w:p>
    <w:p>
      <w:pPr>
        <w:spacing w:after="40" w:before="40"/>
        <w:ind w:left="576"/>
      </w:pPr>
      <w:r>
        <w:rPr>
          <w:sz w:val="22"/>
          <w:szCs w:val="22"/>
        </w:rPr>
        <w:t xml:space="preserve">•  Procesos de atención al ciudadano: licencias de funcionamiento, pago de arbitrios y tributos, consultas de expedientes, atención de reclamos y sugerencias, notificaciones.</w:t>
      </w:r>
    </w:p>
    <w:p>
      <w:pPr>
        <w:spacing w:after="40" w:before="40"/>
        <w:ind w:left="576"/>
      </w:pPr>
      <w:r>
        <w:rPr>
          <w:sz w:val="22"/>
          <w:szCs w:val="22"/>
        </w:rPr>
        <w:t xml:space="preserve">•  Procesos internos de soporte: gestión documentaria (mesa de partes), fiscalización y recaudación tributaria.</w:t>
      </w:r>
    </w:p>
    <w:p>
      <w:pPr>
        <w:spacing w:after="40" w:before="40"/>
        <w:ind w:left="576"/>
      </w:pPr>
      <w:r>
        <w:rPr>
          <w:sz w:val="22"/>
          <w:szCs w:val="22"/>
        </w:rPr>
        <w:t xml:space="preserve">•  Áreas y gerencias: atención ciudadana, administración tributaria (rentas/SAT), licencias y desarrollo urbano, fiscalización, gestión documentaria, GTI y Subgerencia de Gobierno Digital.</w:t>
      </w:r>
    </w:p>
    <w:p>
      <w:pPr>
        <w:spacing w:after="40" w:before="40"/>
        <w:ind w:left="576"/>
      </w:pPr>
      <w:r>
        <w:rPr>
          <w:sz w:val="22"/>
          <w:szCs w:val="22"/>
        </w:rPr>
        <w:t xml:space="preserve">•  Actores externos: ciudadanos, empresas, PCM–SGTD, RENIEC, Contraloría General de la República.</w:t>
      </w:r>
    </w:p>
    <w:p>
      <w:pPr>
        <w:pStyle w:val="Heading2"/>
        <w:spacing w:after="120" w:before="240"/>
      </w:pPr>
      <w:r>
        <w:rPr>
          <w:b/>
          <w:bCs/>
          <w:color w:val="2E74B5"/>
          <w:sz w:val="26"/>
          <w:szCs w:val="26"/>
        </w:rPr>
        <w:t xml:space="preserve">2.2. Elementos fuera del alcance</w:t>
      </w:r>
    </w:p>
    <w:p>
      <w:pPr>
        <w:spacing w:after="40" w:before="40"/>
        <w:ind w:left="576"/>
      </w:pPr>
      <w:r>
        <w:rPr>
          <w:sz w:val="22"/>
          <w:szCs w:val="22"/>
        </w:rPr>
        <w:t xml:space="preserve">•  Procesos internos no relacionados directamente con la atención ciudadana (logística, contabilidad, RRHH) — se incorporarán en iteraciones posteriores.</w:t>
      </w:r>
    </w:p>
    <w:p>
      <w:pPr>
        <w:spacing w:after="40" w:before="40"/>
        <w:ind w:left="576"/>
      </w:pPr>
      <w:r>
        <w:rPr>
          <w:sz w:val="22"/>
          <w:szCs w:val="22"/>
        </w:rPr>
        <w:t xml:space="preserve">•  Detalle de arquitectura de datos, aplicaciones y tecnología (Fases C y D).</w:t>
      </w:r>
    </w:p>
    <w:p>
      <w:pPr>
        <w:spacing w:after="40" w:before="40"/>
        <w:ind w:left="576"/>
      </w:pPr>
      <w:r>
        <w:rPr>
          <w:sz w:val="22"/>
          <w:szCs w:val="22"/>
        </w:rPr>
        <w:t xml:space="preserve">•  Organismos públicos descentralizados y empresas municipales, salvo en sus interfaces de interoperabilidad.</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6600"/>
      </w:tblGrid>
      <w:tr>
        <w:trPr>
          <w:tblHeader/>
        </w:trPr>
        <w:tc>
          <w:tcPr>
            <w:tcW w:type="dxa" w:w="700"/>
            <w:shd w:fill="1F3864" w:val="clear"/>
          </w:tcPr>
          <w:p>
            <w:pPr>
              <w:jc w:val="center"/>
            </w:pPr>
            <w:r>
              <w:rPr>
                <w:b/>
                <w:bCs/>
                <w:color w:val="FFFFFF"/>
                <w:sz w:val="18"/>
                <w:szCs w:val="18"/>
              </w:rPr>
              <w:t xml:space="preserve">Ref.</w:t>
            </w:r>
          </w:p>
        </w:tc>
        <w:tc>
          <w:tcPr>
            <w:tcW w:type="dxa" w:w="1500"/>
            <w:shd w:fill="1F3864" w:val="clear"/>
          </w:tcPr>
          <w:p>
            <w:pPr>
              <w:jc w:val="center"/>
            </w:pPr>
            <w:r>
              <w:rPr>
                <w:b/>
                <w:bCs/>
                <w:color w:val="FFFFFF"/>
                <w:sz w:val="18"/>
                <w:szCs w:val="18"/>
              </w:rPr>
              <w:t xml:space="preserve">Dimensión</w:t>
            </w:r>
          </w:p>
        </w:tc>
        <w:tc>
          <w:tcPr>
            <w:tcW w:type="dxa" w:w="6600"/>
            <w:shd w:fill="1F3864" w:val="clear"/>
          </w:tcPr>
          <w:p>
            <w:pPr>
              <w:jc w:val="center"/>
            </w:pPr>
            <w:r>
              <w:rPr>
                <w:b/>
                <w:bCs/>
                <w:color w:val="FFFFFF"/>
                <w:sz w:val="18"/>
                <w:szCs w:val="18"/>
              </w:rPr>
              <w:t xml:space="preserve">Alcance definido</w:t>
            </w:r>
          </w:p>
        </w:tc>
      </w:tr>
      <w:tr>
        <w:tc>
          <w:tcPr>
            <w:tcW w:type="dxa" w:w="700"/>
            <w:shd w:fill="FFFFFF" w:val="clear"/>
          </w:tcPr>
          <w:p>
            <w:pPr>
              <w:spacing w:after="40" w:before="40"/>
              <w:jc w:val="left"/>
            </w:pPr>
            <w:r>
              <w:rPr>
                <w:sz w:val="18"/>
                <w:szCs w:val="18"/>
              </w:rPr>
              <w:t xml:space="preserve">ALC-01</w:t>
            </w:r>
          </w:p>
        </w:tc>
        <w:tc>
          <w:tcPr>
            <w:tcW w:type="dxa" w:w="1500"/>
            <w:shd w:fill="FFFFFF" w:val="clear"/>
          </w:tcPr>
          <w:p>
            <w:pPr>
              <w:spacing w:after="40" w:before="40"/>
              <w:jc w:val="left"/>
            </w:pPr>
            <w:r>
              <w:rPr>
                <w:sz w:val="18"/>
                <w:szCs w:val="18"/>
              </w:rPr>
              <w:t xml:space="preserve">Amplitud</w:t>
            </w:r>
          </w:p>
        </w:tc>
        <w:tc>
          <w:tcPr>
            <w:tcW w:type="dxa" w:w="6600"/>
            <w:shd w:fill="FFFFFF" w:val="clear"/>
          </w:tcPr>
          <w:p>
            <w:pPr>
              <w:spacing w:after="40" w:before="40"/>
              <w:jc w:val="left"/>
            </w:pPr>
            <w:r>
              <w:rPr>
                <w:sz w:val="18"/>
                <w:szCs w:val="18"/>
              </w:rPr>
              <w:t xml:space="preserve">Atención ciudadana, administración tributaria, licencias, fiscalización, gestión documentaria y TI de la MML.</w:t>
            </w:r>
          </w:p>
        </w:tc>
      </w:tr>
      <w:tr>
        <w:tc>
          <w:tcPr>
            <w:tcW w:type="dxa" w:w="700"/>
            <w:shd w:fill="D6E4F7" w:val="clear"/>
          </w:tcPr>
          <w:p>
            <w:pPr>
              <w:spacing w:after="40" w:before="40"/>
              <w:jc w:val="left"/>
            </w:pPr>
            <w:r>
              <w:rPr>
                <w:sz w:val="18"/>
                <w:szCs w:val="18"/>
              </w:rPr>
              <w:t xml:space="preserve">ALC-02</w:t>
            </w:r>
          </w:p>
        </w:tc>
        <w:tc>
          <w:tcPr>
            <w:tcW w:type="dxa" w:w="1500"/>
            <w:shd w:fill="D6E4F7" w:val="clear"/>
          </w:tcPr>
          <w:p>
            <w:pPr>
              <w:spacing w:after="40" w:before="40"/>
              <w:jc w:val="left"/>
            </w:pPr>
            <w:r>
              <w:rPr>
                <w:sz w:val="18"/>
                <w:szCs w:val="18"/>
              </w:rPr>
              <w:t xml:space="preserve">Profundidad</w:t>
            </w:r>
          </w:p>
        </w:tc>
        <w:tc>
          <w:tcPr>
            <w:tcW w:type="dxa" w:w="6600"/>
            <w:shd w:fill="D6E4F7" w:val="clear"/>
          </w:tcPr>
          <w:p>
            <w:pPr>
              <w:spacing w:after="40" w:before="40"/>
              <w:jc w:val="left"/>
            </w:pPr>
            <w:r>
              <w:rPr>
                <w:sz w:val="18"/>
                <w:szCs w:val="18"/>
              </w:rPr>
              <w:t xml:space="preserve">Detalle pleno del dominio de negocio; nivel conceptual/lógico de datos, aplicaciones y tecnología.</w:t>
            </w:r>
          </w:p>
        </w:tc>
      </w:tr>
      <w:tr>
        <w:tc>
          <w:tcPr>
            <w:tcW w:type="dxa" w:w="700"/>
            <w:shd w:fill="FFFFFF" w:val="clear"/>
          </w:tcPr>
          <w:p>
            <w:pPr>
              <w:spacing w:after="40" w:before="40"/>
              <w:jc w:val="left"/>
            </w:pPr>
            <w:r>
              <w:rPr>
                <w:sz w:val="18"/>
                <w:szCs w:val="18"/>
              </w:rPr>
              <w:t xml:space="preserve">ALC-03</w:t>
            </w:r>
          </w:p>
        </w:tc>
        <w:tc>
          <w:tcPr>
            <w:tcW w:type="dxa" w:w="1500"/>
            <w:shd w:fill="FFFFFF" w:val="clear"/>
          </w:tcPr>
          <w:p>
            <w:pPr>
              <w:spacing w:after="40" w:before="40"/>
              <w:jc w:val="left"/>
            </w:pPr>
            <w:r>
              <w:rPr>
                <w:sz w:val="18"/>
                <w:szCs w:val="18"/>
              </w:rPr>
              <w:t xml:space="preserve">Dominios</w:t>
            </w:r>
          </w:p>
        </w:tc>
        <w:tc>
          <w:tcPr>
            <w:tcW w:type="dxa" w:w="6600"/>
            <w:shd w:fill="FFFFFF" w:val="clear"/>
          </w:tcPr>
          <w:p>
            <w:pPr>
              <w:spacing w:after="40" w:before="40"/>
              <w:jc w:val="left"/>
            </w:pPr>
            <w:r>
              <w:rPr>
                <w:sz w:val="18"/>
                <w:szCs w:val="18"/>
              </w:rPr>
              <w:t xml:space="preserve">Negocio (foco Fase B); datos, aplicaciones y tecnología a alto nivel.</w:t>
            </w:r>
          </w:p>
        </w:tc>
      </w:tr>
      <w:tr>
        <w:tc>
          <w:tcPr>
            <w:tcW w:type="dxa" w:w="700"/>
            <w:shd w:fill="D6E4F7" w:val="clear"/>
          </w:tcPr>
          <w:p>
            <w:pPr>
              <w:spacing w:after="40" w:before="40"/>
              <w:jc w:val="left"/>
            </w:pPr>
            <w:r>
              <w:rPr>
                <w:sz w:val="18"/>
                <w:szCs w:val="18"/>
              </w:rPr>
              <w:t xml:space="preserve">ALC-04</w:t>
            </w:r>
          </w:p>
        </w:tc>
        <w:tc>
          <w:tcPr>
            <w:tcW w:type="dxa" w:w="1500"/>
            <w:shd w:fill="D6E4F7" w:val="clear"/>
          </w:tcPr>
          <w:p>
            <w:pPr>
              <w:spacing w:after="40" w:before="40"/>
              <w:jc w:val="left"/>
            </w:pPr>
            <w:r>
              <w:rPr>
                <w:sz w:val="18"/>
                <w:szCs w:val="18"/>
              </w:rPr>
              <w:t xml:space="preserve">Horizonte</w:t>
            </w:r>
          </w:p>
        </w:tc>
        <w:tc>
          <w:tcPr>
            <w:tcW w:type="dxa" w:w="6600"/>
            <w:shd w:fill="D6E4F7" w:val="clear"/>
          </w:tcPr>
          <w:p>
            <w:pPr>
              <w:spacing w:after="40" w:before="40"/>
              <w:jc w:val="left"/>
            </w:pPr>
            <w:r>
              <w:rPr>
                <w:sz w:val="18"/>
                <w:szCs w:val="18"/>
              </w:rPr>
              <w:t xml:space="preserve">Arquitectura objetivo de mediano plazo, alineada con el PEI.</w:t>
            </w:r>
          </w:p>
        </w:tc>
      </w:tr>
      <w:tr>
        <w:tc>
          <w:tcPr>
            <w:tcW w:type="dxa" w:w="700"/>
            <w:shd w:fill="FFFFFF" w:val="clear"/>
          </w:tcPr>
          <w:p>
            <w:pPr>
              <w:spacing w:after="40" w:before="40"/>
              <w:jc w:val="left"/>
            </w:pPr>
            <w:r>
              <w:rPr>
                <w:sz w:val="18"/>
                <w:szCs w:val="18"/>
              </w:rPr>
              <w:t xml:space="preserve">ALC-05</w:t>
            </w:r>
          </w:p>
        </w:tc>
        <w:tc>
          <w:tcPr>
            <w:tcW w:type="dxa" w:w="1500"/>
            <w:shd w:fill="FFFFFF" w:val="clear"/>
          </w:tcPr>
          <w:p>
            <w:pPr>
              <w:spacing w:after="40" w:before="40"/>
              <w:jc w:val="left"/>
            </w:pPr>
            <w:r>
              <w:rPr>
                <w:sz w:val="18"/>
                <w:szCs w:val="18"/>
              </w:rPr>
              <w:t xml:space="preserve">Patrocinador</w:t>
            </w:r>
          </w:p>
        </w:tc>
        <w:tc>
          <w:tcPr>
            <w:tcW w:type="dxa" w:w="6600"/>
            <w:shd w:fill="FFFFFF" w:val="clear"/>
          </w:tcPr>
          <w:p>
            <w:pPr>
              <w:spacing w:after="40" w:before="40"/>
              <w:jc w:val="left"/>
            </w:pPr>
            <w:r>
              <w:rPr>
                <w:sz w:val="18"/>
                <w:szCs w:val="18"/>
              </w:rPr>
              <w:t xml:space="preserve">Gerencia Municipal (ejecutivo); Arquitecto Empresarial Principal (técnico).</w:t>
            </w:r>
          </w:p>
        </w:tc>
      </w:tr>
    </w:tbl>
    <w:p>
      <w:pPr>
        <w:pStyle w:val="Heading1"/>
        <w:spacing w:after="120" w:before="240"/>
      </w:pPr>
      <w:r>
        <w:rPr>
          <w:b/>
          <w:bCs/>
          <w:color w:val="1F3864"/>
          <w:sz w:val="32"/>
          <w:szCs w:val="32"/>
        </w:rPr>
        <w:t xml:space="preserve">3. Metas, Objetivos y Restricciones</w:t>
      </w:r>
    </w:p>
    <w:p>
      <w:pPr>
        <w:pStyle w:val="Heading2"/>
        <w:spacing w:after="120" w:before="240"/>
      </w:pPr>
      <w:r>
        <w:rPr>
          <w:b/>
          <w:bCs/>
          <w:color w:val="2E74B5"/>
          <w:sz w:val="26"/>
          <w:szCs w:val="26"/>
        </w:rPr>
        <w:t xml:space="preserve">3.1. Metas de negocio y tecnología</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000"/>
        <w:gridCol w:w="2100"/>
      </w:tblGrid>
      <w:tr>
        <w:trPr>
          <w:tblHeader/>
        </w:trPr>
        <w:tc>
          <w:tcPr>
            <w:tcW w:type="dxa" w:w="700"/>
            <w:shd w:fill="1F3864" w:val="clear"/>
          </w:tcPr>
          <w:p>
            <w:pPr>
              <w:jc w:val="center"/>
            </w:pPr>
            <w:r>
              <w:rPr>
                <w:b/>
                <w:bCs/>
                <w:color w:val="FFFFFF"/>
                <w:sz w:val="18"/>
                <w:szCs w:val="18"/>
              </w:rPr>
              <w:t xml:space="preserve">Ref.</w:t>
            </w:r>
          </w:p>
        </w:tc>
        <w:tc>
          <w:tcPr>
            <w:tcW w:type="dxa" w:w="6000"/>
            <w:shd w:fill="1F3864" w:val="clear"/>
          </w:tcPr>
          <w:p>
            <w:pPr>
              <w:jc w:val="center"/>
            </w:pPr>
            <w:r>
              <w:rPr>
                <w:b/>
                <w:bCs/>
                <w:color w:val="FFFFFF"/>
                <w:sz w:val="18"/>
                <w:szCs w:val="18"/>
              </w:rPr>
              <w:t xml:space="preserve">Meta</w:t>
            </w:r>
          </w:p>
        </w:tc>
        <w:tc>
          <w:tcPr>
            <w:tcW w:type="dxa" w:w="2100"/>
            <w:shd w:fill="1F3864" w:val="clear"/>
          </w:tcPr>
          <w:p>
            <w:pPr>
              <w:jc w:val="center"/>
            </w:pPr>
            <w:r>
              <w:rPr>
                <w:b/>
                <w:bCs/>
                <w:color w:val="FFFFFF"/>
                <w:sz w:val="18"/>
                <w:szCs w:val="18"/>
              </w:rPr>
              <w:t xml:space="preserve">Tipo</w:t>
            </w:r>
          </w:p>
        </w:tc>
      </w:tr>
      <w:tr>
        <w:tc>
          <w:tcPr>
            <w:tcW w:type="dxa" w:w="700"/>
            <w:shd w:fill="FFFFFF" w:val="clear"/>
          </w:tcPr>
          <w:p>
            <w:pPr>
              <w:spacing w:after="40" w:before="40"/>
              <w:jc w:val="left"/>
            </w:pPr>
            <w:r>
              <w:rPr>
                <w:sz w:val="18"/>
                <w:szCs w:val="18"/>
              </w:rPr>
              <w:t xml:space="preserve">MET-01</w:t>
            </w:r>
          </w:p>
        </w:tc>
        <w:tc>
          <w:tcPr>
            <w:tcW w:type="dxa" w:w="6000"/>
            <w:shd w:fill="FFFFFF" w:val="clear"/>
          </w:tcPr>
          <w:p>
            <w:pPr>
              <w:spacing w:after="40" w:before="40"/>
              <w:jc w:val="left"/>
            </w:pPr>
            <w:r>
              <w:rPr>
                <w:sz w:val="18"/>
                <w:szCs w:val="18"/>
              </w:rPr>
              <w:t xml:space="preserve">Mejorar la calidad y rapidez de la atención al ciudadano.</w:t>
            </w:r>
          </w:p>
        </w:tc>
        <w:tc>
          <w:tcPr>
            <w:tcW w:type="dxa" w:w="2100"/>
            <w:shd w:fill="FFFFFF" w:val="clear"/>
          </w:tcPr>
          <w:p>
            <w:pPr>
              <w:spacing w:after="40" w:before="40"/>
              <w:jc w:val="left"/>
            </w:pPr>
            <w:r>
              <w:rPr>
                <w:sz w:val="18"/>
                <w:szCs w:val="18"/>
              </w:rPr>
              <w:t xml:space="preserve">Negocio</w:t>
            </w:r>
          </w:p>
        </w:tc>
      </w:tr>
      <w:tr>
        <w:tc>
          <w:tcPr>
            <w:tcW w:type="dxa" w:w="700"/>
            <w:shd w:fill="D6E4F7" w:val="clear"/>
          </w:tcPr>
          <w:p>
            <w:pPr>
              <w:spacing w:after="40" w:before="40"/>
              <w:jc w:val="left"/>
            </w:pPr>
            <w:r>
              <w:rPr>
                <w:sz w:val="18"/>
                <w:szCs w:val="18"/>
              </w:rPr>
              <w:t xml:space="preserve">MET-02</w:t>
            </w:r>
          </w:p>
        </w:tc>
        <w:tc>
          <w:tcPr>
            <w:tcW w:type="dxa" w:w="6000"/>
            <w:shd w:fill="D6E4F7" w:val="clear"/>
          </w:tcPr>
          <w:p>
            <w:pPr>
              <w:spacing w:after="40" w:before="40"/>
              <w:jc w:val="left"/>
            </w:pPr>
            <w:r>
              <w:rPr>
                <w:sz w:val="18"/>
                <w:szCs w:val="18"/>
              </w:rPr>
              <w:t xml:space="preserve">Integrar la información entre gerencias y eliminar la duplicidad de datos.</w:t>
            </w:r>
          </w:p>
        </w:tc>
        <w:tc>
          <w:tcPr>
            <w:tcW w:type="dxa" w:w="2100"/>
            <w:shd w:fill="D6E4F7" w:val="clear"/>
          </w:tcPr>
          <w:p>
            <w:pPr>
              <w:spacing w:after="40" w:before="40"/>
              <w:jc w:val="left"/>
            </w:pPr>
            <w:r>
              <w:rPr>
                <w:sz w:val="18"/>
                <w:szCs w:val="18"/>
              </w:rPr>
              <w:t xml:space="preserve">Negocio / Tecnología</w:t>
            </w:r>
          </w:p>
        </w:tc>
      </w:tr>
      <w:tr>
        <w:tc>
          <w:tcPr>
            <w:tcW w:type="dxa" w:w="700"/>
            <w:shd w:fill="FFFFFF" w:val="clear"/>
          </w:tcPr>
          <w:p>
            <w:pPr>
              <w:spacing w:after="40" w:before="40"/>
              <w:jc w:val="left"/>
            </w:pPr>
            <w:r>
              <w:rPr>
                <w:sz w:val="18"/>
                <w:szCs w:val="18"/>
              </w:rPr>
              <w:t xml:space="preserve">MET-03</w:t>
            </w:r>
          </w:p>
        </w:tc>
        <w:tc>
          <w:tcPr>
            <w:tcW w:type="dxa" w:w="6000"/>
            <w:shd w:fill="FFFFFF" w:val="clear"/>
          </w:tcPr>
          <w:p>
            <w:pPr>
              <w:spacing w:after="40" w:before="40"/>
              <w:jc w:val="left"/>
            </w:pPr>
            <w:r>
              <w:rPr>
                <w:sz w:val="18"/>
                <w:szCs w:val="18"/>
              </w:rPr>
              <w:t xml:space="preserve">Aumentar la transparencia y la trazabilidad de los procesos municipales.</w:t>
            </w:r>
          </w:p>
        </w:tc>
        <w:tc>
          <w:tcPr>
            <w:tcW w:type="dxa" w:w="2100"/>
            <w:shd w:fill="FFFFFF" w:val="clear"/>
          </w:tcPr>
          <w:p>
            <w:pPr>
              <w:spacing w:after="40" w:before="40"/>
              <w:jc w:val="left"/>
            </w:pPr>
            <w:r>
              <w:rPr>
                <w:sz w:val="18"/>
                <w:szCs w:val="18"/>
              </w:rPr>
              <w:t xml:space="preserve">Negocio</w:t>
            </w:r>
          </w:p>
        </w:tc>
      </w:tr>
      <w:tr>
        <w:tc>
          <w:tcPr>
            <w:tcW w:type="dxa" w:w="700"/>
            <w:shd w:fill="D6E4F7" w:val="clear"/>
          </w:tcPr>
          <w:p>
            <w:pPr>
              <w:spacing w:after="40" w:before="40"/>
              <w:jc w:val="left"/>
            </w:pPr>
            <w:r>
              <w:rPr>
                <w:sz w:val="18"/>
                <w:szCs w:val="18"/>
              </w:rPr>
              <w:t xml:space="preserve">MET-04</w:t>
            </w:r>
          </w:p>
        </w:tc>
        <w:tc>
          <w:tcPr>
            <w:tcW w:type="dxa" w:w="6000"/>
            <w:shd w:fill="D6E4F7" w:val="clear"/>
          </w:tcPr>
          <w:p>
            <w:pPr>
              <w:spacing w:after="40" w:before="40"/>
              <w:jc w:val="left"/>
            </w:pPr>
            <w:r>
              <w:rPr>
                <w:sz w:val="18"/>
                <w:szCs w:val="18"/>
              </w:rPr>
              <w:t xml:space="preserve">Reducir costos operativos y tiempos administrativos.</w:t>
            </w:r>
          </w:p>
        </w:tc>
        <w:tc>
          <w:tcPr>
            <w:tcW w:type="dxa" w:w="2100"/>
            <w:shd w:fill="D6E4F7" w:val="clear"/>
          </w:tcPr>
          <w:p>
            <w:pPr>
              <w:spacing w:after="40" w:before="40"/>
              <w:jc w:val="left"/>
            </w:pPr>
            <w:r>
              <w:rPr>
                <w:sz w:val="18"/>
                <w:szCs w:val="18"/>
              </w:rPr>
              <w:t xml:space="preserve">Negocio</w:t>
            </w:r>
          </w:p>
        </w:tc>
      </w:tr>
      <w:tr>
        <w:tc>
          <w:tcPr>
            <w:tcW w:type="dxa" w:w="700"/>
            <w:shd w:fill="FFFFFF" w:val="clear"/>
          </w:tcPr>
          <w:p>
            <w:pPr>
              <w:spacing w:after="40" w:before="40"/>
              <w:jc w:val="left"/>
            </w:pPr>
            <w:r>
              <w:rPr>
                <w:sz w:val="18"/>
                <w:szCs w:val="18"/>
              </w:rPr>
              <w:t xml:space="preserve">MET-05</w:t>
            </w:r>
          </w:p>
        </w:tc>
        <w:tc>
          <w:tcPr>
            <w:tcW w:type="dxa" w:w="6000"/>
            <w:shd w:fill="FFFFFF" w:val="clear"/>
          </w:tcPr>
          <w:p>
            <w:pPr>
              <w:spacing w:after="40" w:before="40"/>
              <w:jc w:val="left"/>
            </w:pPr>
            <w:r>
              <w:rPr>
                <w:sz w:val="18"/>
                <w:szCs w:val="18"/>
              </w:rPr>
              <w:t xml:space="preserve">Habilitar servicios digitales interoperables conforme a la Ley de Gobierno Digital.</w:t>
            </w:r>
          </w:p>
        </w:tc>
        <w:tc>
          <w:tcPr>
            <w:tcW w:type="dxa" w:w="2100"/>
            <w:shd w:fill="FFFFFF" w:val="clear"/>
          </w:tcPr>
          <w:p>
            <w:pPr>
              <w:spacing w:after="40" w:before="40"/>
              <w:jc w:val="left"/>
            </w:pPr>
            <w:r>
              <w:rPr>
                <w:sz w:val="18"/>
                <w:szCs w:val="18"/>
              </w:rPr>
              <w:t xml:space="preserve">Tecnología</w:t>
            </w:r>
          </w:p>
        </w:tc>
      </w:tr>
    </w:tbl>
    <w:p>
      <w:r>
        <w:t xml:space="preserve"/>
      </w:r>
    </w:p>
    <w:p>
      <w:pPr>
        <w:pStyle w:val="Heading2"/>
        <w:spacing w:after="120" w:before="240"/>
      </w:pPr>
      <w:r>
        <w:rPr>
          <w:b/>
          <w:bCs/>
          <w:color w:val="2E74B5"/>
          <w:sz w:val="26"/>
          <w:szCs w:val="26"/>
        </w:rPr>
        <w:t xml:space="preserve">3.2. Objetivos derivados de las metas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500"/>
        <w:gridCol w:w="1200"/>
        <w:gridCol w:w="2400"/>
      </w:tblGrid>
      <w:tr>
        <w:trPr>
          <w:tblHeader/>
        </w:trPr>
        <w:tc>
          <w:tcPr>
            <w:tcW w:type="dxa" w:w="700"/>
            <w:shd w:fill="1F3864" w:val="clear"/>
          </w:tcPr>
          <w:p>
            <w:pPr>
              <w:jc w:val="center"/>
            </w:pPr>
            <w:r>
              <w:rPr>
                <w:b/>
                <w:bCs/>
                <w:color w:val="FFFFFF"/>
                <w:sz w:val="18"/>
                <w:szCs w:val="18"/>
              </w:rPr>
              <w:t xml:space="preserve">Ref.</w:t>
            </w:r>
          </w:p>
        </w:tc>
        <w:tc>
          <w:tcPr>
            <w:tcW w:type="dxa" w:w="4500"/>
            <w:shd w:fill="1F3864" w:val="clear"/>
          </w:tcPr>
          <w:p>
            <w:pPr>
              <w:jc w:val="center"/>
            </w:pPr>
            <w:r>
              <w:rPr>
                <w:b/>
                <w:bCs/>
                <w:color w:val="FFFFFF"/>
                <w:sz w:val="18"/>
                <w:szCs w:val="18"/>
              </w:rPr>
              <w:t xml:space="preserve">Objetivo</w:t>
            </w:r>
          </w:p>
        </w:tc>
        <w:tc>
          <w:tcPr>
            <w:tcW w:type="dxa" w:w="1200"/>
            <w:shd w:fill="1F3864" w:val="clear"/>
          </w:tcPr>
          <w:p>
            <w:pPr>
              <w:jc w:val="center"/>
            </w:pPr>
            <w:r>
              <w:rPr>
                <w:b/>
                <w:bCs/>
                <w:color w:val="FFFFFF"/>
                <w:sz w:val="18"/>
                <w:szCs w:val="18"/>
              </w:rPr>
              <w:t xml:space="preserve">Clase</w:t>
            </w:r>
          </w:p>
        </w:tc>
        <w:tc>
          <w:tcPr>
            <w:tcW w:type="dxa" w:w="2400"/>
            <w:shd w:fill="1F3864" w:val="clear"/>
          </w:tcPr>
          <w:p>
            <w:pPr>
              <w:jc w:val="center"/>
            </w:pPr>
            <w:r>
              <w:rPr>
                <w:b/>
                <w:bCs/>
                <w:color w:val="FFFFFF"/>
                <w:sz w:val="18"/>
                <w:szCs w:val="18"/>
              </w:rPr>
              <w:t xml:space="preserve">Meta asociada</w:t>
            </w:r>
          </w:p>
        </w:tc>
      </w:tr>
      <w:tr>
        <w:tc>
          <w:tcPr>
            <w:tcW w:type="dxa" w:w="700"/>
            <w:shd w:fill="FFFFFF" w:val="clear"/>
          </w:tcPr>
          <w:p>
            <w:pPr>
              <w:spacing w:after="40" w:before="40"/>
              <w:jc w:val="left"/>
            </w:pPr>
            <w:r>
              <w:rPr>
                <w:sz w:val="18"/>
                <w:szCs w:val="18"/>
              </w:rPr>
              <w:t xml:space="preserve">OBJ-01</w:t>
            </w:r>
          </w:p>
        </w:tc>
        <w:tc>
          <w:tcPr>
            <w:tcW w:type="dxa" w:w="4500"/>
            <w:shd w:fill="FFFFFF" w:val="clear"/>
          </w:tcPr>
          <w:p>
            <w:pPr>
              <w:spacing w:after="40" w:before="40"/>
              <w:jc w:val="left"/>
            </w:pPr>
            <w:r>
              <w:rPr>
                <w:sz w:val="18"/>
                <w:szCs w:val="18"/>
              </w:rPr>
              <w:t xml:space="preserve">Digitalizar al menos el 70 % de los trámites ciudadanos prioritarios.</w:t>
            </w:r>
          </w:p>
        </w:tc>
        <w:tc>
          <w:tcPr>
            <w:tcW w:type="dxa" w:w="1200"/>
            <w:shd w:fill="FFFFFF" w:val="clear"/>
          </w:tcPr>
          <w:p>
            <w:pPr>
              <w:spacing w:after="40" w:before="40"/>
              <w:jc w:val="left"/>
            </w:pPr>
            <w:r>
              <w:rPr>
                <w:sz w:val="18"/>
                <w:szCs w:val="18"/>
              </w:rPr>
              <w:t xml:space="preserve">Proyecto</w:t>
            </w:r>
          </w:p>
        </w:tc>
        <w:tc>
          <w:tcPr>
            <w:tcW w:type="dxa" w:w="2400"/>
            <w:shd w:fill="FFFFFF" w:val="clear"/>
          </w:tcPr>
          <w:p>
            <w:pPr>
              <w:spacing w:after="40" w:before="40"/>
              <w:jc w:val="left"/>
            </w:pPr>
            <w:r>
              <w:rPr>
                <w:sz w:val="18"/>
                <w:szCs w:val="18"/>
              </w:rPr>
              <w:t xml:space="preserve">MET-01, MET-05</w:t>
            </w:r>
          </w:p>
        </w:tc>
      </w:tr>
      <w:tr>
        <w:tc>
          <w:tcPr>
            <w:tcW w:type="dxa" w:w="700"/>
            <w:shd w:fill="D6E4F7" w:val="clear"/>
          </w:tcPr>
          <w:p>
            <w:pPr>
              <w:spacing w:after="40" w:before="40"/>
              <w:jc w:val="left"/>
            </w:pPr>
            <w:r>
              <w:rPr>
                <w:sz w:val="18"/>
                <w:szCs w:val="18"/>
              </w:rPr>
              <w:t xml:space="preserve">OBJ-02</w:t>
            </w:r>
          </w:p>
        </w:tc>
        <w:tc>
          <w:tcPr>
            <w:tcW w:type="dxa" w:w="4500"/>
            <w:shd w:fill="D6E4F7" w:val="clear"/>
          </w:tcPr>
          <w:p>
            <w:pPr>
              <w:spacing w:after="40" w:before="40"/>
              <w:jc w:val="left"/>
            </w:pPr>
            <w:r>
              <w:rPr>
                <w:sz w:val="18"/>
                <w:szCs w:val="18"/>
              </w:rPr>
              <w:t xml:space="preserve">Implantar una mesa de partes virtual con seguimiento E2E de expedientes.</w:t>
            </w:r>
          </w:p>
        </w:tc>
        <w:tc>
          <w:tcPr>
            <w:tcW w:type="dxa" w:w="1200"/>
            <w:shd w:fill="D6E4F7" w:val="clear"/>
          </w:tcPr>
          <w:p>
            <w:pPr>
              <w:spacing w:after="40" w:before="40"/>
              <w:jc w:val="left"/>
            </w:pPr>
            <w:r>
              <w:rPr>
                <w:sz w:val="18"/>
                <w:szCs w:val="18"/>
              </w:rPr>
              <w:t xml:space="preserve">Proyecto</w:t>
            </w:r>
          </w:p>
        </w:tc>
        <w:tc>
          <w:tcPr>
            <w:tcW w:type="dxa" w:w="2400"/>
            <w:shd w:fill="D6E4F7" w:val="clear"/>
          </w:tcPr>
          <w:p>
            <w:pPr>
              <w:spacing w:after="40" w:before="40"/>
              <w:jc w:val="left"/>
            </w:pPr>
            <w:r>
              <w:rPr>
                <w:sz w:val="18"/>
                <w:szCs w:val="18"/>
              </w:rPr>
              <w:t xml:space="preserve">MET-01, MET-03</w:t>
            </w:r>
          </w:p>
        </w:tc>
      </w:tr>
      <w:tr>
        <w:tc>
          <w:tcPr>
            <w:tcW w:type="dxa" w:w="700"/>
            <w:shd w:fill="FFFFFF" w:val="clear"/>
          </w:tcPr>
          <w:p>
            <w:pPr>
              <w:spacing w:after="40" w:before="40"/>
              <w:jc w:val="left"/>
            </w:pPr>
            <w:r>
              <w:rPr>
                <w:sz w:val="18"/>
                <w:szCs w:val="18"/>
              </w:rPr>
              <w:t xml:space="preserve">OBJ-03</w:t>
            </w:r>
          </w:p>
        </w:tc>
        <w:tc>
          <w:tcPr>
            <w:tcW w:type="dxa" w:w="4500"/>
            <w:shd w:fill="FFFFFF" w:val="clear"/>
          </w:tcPr>
          <w:p>
            <w:pPr>
              <w:spacing w:after="40" w:before="40"/>
              <w:jc w:val="left"/>
            </w:pPr>
            <w:r>
              <w:rPr>
                <w:sz w:val="18"/>
                <w:szCs w:val="18"/>
              </w:rPr>
              <w:t xml:space="preserve">Integrar los sistemas de las gerencias mediante la PIDE y servicios comunes.</w:t>
            </w:r>
          </w:p>
        </w:tc>
        <w:tc>
          <w:tcPr>
            <w:tcW w:type="dxa" w:w="1200"/>
            <w:shd w:fill="FFFFFF" w:val="clear"/>
          </w:tcPr>
          <w:p>
            <w:pPr>
              <w:spacing w:after="40" w:before="40"/>
              <w:jc w:val="left"/>
            </w:pPr>
            <w:r>
              <w:rPr>
                <w:sz w:val="18"/>
                <w:szCs w:val="18"/>
              </w:rPr>
              <w:t xml:space="preserve">Estratégico</w:t>
            </w:r>
          </w:p>
        </w:tc>
        <w:tc>
          <w:tcPr>
            <w:tcW w:type="dxa" w:w="2400"/>
            <w:shd w:fill="FFFFFF" w:val="clear"/>
          </w:tcPr>
          <w:p>
            <w:pPr>
              <w:spacing w:after="40" w:before="40"/>
              <w:jc w:val="left"/>
            </w:pPr>
            <w:r>
              <w:rPr>
                <w:sz w:val="18"/>
                <w:szCs w:val="18"/>
              </w:rPr>
              <w:t xml:space="preserve">MET-02, MET-05</w:t>
            </w:r>
          </w:p>
        </w:tc>
      </w:tr>
      <w:tr>
        <w:tc>
          <w:tcPr>
            <w:tcW w:type="dxa" w:w="700"/>
            <w:shd w:fill="D6E4F7" w:val="clear"/>
          </w:tcPr>
          <w:p>
            <w:pPr>
              <w:spacing w:after="40" w:before="40"/>
              <w:jc w:val="left"/>
            </w:pPr>
            <w:r>
              <w:rPr>
                <w:sz w:val="18"/>
                <w:szCs w:val="18"/>
              </w:rPr>
              <w:t xml:space="preserve">OBJ-04</w:t>
            </w:r>
          </w:p>
        </w:tc>
        <w:tc>
          <w:tcPr>
            <w:tcW w:type="dxa" w:w="4500"/>
            <w:shd w:fill="D6E4F7" w:val="clear"/>
          </w:tcPr>
          <w:p>
            <w:pPr>
              <w:spacing w:after="40" w:before="40"/>
              <w:jc w:val="left"/>
            </w:pPr>
            <w:r>
              <w:rPr>
                <w:sz w:val="18"/>
                <w:szCs w:val="18"/>
              </w:rPr>
              <w:t xml:space="preserve">Establecer un modelo de gobierno de datos con registro único del ciudadano.</w:t>
            </w:r>
          </w:p>
        </w:tc>
        <w:tc>
          <w:tcPr>
            <w:tcW w:type="dxa" w:w="1200"/>
            <w:shd w:fill="D6E4F7" w:val="clear"/>
          </w:tcPr>
          <w:p>
            <w:pPr>
              <w:spacing w:after="40" w:before="40"/>
              <w:jc w:val="left"/>
            </w:pPr>
            <w:r>
              <w:rPr>
                <w:sz w:val="18"/>
                <w:szCs w:val="18"/>
              </w:rPr>
              <w:t xml:space="preserve">Estratégico</w:t>
            </w:r>
          </w:p>
        </w:tc>
        <w:tc>
          <w:tcPr>
            <w:tcW w:type="dxa" w:w="2400"/>
            <w:shd w:fill="D6E4F7" w:val="clear"/>
          </w:tcPr>
          <w:p>
            <w:pPr>
              <w:spacing w:after="40" w:before="40"/>
              <w:jc w:val="left"/>
            </w:pPr>
            <w:r>
              <w:rPr>
                <w:sz w:val="18"/>
                <w:szCs w:val="18"/>
              </w:rPr>
              <w:t xml:space="preserve">MET-02, MET-03</w:t>
            </w:r>
          </w:p>
        </w:tc>
      </w:tr>
      <w:tr>
        <w:tc>
          <w:tcPr>
            <w:tcW w:type="dxa" w:w="700"/>
            <w:shd w:fill="FFFFFF" w:val="clear"/>
          </w:tcPr>
          <w:p>
            <w:pPr>
              <w:spacing w:after="40" w:before="40"/>
              <w:jc w:val="left"/>
            </w:pPr>
            <w:r>
              <w:rPr>
                <w:sz w:val="18"/>
                <w:szCs w:val="18"/>
              </w:rPr>
              <w:t xml:space="preserve">OBJ-05</w:t>
            </w:r>
          </w:p>
        </w:tc>
        <w:tc>
          <w:tcPr>
            <w:tcW w:type="dxa" w:w="4500"/>
            <w:shd w:fill="FFFFFF" w:val="clear"/>
          </w:tcPr>
          <w:p>
            <w:pPr>
              <w:spacing w:after="40" w:before="40"/>
              <w:jc w:val="left"/>
            </w:pPr>
            <w:r>
              <w:rPr>
                <w:sz w:val="18"/>
                <w:szCs w:val="18"/>
              </w:rPr>
              <w:t xml:space="preserve">Reducir en 40 % el tiempo promedio de atención de trámites prioritarios.</w:t>
            </w:r>
          </w:p>
        </w:tc>
        <w:tc>
          <w:tcPr>
            <w:tcW w:type="dxa" w:w="1200"/>
            <w:shd w:fill="FFFFFF" w:val="clear"/>
          </w:tcPr>
          <w:p>
            <w:pPr>
              <w:spacing w:after="40" w:before="40"/>
              <w:jc w:val="left"/>
            </w:pPr>
            <w:r>
              <w:rPr>
                <w:sz w:val="18"/>
                <w:szCs w:val="18"/>
              </w:rPr>
              <w:t xml:space="preserve">Proyecto</w:t>
            </w:r>
          </w:p>
        </w:tc>
        <w:tc>
          <w:tcPr>
            <w:tcW w:type="dxa" w:w="2400"/>
            <w:shd w:fill="FFFFFF" w:val="clear"/>
          </w:tcPr>
          <w:p>
            <w:pPr>
              <w:spacing w:after="40" w:before="40"/>
              <w:jc w:val="left"/>
            </w:pPr>
            <w:r>
              <w:rPr>
                <w:sz w:val="18"/>
                <w:szCs w:val="18"/>
              </w:rPr>
              <w:t xml:space="preserve">MET-04</w:t>
            </w:r>
          </w:p>
        </w:tc>
      </w:tr>
      <w:tr>
        <w:tc>
          <w:tcPr>
            <w:tcW w:type="dxa" w:w="700"/>
            <w:shd w:fill="D6E4F7" w:val="clear"/>
          </w:tcPr>
          <w:p>
            <w:pPr>
              <w:spacing w:after="40" w:before="40"/>
              <w:jc w:val="left"/>
            </w:pPr>
            <w:r>
              <w:rPr>
                <w:sz w:val="18"/>
                <w:szCs w:val="18"/>
              </w:rPr>
              <w:t xml:space="preserve">OBJ-06</w:t>
            </w:r>
          </w:p>
        </w:tc>
        <w:tc>
          <w:tcPr>
            <w:tcW w:type="dxa" w:w="4500"/>
            <w:shd w:fill="D6E4F7" w:val="clear"/>
          </w:tcPr>
          <w:p>
            <w:pPr>
              <w:spacing w:after="40" w:before="40"/>
              <w:jc w:val="left"/>
            </w:pPr>
            <w:r>
              <w:rPr>
                <w:sz w:val="18"/>
                <w:szCs w:val="18"/>
              </w:rPr>
              <w:t xml:space="preserve">Asegurar la protección de datos personales y la seguridad por diseño.</w:t>
            </w:r>
          </w:p>
        </w:tc>
        <w:tc>
          <w:tcPr>
            <w:tcW w:type="dxa" w:w="1200"/>
            <w:shd w:fill="D6E4F7" w:val="clear"/>
          </w:tcPr>
          <w:p>
            <w:pPr>
              <w:spacing w:after="40" w:before="40"/>
              <w:jc w:val="left"/>
            </w:pPr>
            <w:r>
              <w:rPr>
                <w:sz w:val="18"/>
                <w:szCs w:val="18"/>
              </w:rPr>
              <w:t xml:space="preserve">Estratégico</w:t>
            </w:r>
          </w:p>
        </w:tc>
        <w:tc>
          <w:tcPr>
            <w:tcW w:type="dxa" w:w="2400"/>
            <w:shd w:fill="D6E4F7" w:val="clear"/>
          </w:tcPr>
          <w:p>
            <w:pPr>
              <w:spacing w:after="40" w:before="40"/>
              <w:jc w:val="left"/>
            </w:pPr>
            <w:r>
              <w:rPr>
                <w:sz w:val="18"/>
                <w:szCs w:val="18"/>
              </w:rPr>
              <w:t xml:space="preserve">MET-03</w:t>
            </w:r>
          </w:p>
        </w:tc>
      </w:tr>
    </w:tbl>
    <w:p>
      <w:r>
        <w:t xml:space="preserve"/>
      </w:r>
    </w:p>
    <w:p>
      <w:pPr>
        <w:pStyle w:val="Heading2"/>
        <w:spacing w:after="120" w:before="240"/>
      </w:pPr>
      <w:r>
        <w:rPr>
          <w:b/>
          <w:bCs/>
          <w:color w:val="2E74B5"/>
          <w:sz w:val="26"/>
          <w:szCs w:val="26"/>
        </w:rPr>
        <w:t xml:space="preserve">3.3. Stakeholders y sus preocupaciones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000"/>
        <w:gridCol w:w="5000"/>
      </w:tblGrid>
      <w:tr>
        <w:trPr>
          <w:tblHeader/>
        </w:trPr>
        <w:tc>
          <w:tcPr>
            <w:tcW w:type="dxa" w:w="2800"/>
            <w:shd w:fill="1F3864" w:val="clear"/>
          </w:tcPr>
          <w:p>
            <w:pPr>
              <w:jc w:val="center"/>
            </w:pPr>
            <w:r>
              <w:rPr>
                <w:b/>
                <w:bCs/>
                <w:color w:val="FFFFFF"/>
                <w:sz w:val="18"/>
                <w:szCs w:val="18"/>
              </w:rPr>
              <w:t xml:space="preserve">Stakeholder</w:t>
            </w:r>
          </w:p>
        </w:tc>
        <w:tc>
          <w:tcPr>
            <w:tcW w:type="dxa" w:w="1000"/>
            <w:shd w:fill="1F3864" w:val="clear"/>
          </w:tcPr>
          <w:p>
            <w:pPr>
              <w:jc w:val="center"/>
            </w:pPr>
            <w:r>
              <w:rPr>
                <w:b/>
                <w:bCs/>
                <w:color w:val="FFFFFF"/>
                <w:sz w:val="18"/>
                <w:szCs w:val="18"/>
              </w:rPr>
              <w:t xml:space="preserve">Tipo</w:t>
            </w:r>
          </w:p>
        </w:tc>
        <w:tc>
          <w:tcPr>
            <w:tcW w:type="dxa" w:w="5000"/>
            <w:shd w:fill="1F3864" w:val="clear"/>
          </w:tcPr>
          <w:p>
            <w:pPr>
              <w:jc w:val="center"/>
            </w:pPr>
            <w:r>
              <w:rPr>
                <w:b/>
                <w:bCs/>
                <w:color w:val="FFFFFF"/>
                <w:sz w:val="18"/>
                <w:szCs w:val="18"/>
              </w:rPr>
              <w:t xml:space="preserve">Preocupación principal</w:t>
            </w:r>
          </w:p>
        </w:tc>
      </w:tr>
      <w:tr>
        <w:tc>
          <w:tcPr>
            <w:tcW w:type="dxa" w:w="2800"/>
            <w:shd w:fill="FFFFFF" w:val="clear"/>
          </w:tcPr>
          <w:p>
            <w:pPr>
              <w:spacing w:after="40" w:before="40"/>
              <w:jc w:val="left"/>
            </w:pPr>
            <w:r>
              <w:rPr>
                <w:sz w:val="18"/>
                <w:szCs w:val="18"/>
              </w:rPr>
              <w:t xml:space="preserve">Alcaldía y Gerencia Municipal</w:t>
            </w:r>
          </w:p>
        </w:tc>
        <w:tc>
          <w:tcPr>
            <w:tcW w:type="dxa" w:w="1000"/>
            <w:shd w:fill="FFFFFF" w:val="clear"/>
          </w:tcPr>
          <w:p>
            <w:pPr>
              <w:spacing w:after="40" w:before="40"/>
              <w:jc w:val="left"/>
            </w:pPr>
            <w:r>
              <w:rPr>
                <w:sz w:val="18"/>
                <w:szCs w:val="18"/>
              </w:rPr>
              <w:t xml:space="preserve">Interno</w:t>
            </w:r>
          </w:p>
        </w:tc>
        <w:tc>
          <w:tcPr>
            <w:tcW w:type="dxa" w:w="5000"/>
            <w:shd w:fill="FFFFFF" w:val="clear"/>
          </w:tcPr>
          <w:p>
            <w:pPr>
              <w:spacing w:after="40" w:before="40"/>
              <w:jc w:val="left"/>
            </w:pPr>
            <w:r>
              <w:rPr>
                <w:sz w:val="18"/>
                <w:szCs w:val="18"/>
              </w:rPr>
              <w:t xml:space="preserve">Cumplimiento del PEI, gobernabilidad y resultados visibles.</w:t>
            </w:r>
          </w:p>
        </w:tc>
      </w:tr>
      <w:tr>
        <w:tc>
          <w:tcPr>
            <w:tcW w:type="dxa" w:w="2800"/>
            <w:shd w:fill="D6E4F7" w:val="clear"/>
          </w:tcPr>
          <w:p>
            <w:pPr>
              <w:spacing w:after="40" w:before="40"/>
              <w:jc w:val="left"/>
            </w:pPr>
            <w:r>
              <w:rPr>
                <w:sz w:val="18"/>
                <w:szCs w:val="18"/>
              </w:rPr>
              <w:t xml:space="preserve">Gerencia de TI (GTI)</w:t>
            </w:r>
          </w:p>
        </w:tc>
        <w:tc>
          <w:tcPr>
            <w:tcW w:type="dxa" w:w="1000"/>
            <w:shd w:fill="D6E4F7" w:val="clear"/>
          </w:tcPr>
          <w:p>
            <w:pPr>
              <w:spacing w:after="40" w:before="40"/>
              <w:jc w:val="left"/>
            </w:pPr>
            <w:r>
              <w:rPr>
                <w:sz w:val="18"/>
                <w:szCs w:val="18"/>
              </w:rPr>
              <w:t xml:space="preserve">Interno</w:t>
            </w:r>
          </w:p>
        </w:tc>
        <w:tc>
          <w:tcPr>
            <w:tcW w:type="dxa" w:w="5000"/>
            <w:shd w:fill="D6E4F7" w:val="clear"/>
          </w:tcPr>
          <w:p>
            <w:pPr>
              <w:spacing w:after="40" w:before="40"/>
              <w:jc w:val="left"/>
            </w:pPr>
            <w:r>
              <w:rPr>
                <w:sz w:val="18"/>
                <w:szCs w:val="18"/>
              </w:rPr>
              <w:t xml:space="preserve">Integración de sistemas, sostenibilidad técnica y seguridad.</w:t>
            </w:r>
          </w:p>
        </w:tc>
      </w:tr>
      <w:tr>
        <w:tc>
          <w:tcPr>
            <w:tcW w:type="dxa" w:w="2800"/>
            <w:shd w:fill="FFFFFF" w:val="clear"/>
          </w:tcPr>
          <w:p>
            <w:pPr>
              <w:spacing w:after="40" w:before="40"/>
              <w:jc w:val="left"/>
            </w:pPr>
            <w:r>
              <w:rPr>
                <w:sz w:val="18"/>
                <w:szCs w:val="18"/>
              </w:rPr>
              <w:t xml:space="preserve">Subgerencia de Gobierno Digital</w:t>
            </w:r>
          </w:p>
        </w:tc>
        <w:tc>
          <w:tcPr>
            <w:tcW w:type="dxa" w:w="1000"/>
            <w:shd w:fill="FFFFFF" w:val="clear"/>
          </w:tcPr>
          <w:p>
            <w:pPr>
              <w:spacing w:after="40" w:before="40"/>
              <w:jc w:val="left"/>
            </w:pPr>
            <w:r>
              <w:rPr>
                <w:sz w:val="18"/>
                <w:szCs w:val="18"/>
              </w:rPr>
              <w:t xml:space="preserve">Interno</w:t>
            </w:r>
          </w:p>
        </w:tc>
        <w:tc>
          <w:tcPr>
            <w:tcW w:type="dxa" w:w="5000"/>
            <w:shd w:fill="FFFFFF" w:val="clear"/>
          </w:tcPr>
          <w:p>
            <w:pPr>
              <w:spacing w:after="40" w:before="40"/>
              <w:jc w:val="left"/>
            </w:pPr>
            <w:r>
              <w:rPr>
                <w:sz w:val="18"/>
                <w:szCs w:val="18"/>
              </w:rPr>
              <w:t xml:space="preserve">Cumplimiento SGTD–PCM, servicios digitales e interoperabilidad.</w:t>
            </w:r>
          </w:p>
        </w:tc>
      </w:tr>
      <w:tr>
        <w:tc>
          <w:tcPr>
            <w:tcW w:type="dxa" w:w="2800"/>
            <w:shd w:fill="D6E4F7" w:val="clear"/>
          </w:tcPr>
          <w:p>
            <w:pPr>
              <w:spacing w:after="40" w:before="40"/>
              <w:jc w:val="left"/>
            </w:pPr>
            <w:r>
              <w:rPr>
                <w:sz w:val="18"/>
                <w:szCs w:val="18"/>
              </w:rPr>
              <w:t xml:space="preserve">Gerencias de línea (licencias, rentas/SAT, fiscalización)</w:t>
            </w:r>
          </w:p>
        </w:tc>
        <w:tc>
          <w:tcPr>
            <w:tcW w:type="dxa" w:w="1000"/>
            <w:shd w:fill="D6E4F7" w:val="clear"/>
          </w:tcPr>
          <w:p>
            <w:pPr>
              <w:spacing w:after="40" w:before="40"/>
              <w:jc w:val="left"/>
            </w:pPr>
            <w:r>
              <w:rPr>
                <w:sz w:val="18"/>
                <w:szCs w:val="18"/>
              </w:rPr>
              <w:t xml:space="preserve">Interno</w:t>
            </w:r>
          </w:p>
        </w:tc>
        <w:tc>
          <w:tcPr>
            <w:tcW w:type="dxa" w:w="5000"/>
            <w:shd w:fill="D6E4F7" w:val="clear"/>
          </w:tcPr>
          <w:p>
            <w:pPr>
              <w:spacing w:after="40" w:before="40"/>
              <w:jc w:val="left"/>
            </w:pPr>
            <w:r>
              <w:rPr>
                <w:sz w:val="18"/>
                <w:szCs w:val="18"/>
              </w:rPr>
              <w:t xml:space="preserve">Continuidad operativa y simplificación de procesos.</w:t>
            </w:r>
          </w:p>
        </w:tc>
      </w:tr>
      <w:tr>
        <w:tc>
          <w:tcPr>
            <w:tcW w:type="dxa" w:w="2800"/>
            <w:shd w:fill="FFFFFF" w:val="clear"/>
          </w:tcPr>
          <w:p>
            <w:pPr>
              <w:spacing w:after="40" w:before="40"/>
              <w:jc w:val="left"/>
            </w:pPr>
            <w:r>
              <w:rPr>
                <w:sz w:val="18"/>
                <w:szCs w:val="18"/>
              </w:rPr>
              <w:t xml:space="preserve">Ciudadanos y empresas</w:t>
            </w:r>
          </w:p>
        </w:tc>
        <w:tc>
          <w:tcPr>
            <w:tcW w:type="dxa" w:w="1000"/>
            <w:shd w:fill="FFFFFF" w:val="clear"/>
          </w:tcPr>
          <w:p>
            <w:pPr>
              <w:spacing w:after="40" w:before="40"/>
              <w:jc w:val="left"/>
            </w:pPr>
            <w:r>
              <w:rPr>
                <w:sz w:val="18"/>
                <w:szCs w:val="18"/>
              </w:rPr>
              <w:t xml:space="preserve">Externo</w:t>
            </w:r>
          </w:p>
        </w:tc>
        <w:tc>
          <w:tcPr>
            <w:tcW w:type="dxa" w:w="5000"/>
            <w:shd w:fill="FFFFFF" w:val="clear"/>
          </w:tcPr>
          <w:p>
            <w:pPr>
              <w:spacing w:after="40" w:before="40"/>
              <w:jc w:val="left"/>
            </w:pPr>
            <w:r>
              <w:rPr>
                <w:sz w:val="18"/>
                <w:szCs w:val="18"/>
              </w:rPr>
              <w:t xml:space="preserve">Trámites rápidos, accesibles y transparentes; protección de datos.</w:t>
            </w:r>
          </w:p>
        </w:tc>
      </w:tr>
      <w:tr>
        <w:tc>
          <w:tcPr>
            <w:tcW w:type="dxa" w:w="2800"/>
            <w:shd w:fill="D6E4F7" w:val="clear"/>
          </w:tcPr>
          <w:p>
            <w:pPr>
              <w:spacing w:after="40" w:before="40"/>
              <w:jc w:val="left"/>
            </w:pPr>
            <w:r>
              <w:rPr>
                <w:sz w:val="18"/>
                <w:szCs w:val="18"/>
              </w:rPr>
              <w:t xml:space="preserve">PCM – Secretaría de Gobierno y Transformación Digital</w:t>
            </w:r>
          </w:p>
        </w:tc>
        <w:tc>
          <w:tcPr>
            <w:tcW w:type="dxa" w:w="1000"/>
            <w:shd w:fill="D6E4F7" w:val="clear"/>
          </w:tcPr>
          <w:p>
            <w:pPr>
              <w:spacing w:after="40" w:before="40"/>
              <w:jc w:val="left"/>
            </w:pPr>
            <w:r>
              <w:rPr>
                <w:sz w:val="18"/>
                <w:szCs w:val="18"/>
              </w:rPr>
              <w:t xml:space="preserve">Externo</w:t>
            </w:r>
          </w:p>
        </w:tc>
        <w:tc>
          <w:tcPr>
            <w:tcW w:type="dxa" w:w="5000"/>
            <w:shd w:fill="D6E4F7" w:val="clear"/>
          </w:tcPr>
          <w:p>
            <w:pPr>
              <w:spacing w:after="40" w:before="40"/>
              <w:jc w:val="left"/>
            </w:pPr>
            <w:r>
              <w:rPr>
                <w:sz w:val="18"/>
                <w:szCs w:val="18"/>
              </w:rPr>
              <w:t xml:space="preserve">Cumplimiento de normativa de Gobierno Digital e interoperabilidad (PIDE).</w:t>
            </w:r>
          </w:p>
        </w:tc>
      </w:tr>
      <w:tr>
        <w:tc>
          <w:tcPr>
            <w:tcW w:type="dxa" w:w="2800"/>
            <w:shd w:fill="FFFFFF" w:val="clear"/>
          </w:tcPr>
          <w:p>
            <w:pPr>
              <w:spacing w:after="40" w:before="40"/>
              <w:jc w:val="left"/>
            </w:pPr>
            <w:r>
              <w:rPr>
                <w:sz w:val="18"/>
                <w:szCs w:val="18"/>
              </w:rPr>
              <w:t xml:space="preserve">Contraloría General de la República</w:t>
            </w:r>
          </w:p>
        </w:tc>
        <w:tc>
          <w:tcPr>
            <w:tcW w:type="dxa" w:w="1000"/>
            <w:shd w:fill="FFFFFF" w:val="clear"/>
          </w:tcPr>
          <w:p>
            <w:pPr>
              <w:spacing w:after="40" w:before="40"/>
              <w:jc w:val="left"/>
            </w:pPr>
            <w:r>
              <w:rPr>
                <w:sz w:val="18"/>
                <w:szCs w:val="18"/>
              </w:rPr>
              <w:t xml:space="preserve">Externo</w:t>
            </w:r>
          </w:p>
        </w:tc>
        <w:tc>
          <w:tcPr>
            <w:tcW w:type="dxa" w:w="5000"/>
            <w:shd w:fill="FFFFFF" w:val="clear"/>
          </w:tcPr>
          <w:p>
            <w:pPr>
              <w:spacing w:after="40" w:before="40"/>
              <w:jc w:val="left"/>
            </w:pPr>
            <w:r>
              <w:rPr>
                <w:sz w:val="18"/>
                <w:szCs w:val="18"/>
              </w:rPr>
              <w:t xml:space="preserve">Trazabilidad, control interno y uso adecuado de recursos públicos.</w:t>
            </w:r>
          </w:p>
        </w:tc>
      </w:tr>
    </w:tbl>
    <w:p>
      <w:r>
        <w:t xml:space="preserve"/>
      </w:r>
    </w:p>
    <w:p>
      <w:pPr>
        <w:pStyle w:val="Heading2"/>
        <w:spacing w:after="120" w:before="240"/>
      </w:pPr>
      <w:r>
        <w:rPr>
          <w:b/>
          <w:bCs/>
          <w:color w:val="2E74B5"/>
          <w:sz w:val="26"/>
          <w:szCs w:val="26"/>
        </w:rPr>
        <w:t xml:space="preserve">3.4. Restricciones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00"/>
        <w:gridCol w:w="2300"/>
      </w:tblGrid>
      <w:tr>
        <w:trPr>
          <w:tblHeader/>
        </w:trPr>
        <w:tc>
          <w:tcPr>
            <w:tcW w:type="dxa" w:w="700"/>
            <w:shd w:fill="1F3864" w:val="clear"/>
          </w:tcPr>
          <w:p>
            <w:pPr>
              <w:jc w:val="center"/>
            </w:pPr>
            <w:r>
              <w:rPr>
                <w:b/>
                <w:bCs/>
                <w:color w:val="FFFFFF"/>
                <w:sz w:val="18"/>
                <w:szCs w:val="18"/>
              </w:rPr>
              <w:t xml:space="preserve">Ref.</w:t>
            </w:r>
          </w:p>
        </w:tc>
        <w:tc>
          <w:tcPr>
            <w:tcW w:type="dxa" w:w="5800"/>
            <w:shd w:fill="1F3864" w:val="clear"/>
          </w:tcPr>
          <w:p>
            <w:pPr>
              <w:jc w:val="center"/>
            </w:pPr>
            <w:r>
              <w:rPr>
                <w:b/>
                <w:bCs/>
                <w:color w:val="FFFFFF"/>
                <w:sz w:val="18"/>
                <w:szCs w:val="18"/>
              </w:rPr>
              <w:t xml:space="preserve">Restricción</w:t>
            </w:r>
          </w:p>
        </w:tc>
        <w:tc>
          <w:tcPr>
            <w:tcW w:type="dxa" w:w="2300"/>
            <w:shd w:fill="1F3864" w:val="clear"/>
          </w:tcPr>
          <w:p>
            <w:pPr>
              <w:jc w:val="center"/>
            </w:pPr>
            <w:r>
              <w:rPr>
                <w:b/>
                <w:bCs/>
                <w:color w:val="FFFFFF"/>
                <w:sz w:val="18"/>
                <w:szCs w:val="18"/>
              </w:rPr>
              <w:t xml:space="preserve">Tipo</w:t>
            </w:r>
          </w:p>
        </w:tc>
      </w:tr>
      <w:tr>
        <w:tc>
          <w:tcPr>
            <w:tcW w:type="dxa" w:w="700"/>
            <w:shd w:fill="FFFFFF" w:val="clear"/>
          </w:tcPr>
          <w:p>
            <w:pPr>
              <w:spacing w:after="40" w:before="40"/>
              <w:jc w:val="left"/>
            </w:pPr>
            <w:r>
              <w:rPr>
                <w:sz w:val="18"/>
                <w:szCs w:val="18"/>
              </w:rPr>
              <w:t xml:space="preserve">RES-01</w:t>
            </w:r>
          </w:p>
        </w:tc>
        <w:tc>
          <w:tcPr>
            <w:tcW w:type="dxa" w:w="5800"/>
            <w:shd w:fill="FFFFFF" w:val="clear"/>
          </w:tcPr>
          <w:p>
            <w:pPr>
              <w:spacing w:after="40" w:before="40"/>
              <w:jc w:val="left"/>
            </w:pPr>
            <w:r>
              <w:rPr>
                <w:sz w:val="18"/>
                <w:szCs w:val="18"/>
              </w:rPr>
              <w:t xml:space="preserve">Presupuesto público limitado y sujeto a aprobación anual.</w:t>
            </w:r>
          </w:p>
        </w:tc>
        <w:tc>
          <w:tcPr>
            <w:tcW w:type="dxa" w:w="2300"/>
            <w:shd w:fill="FFFFFF" w:val="clear"/>
          </w:tcPr>
          <w:p>
            <w:pPr>
              <w:spacing w:after="40" w:before="40"/>
              <w:jc w:val="left"/>
            </w:pPr>
            <w:r>
              <w:rPr>
                <w:sz w:val="18"/>
                <w:szCs w:val="18"/>
              </w:rPr>
              <w:t xml:space="preserve">Económica</w:t>
            </w:r>
          </w:p>
        </w:tc>
      </w:tr>
      <w:tr>
        <w:tc>
          <w:tcPr>
            <w:tcW w:type="dxa" w:w="700"/>
            <w:shd w:fill="D6E4F7" w:val="clear"/>
          </w:tcPr>
          <w:p>
            <w:pPr>
              <w:spacing w:after="40" w:before="40"/>
              <w:jc w:val="left"/>
            </w:pPr>
            <w:r>
              <w:rPr>
                <w:sz w:val="18"/>
                <w:szCs w:val="18"/>
              </w:rPr>
              <w:t xml:space="preserve">RES-02</w:t>
            </w:r>
          </w:p>
        </w:tc>
        <w:tc>
          <w:tcPr>
            <w:tcW w:type="dxa" w:w="5800"/>
            <w:shd w:fill="D6E4F7" w:val="clear"/>
          </w:tcPr>
          <w:p>
            <w:pPr>
              <w:spacing w:after="40" w:before="40"/>
              <w:jc w:val="left"/>
            </w:pPr>
            <w:r>
              <w:rPr>
                <w:sz w:val="18"/>
                <w:szCs w:val="18"/>
              </w:rPr>
              <w:t xml:space="preserve">Sistemas heredados poco documentados y aislados.</w:t>
            </w:r>
          </w:p>
        </w:tc>
        <w:tc>
          <w:tcPr>
            <w:tcW w:type="dxa" w:w="2300"/>
            <w:shd w:fill="D6E4F7" w:val="clear"/>
          </w:tcPr>
          <w:p>
            <w:pPr>
              <w:spacing w:after="40" w:before="40"/>
              <w:jc w:val="left"/>
            </w:pPr>
            <w:r>
              <w:rPr>
                <w:sz w:val="18"/>
                <w:szCs w:val="18"/>
              </w:rPr>
              <w:t xml:space="preserve">Tecnológica</w:t>
            </w:r>
          </w:p>
        </w:tc>
      </w:tr>
      <w:tr>
        <w:tc>
          <w:tcPr>
            <w:tcW w:type="dxa" w:w="700"/>
            <w:shd w:fill="FFFFFF" w:val="clear"/>
          </w:tcPr>
          <w:p>
            <w:pPr>
              <w:spacing w:after="40" w:before="40"/>
              <w:jc w:val="left"/>
            </w:pPr>
            <w:r>
              <w:rPr>
                <w:sz w:val="18"/>
                <w:szCs w:val="18"/>
              </w:rPr>
              <w:t xml:space="preserve">RES-03</w:t>
            </w:r>
          </w:p>
        </w:tc>
        <w:tc>
          <w:tcPr>
            <w:tcW w:type="dxa" w:w="5800"/>
            <w:shd w:fill="FFFFFF" w:val="clear"/>
          </w:tcPr>
          <w:p>
            <w:pPr>
              <w:spacing w:after="40" w:before="40"/>
              <w:jc w:val="left"/>
            </w:pPr>
            <w:r>
              <w:rPr>
                <w:sz w:val="18"/>
                <w:szCs w:val="18"/>
              </w:rPr>
              <w:t xml:space="preserve">Alta rotación política y de autoridades.</w:t>
            </w:r>
          </w:p>
        </w:tc>
        <w:tc>
          <w:tcPr>
            <w:tcW w:type="dxa" w:w="2300"/>
            <w:shd w:fill="FFFFFF" w:val="clear"/>
          </w:tcPr>
          <w:p>
            <w:pPr>
              <w:spacing w:after="40" w:before="40"/>
              <w:jc w:val="left"/>
            </w:pPr>
            <w:r>
              <w:rPr>
                <w:sz w:val="18"/>
                <w:szCs w:val="18"/>
              </w:rPr>
              <w:t xml:space="preserve">Organizacional</w:t>
            </w:r>
          </w:p>
        </w:tc>
      </w:tr>
      <w:tr>
        <w:tc>
          <w:tcPr>
            <w:tcW w:type="dxa" w:w="700"/>
            <w:shd w:fill="D6E4F7" w:val="clear"/>
          </w:tcPr>
          <w:p>
            <w:pPr>
              <w:spacing w:after="40" w:before="40"/>
              <w:jc w:val="left"/>
            </w:pPr>
            <w:r>
              <w:rPr>
                <w:sz w:val="18"/>
                <w:szCs w:val="18"/>
              </w:rPr>
              <w:t xml:space="preserve">RES-04</w:t>
            </w:r>
          </w:p>
        </w:tc>
        <w:tc>
          <w:tcPr>
            <w:tcW w:type="dxa" w:w="5800"/>
            <w:shd w:fill="D6E4F7" w:val="clear"/>
          </w:tcPr>
          <w:p>
            <w:pPr>
              <w:spacing w:after="40" w:before="40"/>
              <w:jc w:val="left"/>
            </w:pPr>
            <w:r>
              <w:rPr>
                <w:sz w:val="18"/>
                <w:szCs w:val="18"/>
              </w:rPr>
              <w:t xml:space="preserve">Protección obligatoria de datos personales (Ley N° 29733).</w:t>
            </w:r>
          </w:p>
        </w:tc>
        <w:tc>
          <w:tcPr>
            <w:tcW w:type="dxa" w:w="2300"/>
            <w:shd w:fill="D6E4F7" w:val="clear"/>
          </w:tcPr>
          <w:p>
            <w:pPr>
              <w:spacing w:after="40" w:before="40"/>
              <w:jc w:val="left"/>
            </w:pPr>
            <w:r>
              <w:rPr>
                <w:sz w:val="18"/>
                <w:szCs w:val="18"/>
              </w:rPr>
              <w:t xml:space="preserve">Normativa</w:t>
            </w:r>
          </w:p>
        </w:tc>
      </w:tr>
      <w:tr>
        <w:tc>
          <w:tcPr>
            <w:tcW w:type="dxa" w:w="700"/>
            <w:shd w:fill="FFFFFF" w:val="clear"/>
          </w:tcPr>
          <w:p>
            <w:pPr>
              <w:spacing w:after="40" w:before="40"/>
              <w:jc w:val="left"/>
            </w:pPr>
            <w:r>
              <w:rPr>
                <w:sz w:val="18"/>
                <w:szCs w:val="18"/>
              </w:rPr>
              <w:t xml:space="preserve">RES-05</w:t>
            </w:r>
          </w:p>
        </w:tc>
        <w:tc>
          <w:tcPr>
            <w:tcW w:type="dxa" w:w="5800"/>
            <w:shd w:fill="FFFFFF" w:val="clear"/>
          </w:tcPr>
          <w:p>
            <w:pPr>
              <w:spacing w:after="40" w:before="40"/>
              <w:jc w:val="left"/>
            </w:pPr>
            <w:r>
              <w:rPr>
                <w:sz w:val="18"/>
                <w:szCs w:val="18"/>
              </w:rPr>
              <w:t xml:space="preserve">Cumplimiento de la Ley de Gobierno Digital (D. L. N° 1412) y lineamientos SGTD–PCM.</w:t>
            </w:r>
          </w:p>
        </w:tc>
        <w:tc>
          <w:tcPr>
            <w:tcW w:type="dxa" w:w="2300"/>
            <w:shd w:fill="FFFFFF" w:val="clear"/>
          </w:tcPr>
          <w:p>
            <w:pPr>
              <w:spacing w:after="40" w:before="40"/>
              <w:jc w:val="left"/>
            </w:pPr>
            <w:r>
              <w:rPr>
                <w:sz w:val="18"/>
                <w:szCs w:val="18"/>
              </w:rPr>
              <w:t xml:space="preserve">Normativa</w:t>
            </w:r>
          </w:p>
        </w:tc>
      </w:tr>
      <w:tr>
        <w:tc>
          <w:tcPr>
            <w:tcW w:type="dxa" w:w="700"/>
            <w:shd w:fill="D6E4F7" w:val="clear"/>
          </w:tcPr>
          <w:p>
            <w:pPr>
              <w:spacing w:after="40" w:before="40"/>
              <w:jc w:val="left"/>
            </w:pPr>
            <w:r>
              <w:rPr>
                <w:sz w:val="18"/>
                <w:szCs w:val="18"/>
              </w:rPr>
              <w:t xml:space="preserve">RES-06</w:t>
            </w:r>
          </w:p>
        </w:tc>
        <w:tc>
          <w:tcPr>
            <w:tcW w:type="dxa" w:w="5800"/>
            <w:shd w:fill="D6E4F7" w:val="clear"/>
          </w:tcPr>
          <w:p>
            <w:pPr>
              <w:spacing w:after="40" w:before="40"/>
              <w:jc w:val="left"/>
            </w:pPr>
            <w:r>
              <w:rPr>
                <w:sz w:val="18"/>
                <w:szCs w:val="18"/>
              </w:rPr>
              <w:t xml:space="preserve">Integración técnica obligatoria con la Plataforma de Interoperabilidad del Estado (PIDE).</w:t>
            </w:r>
          </w:p>
        </w:tc>
        <w:tc>
          <w:tcPr>
            <w:tcW w:type="dxa" w:w="2300"/>
            <w:shd w:fill="D6E4F7" w:val="clear"/>
          </w:tcPr>
          <w:p>
            <w:pPr>
              <w:spacing w:after="40" w:before="40"/>
              <w:jc w:val="left"/>
            </w:pPr>
            <w:r>
              <w:rPr>
                <w:sz w:val="18"/>
                <w:szCs w:val="18"/>
              </w:rPr>
              <w:t xml:space="preserve">Técnica/Normativa</w:t>
            </w:r>
          </w:p>
        </w:tc>
      </w:tr>
    </w:tbl>
    <w:p>
      <w:r>
        <w:t xml:space="preserve"/>
      </w:r>
    </w:p>
    <w:p>
      <w:pPr>
        <w:pStyle w:val="Heading2"/>
        <w:spacing w:after="120" w:before="240"/>
      </w:pPr>
      <w:r>
        <w:rPr>
          <w:b/>
          <w:bCs/>
          <w:color w:val="2E74B5"/>
          <w:sz w:val="26"/>
          <w:szCs w:val="26"/>
        </w:rPr>
        <w:t xml:space="preserve">3.5. Capacidades institucionales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800"/>
        <w:gridCol w:w="2500"/>
      </w:tblGrid>
      <w:tr>
        <w:trPr>
          <w:tblHeader/>
        </w:trPr>
        <w:tc>
          <w:tcPr>
            <w:tcW w:type="dxa" w:w="3000"/>
            <w:shd w:fill="1F3864" w:val="clear"/>
          </w:tcPr>
          <w:p>
            <w:pPr>
              <w:jc w:val="center"/>
            </w:pPr>
            <w:r>
              <w:rPr>
                <w:b/>
                <w:bCs/>
                <w:color w:val="FFFFFF"/>
                <w:sz w:val="18"/>
                <w:szCs w:val="18"/>
              </w:rPr>
              <w:t xml:space="preserve">Capacidad institucional</w:t>
            </w:r>
          </w:p>
        </w:tc>
        <w:tc>
          <w:tcPr>
            <w:tcW w:type="dxa" w:w="1500"/>
            <w:shd w:fill="1F3864" w:val="clear"/>
          </w:tcPr>
          <w:p>
            <w:pPr>
              <w:jc w:val="center"/>
            </w:pPr>
            <w:r>
              <w:rPr>
                <w:b/>
                <w:bCs/>
                <w:color w:val="FFFFFF"/>
                <w:sz w:val="18"/>
                <w:szCs w:val="18"/>
              </w:rPr>
              <w:t xml:space="preserve">Madurez actual</w:t>
            </w:r>
          </w:p>
        </w:tc>
        <w:tc>
          <w:tcPr>
            <w:tcW w:type="dxa" w:w="1800"/>
            <w:shd w:fill="1F3864" w:val="clear"/>
          </w:tcPr>
          <w:p>
            <w:pPr>
              <w:jc w:val="center"/>
            </w:pPr>
            <w:r>
              <w:rPr>
                <w:b/>
                <w:bCs/>
                <w:color w:val="FFFFFF"/>
                <w:sz w:val="18"/>
                <w:szCs w:val="18"/>
              </w:rPr>
              <w:t xml:space="preserve">Madurez objetivo</w:t>
            </w:r>
          </w:p>
        </w:tc>
        <w:tc>
          <w:tcPr>
            <w:tcW w:type="dxa" w:w="2500"/>
            <w:shd w:fill="1F3864" w:val="clear"/>
          </w:tcPr>
          <w:p>
            <w:pPr>
              <w:jc w:val="center"/>
            </w:pPr>
            <w:r>
              <w:rPr>
                <w:b/>
                <w:bCs/>
                <w:color w:val="FFFFFF"/>
                <w:sz w:val="18"/>
                <w:szCs w:val="18"/>
              </w:rPr>
              <w:t xml:space="preserve">Brecha</w:t>
            </w:r>
          </w:p>
        </w:tc>
      </w:tr>
      <w:tr>
        <w:tc>
          <w:tcPr>
            <w:tcW w:type="dxa" w:w="3000"/>
            <w:shd w:fill="FFFFFF" w:val="clear"/>
          </w:tcPr>
          <w:p>
            <w:pPr>
              <w:spacing w:after="40" w:before="40"/>
              <w:jc w:val="left"/>
            </w:pPr>
            <w:r>
              <w:rPr>
                <w:sz w:val="18"/>
                <w:szCs w:val="18"/>
              </w:rPr>
              <w:t xml:space="preserve">Servicios digitales al ciudadano</w:t>
            </w:r>
          </w:p>
        </w:tc>
        <w:tc>
          <w:tcPr>
            <w:tcW w:type="dxa" w:w="1500"/>
            <w:shd w:fill="FFFFFF" w:val="clear"/>
          </w:tcPr>
          <w:p>
            <w:pPr>
              <w:spacing w:after="40" w:before="40"/>
              <w:jc w:val="left"/>
            </w:pPr>
            <w:r>
              <w:rPr>
                <w:sz w:val="18"/>
                <w:szCs w:val="18"/>
              </w:rPr>
              <w:t xml:space="preserve">Baja</w:t>
            </w:r>
          </w:p>
        </w:tc>
        <w:tc>
          <w:tcPr>
            <w:tcW w:type="dxa" w:w="1800"/>
            <w:shd w:fill="FFFFFF" w:val="clear"/>
          </w:tcPr>
          <w:p>
            <w:pPr>
              <w:spacing w:after="40" w:before="40"/>
              <w:jc w:val="left"/>
            </w:pPr>
            <w:r>
              <w:rPr>
                <w:sz w:val="18"/>
                <w:szCs w:val="18"/>
              </w:rPr>
              <w:t xml:space="preserve">Alta</w:t>
            </w:r>
          </w:p>
        </w:tc>
        <w:tc>
          <w:tcPr>
            <w:tcW w:type="dxa" w:w="2500"/>
            <w:shd w:fill="FFFFFF" w:val="clear"/>
          </w:tcPr>
          <w:p>
            <w:pPr>
              <w:spacing w:after="40" w:before="40"/>
              <w:jc w:val="left"/>
            </w:pPr>
            <w:r>
              <w:rPr>
                <w:sz w:val="18"/>
                <w:szCs w:val="18"/>
              </w:rPr>
              <w:t xml:space="preserve">Significativa</w:t>
            </w:r>
          </w:p>
        </w:tc>
      </w:tr>
      <w:tr>
        <w:tc>
          <w:tcPr>
            <w:tcW w:type="dxa" w:w="3000"/>
            <w:shd w:fill="D6E4F7" w:val="clear"/>
          </w:tcPr>
          <w:p>
            <w:pPr>
              <w:spacing w:after="40" w:before="40"/>
              <w:jc w:val="left"/>
            </w:pPr>
            <w:r>
              <w:rPr>
                <w:sz w:val="18"/>
                <w:szCs w:val="18"/>
              </w:rPr>
              <w:t xml:space="preserve">Interoperabilidad e integración</w:t>
            </w:r>
          </w:p>
        </w:tc>
        <w:tc>
          <w:tcPr>
            <w:tcW w:type="dxa" w:w="1500"/>
            <w:shd w:fill="D6E4F7" w:val="clear"/>
          </w:tcPr>
          <w:p>
            <w:pPr>
              <w:spacing w:after="40" w:before="40"/>
              <w:jc w:val="left"/>
            </w:pPr>
            <w:r>
              <w:rPr>
                <w:sz w:val="18"/>
                <w:szCs w:val="18"/>
              </w:rPr>
              <w:t xml:space="preserve">Baja</w:t>
            </w:r>
          </w:p>
        </w:tc>
        <w:tc>
          <w:tcPr>
            <w:tcW w:type="dxa" w:w="1800"/>
            <w:shd w:fill="D6E4F7" w:val="clear"/>
          </w:tcPr>
          <w:p>
            <w:pPr>
              <w:spacing w:after="40" w:before="40"/>
              <w:jc w:val="left"/>
            </w:pPr>
            <w:r>
              <w:rPr>
                <w:sz w:val="18"/>
                <w:szCs w:val="18"/>
              </w:rPr>
              <w:t xml:space="preserve">Alta</w:t>
            </w:r>
          </w:p>
        </w:tc>
        <w:tc>
          <w:tcPr>
            <w:tcW w:type="dxa" w:w="2500"/>
            <w:shd w:fill="D6E4F7" w:val="clear"/>
          </w:tcPr>
          <w:p>
            <w:pPr>
              <w:spacing w:after="40" w:before="40"/>
              <w:jc w:val="left"/>
            </w:pPr>
            <w:r>
              <w:rPr>
                <w:sz w:val="18"/>
                <w:szCs w:val="18"/>
              </w:rPr>
              <w:t xml:space="preserve">Significativa</w:t>
            </w:r>
          </w:p>
        </w:tc>
      </w:tr>
      <w:tr>
        <w:tc>
          <w:tcPr>
            <w:tcW w:type="dxa" w:w="3000"/>
            <w:shd w:fill="FFFFFF" w:val="clear"/>
          </w:tcPr>
          <w:p>
            <w:pPr>
              <w:spacing w:after="40" w:before="40"/>
              <w:jc w:val="left"/>
            </w:pPr>
            <w:r>
              <w:rPr>
                <w:sz w:val="18"/>
                <w:szCs w:val="18"/>
              </w:rPr>
              <w:t xml:space="preserve">Gobierno y calidad de datos</w:t>
            </w:r>
          </w:p>
        </w:tc>
        <w:tc>
          <w:tcPr>
            <w:tcW w:type="dxa" w:w="1500"/>
            <w:shd w:fill="FFFFFF" w:val="clear"/>
          </w:tcPr>
          <w:p>
            <w:pPr>
              <w:spacing w:after="40" w:before="40"/>
              <w:jc w:val="left"/>
            </w:pPr>
            <w:r>
              <w:rPr>
                <w:sz w:val="18"/>
                <w:szCs w:val="18"/>
              </w:rPr>
              <w:t xml:space="preserve">Baja</w:t>
            </w:r>
          </w:p>
        </w:tc>
        <w:tc>
          <w:tcPr>
            <w:tcW w:type="dxa" w:w="1800"/>
            <w:shd w:fill="FFFFFF" w:val="clear"/>
          </w:tcPr>
          <w:p>
            <w:pPr>
              <w:spacing w:after="40" w:before="40"/>
              <w:jc w:val="left"/>
            </w:pPr>
            <w:r>
              <w:rPr>
                <w:sz w:val="18"/>
                <w:szCs w:val="18"/>
              </w:rPr>
              <w:t xml:space="preserve">Media-Alta</w:t>
            </w:r>
          </w:p>
        </w:tc>
        <w:tc>
          <w:tcPr>
            <w:tcW w:type="dxa" w:w="2500"/>
            <w:shd w:fill="FFFFFF" w:val="clear"/>
          </w:tcPr>
          <w:p>
            <w:pPr>
              <w:spacing w:after="40" w:before="40"/>
              <w:jc w:val="left"/>
            </w:pPr>
            <w:r>
              <w:rPr>
                <w:sz w:val="18"/>
                <w:szCs w:val="18"/>
              </w:rPr>
              <w:t xml:space="preserve">Moderada</w:t>
            </w:r>
          </w:p>
        </w:tc>
      </w:tr>
      <w:tr>
        <w:tc>
          <w:tcPr>
            <w:tcW w:type="dxa" w:w="3000"/>
            <w:shd w:fill="D6E4F7" w:val="clear"/>
          </w:tcPr>
          <w:p>
            <w:pPr>
              <w:spacing w:after="40" w:before="40"/>
              <w:jc w:val="left"/>
            </w:pPr>
            <w:r>
              <w:rPr>
                <w:sz w:val="18"/>
                <w:szCs w:val="18"/>
              </w:rPr>
              <w:t xml:space="preserve">Seguridad de la información</w:t>
            </w:r>
          </w:p>
        </w:tc>
        <w:tc>
          <w:tcPr>
            <w:tcW w:type="dxa" w:w="1500"/>
            <w:shd w:fill="D6E4F7" w:val="clear"/>
          </w:tcPr>
          <w:p>
            <w:pPr>
              <w:spacing w:after="40" w:before="40"/>
              <w:jc w:val="left"/>
            </w:pPr>
            <w:r>
              <w:rPr>
                <w:sz w:val="18"/>
                <w:szCs w:val="18"/>
              </w:rPr>
              <w:t xml:space="preserve">Media</w:t>
            </w:r>
          </w:p>
        </w:tc>
        <w:tc>
          <w:tcPr>
            <w:tcW w:type="dxa" w:w="1800"/>
            <w:shd w:fill="D6E4F7" w:val="clear"/>
          </w:tcPr>
          <w:p>
            <w:pPr>
              <w:spacing w:after="40" w:before="40"/>
              <w:jc w:val="left"/>
            </w:pPr>
            <w:r>
              <w:rPr>
                <w:sz w:val="18"/>
                <w:szCs w:val="18"/>
              </w:rPr>
              <w:t xml:space="preserve">Alta</w:t>
            </w:r>
          </w:p>
        </w:tc>
        <w:tc>
          <w:tcPr>
            <w:tcW w:type="dxa" w:w="2500"/>
            <w:shd w:fill="D6E4F7" w:val="clear"/>
          </w:tcPr>
          <w:p>
            <w:pPr>
              <w:spacing w:after="40" w:before="40"/>
              <w:jc w:val="left"/>
            </w:pPr>
            <w:r>
              <w:rPr>
                <w:sz w:val="18"/>
                <w:szCs w:val="18"/>
              </w:rPr>
              <w:t xml:space="preserve">Moderada</w:t>
            </w:r>
          </w:p>
        </w:tc>
      </w:tr>
      <w:tr>
        <w:tc>
          <w:tcPr>
            <w:tcW w:type="dxa" w:w="3000"/>
            <w:shd w:fill="FFFFFF" w:val="clear"/>
          </w:tcPr>
          <w:p>
            <w:pPr>
              <w:spacing w:after="40" w:before="40"/>
              <w:jc w:val="left"/>
            </w:pPr>
            <w:r>
              <w:rPr>
                <w:sz w:val="18"/>
                <w:szCs w:val="18"/>
              </w:rPr>
              <w:t xml:space="preserve">Infraestructura tecnológica</w:t>
            </w:r>
          </w:p>
        </w:tc>
        <w:tc>
          <w:tcPr>
            <w:tcW w:type="dxa" w:w="1500"/>
            <w:shd w:fill="FFFFFF" w:val="clear"/>
          </w:tcPr>
          <w:p>
            <w:pPr>
              <w:spacing w:after="40" w:before="40"/>
              <w:jc w:val="left"/>
            </w:pPr>
            <w:r>
              <w:rPr>
                <w:sz w:val="18"/>
                <w:szCs w:val="18"/>
              </w:rPr>
              <w:t xml:space="preserve">Media</w:t>
            </w:r>
          </w:p>
        </w:tc>
        <w:tc>
          <w:tcPr>
            <w:tcW w:type="dxa" w:w="1800"/>
            <w:shd w:fill="FFFFFF" w:val="clear"/>
          </w:tcPr>
          <w:p>
            <w:pPr>
              <w:spacing w:after="40" w:before="40"/>
              <w:jc w:val="left"/>
            </w:pPr>
            <w:r>
              <w:rPr>
                <w:sz w:val="18"/>
                <w:szCs w:val="18"/>
              </w:rPr>
              <w:t xml:space="preserve">Media-Alta</w:t>
            </w:r>
          </w:p>
        </w:tc>
        <w:tc>
          <w:tcPr>
            <w:tcW w:type="dxa" w:w="2500"/>
            <w:shd w:fill="FFFFFF" w:val="clear"/>
          </w:tcPr>
          <w:p>
            <w:pPr>
              <w:spacing w:after="40" w:before="40"/>
              <w:jc w:val="left"/>
            </w:pPr>
            <w:r>
              <w:rPr>
                <w:sz w:val="18"/>
                <w:szCs w:val="18"/>
              </w:rPr>
              <w:t xml:space="preserve">Menor</w:t>
            </w:r>
          </w:p>
        </w:tc>
      </w:tr>
      <w:tr>
        <w:tc>
          <w:tcPr>
            <w:tcW w:type="dxa" w:w="3000"/>
            <w:shd w:fill="D6E4F7" w:val="clear"/>
          </w:tcPr>
          <w:p>
            <w:pPr>
              <w:spacing w:after="40" w:before="40"/>
              <w:jc w:val="left"/>
            </w:pPr>
            <w:r>
              <w:rPr>
                <w:sz w:val="18"/>
                <w:szCs w:val="18"/>
              </w:rPr>
              <w:t xml:space="preserve">Gestión y modelado de procesos (BPM)</w:t>
            </w:r>
          </w:p>
        </w:tc>
        <w:tc>
          <w:tcPr>
            <w:tcW w:type="dxa" w:w="1500"/>
            <w:shd w:fill="D6E4F7" w:val="clear"/>
          </w:tcPr>
          <w:p>
            <w:pPr>
              <w:spacing w:after="40" w:before="40"/>
              <w:jc w:val="left"/>
            </w:pPr>
            <w:r>
              <w:rPr>
                <w:sz w:val="18"/>
                <w:szCs w:val="18"/>
              </w:rPr>
              <w:t xml:space="preserve">Baja</w:t>
            </w:r>
          </w:p>
        </w:tc>
        <w:tc>
          <w:tcPr>
            <w:tcW w:type="dxa" w:w="1800"/>
            <w:shd w:fill="D6E4F7" w:val="clear"/>
          </w:tcPr>
          <w:p>
            <w:pPr>
              <w:spacing w:after="40" w:before="40"/>
              <w:jc w:val="left"/>
            </w:pPr>
            <w:r>
              <w:rPr>
                <w:sz w:val="18"/>
                <w:szCs w:val="18"/>
              </w:rPr>
              <w:t xml:space="preserve">Media-Alta</w:t>
            </w:r>
          </w:p>
        </w:tc>
        <w:tc>
          <w:tcPr>
            <w:tcW w:type="dxa" w:w="2500"/>
            <w:shd w:fill="D6E4F7" w:val="clear"/>
          </w:tcPr>
          <w:p>
            <w:pPr>
              <w:spacing w:after="40" w:before="40"/>
              <w:jc w:val="left"/>
            </w:pPr>
            <w:r>
              <w:rPr>
                <w:sz w:val="18"/>
                <w:szCs w:val="18"/>
              </w:rPr>
              <w:t xml:space="preserve">Moderada</w:t>
            </w:r>
          </w:p>
        </w:tc>
      </w:tr>
    </w:tbl>
    <w:p>
      <w:pPr>
        <w:pStyle w:val="Heading1"/>
        <w:spacing w:after="120" w:before="240"/>
      </w:pPr>
      <w:r>
        <w:rPr>
          <w:b/>
          <w:bCs/>
          <w:color w:val="1F3864"/>
          <w:sz w:val="32"/>
          <w:szCs w:val="32"/>
        </w:rPr>
        <w:t xml:space="preserve">4. Cumplimiento</w:t>
      </w:r>
    </w:p>
    <w:p>
      <w:pPr>
        <w:pStyle w:val="Heading2"/>
        <w:spacing w:after="120" w:before="240"/>
      </w:pPr>
      <w:r>
        <w:rPr>
          <w:b/>
          <w:bCs/>
          <w:color w:val="2E74B5"/>
          <w:sz w:val="26"/>
          <w:szCs w:val="26"/>
        </w:rPr>
        <w:t xml:space="preserve">4.1. Principios de arquitectura</w:t>
      </w:r>
    </w:p>
    <w:p>
      <w:pPr>
        <w:spacing w:after="80" w:before="80"/>
        <w:jc w:val="both"/>
      </w:pPr>
      <w:r>
        <w:rPr>
          <w:sz w:val="22"/>
          <w:szCs w:val="22"/>
        </w:rPr>
        <w:t xml:space="preserve">La arquitectura de negocio cumple los 15 principios del catálogo aprobado en la Fase Preliminar V2 (Architecture_Principles_MML.docx). A continuación se muestran los cuatro principios rectores con mayor implicancia en el dominio de negocio, con su código de catálogo. Los 11 principios restantes aplican en los dominios de datos (DP), aplicaciones (AP) y tecnología (TP), cuyo detalle se desarrolla en las Fases C y D.</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3000"/>
        <w:gridCol w:w="3200"/>
      </w:tblGrid>
      <w:tr>
        <w:trPr>
          <w:tblHeader/>
        </w:trPr>
        <w:tc>
          <w:tcPr>
            <w:tcW w:type="dxa" w:w="600"/>
            <w:shd w:fill="1F3864" w:val="clear"/>
          </w:tcPr>
          <w:p>
            <w:pPr>
              <w:jc w:val="center"/>
            </w:pPr>
            <w:r>
              <w:rPr>
                <w:b/>
                <w:bCs/>
                <w:color w:val="FFFFFF"/>
                <w:sz w:val="18"/>
                <w:szCs w:val="18"/>
              </w:rPr>
              <w:t xml:space="preserve">Código</w:t>
            </w:r>
          </w:p>
        </w:tc>
        <w:tc>
          <w:tcPr>
            <w:tcW w:type="dxa" w:w="2000"/>
            <w:shd w:fill="1F3864" w:val="clear"/>
          </w:tcPr>
          <w:p>
            <w:pPr>
              <w:jc w:val="center"/>
            </w:pPr>
            <w:r>
              <w:rPr>
                <w:b/>
                <w:bCs/>
                <w:color w:val="FFFFFF"/>
                <w:sz w:val="18"/>
                <w:szCs w:val="18"/>
              </w:rPr>
              <w:t xml:space="preserve">Principio</w:t>
            </w:r>
          </w:p>
        </w:tc>
        <w:tc>
          <w:tcPr>
            <w:tcW w:type="dxa" w:w="3000"/>
            <w:shd w:fill="1F3864" w:val="clear"/>
          </w:tcPr>
          <w:p>
            <w:pPr>
              <w:jc w:val="center"/>
            </w:pPr>
            <w:r>
              <w:rPr>
                <w:b/>
                <w:bCs/>
                <w:color w:val="FFFFFF"/>
                <w:sz w:val="18"/>
                <w:szCs w:val="18"/>
              </w:rPr>
              <w:t xml:space="preserve">Enunciado</w:t>
            </w:r>
          </w:p>
        </w:tc>
        <w:tc>
          <w:tcPr>
            <w:tcW w:type="dxa" w:w="3200"/>
            <w:shd w:fill="1F3864" w:val="clear"/>
          </w:tcPr>
          <w:p>
            <w:pPr>
              <w:jc w:val="center"/>
            </w:pPr>
            <w:r>
              <w:rPr>
                <w:b/>
                <w:bCs/>
                <w:color w:val="FFFFFF"/>
                <w:sz w:val="18"/>
                <w:szCs w:val="18"/>
              </w:rPr>
              <w:t xml:space="preserve">Implicancia para el negocio</w:t>
            </w:r>
          </w:p>
        </w:tc>
      </w:tr>
      <w:tr>
        <w:tc>
          <w:tcPr>
            <w:tcW w:type="dxa" w:w="600"/>
            <w:shd w:fill="FFFFFF" w:val="clear"/>
          </w:tcPr>
          <w:p>
            <w:pPr>
              <w:spacing w:after="40" w:before="40"/>
              <w:jc w:val="left"/>
            </w:pPr>
            <w:r>
              <w:rPr>
                <w:sz w:val="18"/>
                <w:szCs w:val="18"/>
              </w:rPr>
              <w:t xml:space="preserve">BP02</w:t>
            </w:r>
          </w:p>
        </w:tc>
        <w:tc>
          <w:tcPr>
            <w:tcW w:type="dxa" w:w="2000"/>
            <w:shd w:fill="FFFFFF" w:val="clear"/>
          </w:tcPr>
          <w:p>
            <w:pPr>
              <w:spacing w:after="40" w:before="40"/>
              <w:jc w:val="left"/>
            </w:pPr>
            <w:r>
              <w:rPr>
                <w:sz w:val="18"/>
                <w:szCs w:val="18"/>
              </w:rPr>
              <w:t xml:space="preserve">Orientación al ciudadano</w:t>
            </w:r>
          </w:p>
        </w:tc>
        <w:tc>
          <w:tcPr>
            <w:tcW w:type="dxa" w:w="3000"/>
            <w:shd w:fill="FFFFFF" w:val="clear"/>
          </w:tcPr>
          <w:p>
            <w:pPr>
              <w:spacing w:after="40" w:before="40"/>
              <w:jc w:val="left"/>
            </w:pPr>
            <w:r>
              <w:rPr>
                <w:sz w:val="18"/>
                <w:szCs w:val="18"/>
              </w:rPr>
              <w:t xml:space="preserve">Los servicios municipales priorizan una atención rápida, accesible y centrada en las necesidades del ciudadano.</w:t>
            </w:r>
          </w:p>
        </w:tc>
        <w:tc>
          <w:tcPr>
            <w:tcW w:type="dxa" w:w="3200"/>
            <w:shd w:fill="FFFFFF" w:val="clear"/>
          </w:tcPr>
          <w:p>
            <w:pPr>
              <w:spacing w:after="40" w:before="40"/>
              <w:jc w:val="left"/>
            </w:pPr>
            <w:r>
              <w:rPr>
                <w:sz w:val="18"/>
                <w:szCs w:val="18"/>
              </w:rPr>
              <w:t xml:space="preserve">Procesos rediseñados extremo a extremo desde la perspectiva ciudadana; canales digitales 24/7.</w:t>
            </w:r>
          </w:p>
        </w:tc>
      </w:tr>
      <w:tr>
        <w:tc>
          <w:tcPr>
            <w:tcW w:type="dxa" w:w="600"/>
            <w:shd w:fill="D6E4F7" w:val="clear"/>
          </w:tcPr>
          <w:p>
            <w:pPr>
              <w:spacing w:after="40" w:before="40"/>
              <w:jc w:val="left"/>
            </w:pPr>
            <w:r>
              <w:rPr>
                <w:sz w:val="18"/>
                <w:szCs w:val="18"/>
              </w:rPr>
              <w:t xml:space="preserve">BP04</w:t>
            </w:r>
          </w:p>
        </w:tc>
        <w:tc>
          <w:tcPr>
            <w:tcW w:type="dxa" w:w="2000"/>
            <w:shd w:fill="D6E4F7" w:val="clear"/>
          </w:tcPr>
          <w:p>
            <w:pPr>
              <w:spacing w:after="40" w:before="40"/>
              <w:jc w:val="left"/>
            </w:pPr>
            <w:r>
              <w:rPr>
                <w:sz w:val="18"/>
                <w:szCs w:val="18"/>
              </w:rPr>
              <w:t xml:space="preserve">Transparencia y trazabilidad</w:t>
            </w:r>
          </w:p>
        </w:tc>
        <w:tc>
          <w:tcPr>
            <w:tcW w:type="dxa" w:w="3000"/>
            <w:shd w:fill="D6E4F7" w:val="clear"/>
          </w:tcPr>
          <w:p>
            <w:pPr>
              <w:spacing w:after="40" w:before="40"/>
              <w:jc w:val="left"/>
            </w:pPr>
            <w:r>
              <w:rPr>
                <w:sz w:val="18"/>
                <w:szCs w:val="18"/>
              </w:rPr>
              <w:t xml:space="preserve">Todo trámite o proceso municipal debe poder monitorearse, registrarse y ser auditado.</w:t>
            </w:r>
          </w:p>
        </w:tc>
        <w:tc>
          <w:tcPr>
            <w:tcW w:type="dxa" w:w="3200"/>
            <w:shd w:fill="D6E4F7" w:val="clear"/>
          </w:tcPr>
          <w:p>
            <w:pPr>
              <w:spacing w:after="40" w:before="40"/>
              <w:jc w:val="left"/>
            </w:pPr>
            <w:r>
              <w:rPr>
                <w:sz w:val="18"/>
                <w:szCs w:val="18"/>
              </w:rPr>
              <w:t xml:space="preserve">Estados y responsables visibles en cada paso del expediente; registro de auditoría obligatorio.</w:t>
            </w:r>
          </w:p>
        </w:tc>
      </w:tr>
      <w:tr>
        <w:tc>
          <w:tcPr>
            <w:tcW w:type="dxa" w:w="600"/>
            <w:shd w:fill="FFFFFF" w:val="clear"/>
          </w:tcPr>
          <w:p>
            <w:pPr>
              <w:spacing w:after="40" w:before="40"/>
              <w:jc w:val="left"/>
            </w:pPr>
            <w:r>
              <w:rPr>
                <w:sz w:val="18"/>
                <w:szCs w:val="18"/>
              </w:rPr>
              <w:t xml:space="preserve">DP04</w:t>
            </w:r>
          </w:p>
        </w:tc>
        <w:tc>
          <w:tcPr>
            <w:tcW w:type="dxa" w:w="2000"/>
            <w:shd w:fill="FFFFFF" w:val="clear"/>
          </w:tcPr>
          <w:p>
            <w:pPr>
              <w:spacing w:after="40" w:before="40"/>
              <w:jc w:val="left"/>
            </w:pPr>
            <w:r>
              <w:rPr>
                <w:sz w:val="18"/>
                <w:szCs w:val="18"/>
              </w:rPr>
              <w:t xml:space="preserve">Interoperabilidad institucional</w:t>
            </w:r>
          </w:p>
        </w:tc>
        <w:tc>
          <w:tcPr>
            <w:tcW w:type="dxa" w:w="3000"/>
            <w:shd w:fill="FFFFFF" w:val="clear"/>
          </w:tcPr>
          <w:p>
            <w:pPr>
              <w:spacing w:after="40" w:before="40"/>
              <w:jc w:val="left"/>
            </w:pPr>
            <w:r>
              <w:rPr>
                <w:sz w:val="18"/>
                <w:szCs w:val="18"/>
              </w:rPr>
              <w:t xml:space="preserve">Las áreas y sistemas de la MML deben compartir información de manera integrada y coordinada.</w:t>
            </w:r>
          </w:p>
        </w:tc>
        <w:tc>
          <w:tcPr>
            <w:tcW w:type="dxa" w:w="3200"/>
            <w:shd w:fill="FFFFFF" w:val="clear"/>
          </w:tcPr>
          <w:p>
            <w:pPr>
              <w:spacing w:after="40" w:before="40"/>
              <w:jc w:val="left"/>
            </w:pPr>
            <w:r>
              <w:rPr>
                <w:sz w:val="18"/>
                <w:szCs w:val="18"/>
              </w:rPr>
              <w:t xml:space="preserve">Procesos que consumen y publican servicios comunes; fin de la duplicidad de registros.</w:t>
            </w:r>
          </w:p>
        </w:tc>
      </w:tr>
      <w:tr>
        <w:tc>
          <w:tcPr>
            <w:tcW w:type="dxa" w:w="600"/>
            <w:shd w:fill="D6E4F7" w:val="clear"/>
          </w:tcPr>
          <w:p>
            <w:pPr>
              <w:spacing w:after="40" w:before="40"/>
              <w:jc w:val="left"/>
            </w:pPr>
            <w:r>
              <w:rPr>
                <w:sz w:val="18"/>
                <w:szCs w:val="18"/>
              </w:rPr>
              <w:t xml:space="preserve">DP03</w:t>
            </w:r>
          </w:p>
        </w:tc>
        <w:tc>
          <w:tcPr>
            <w:tcW w:type="dxa" w:w="2000"/>
            <w:shd w:fill="D6E4F7" w:val="clear"/>
          </w:tcPr>
          <w:p>
            <w:pPr>
              <w:spacing w:after="40" w:before="40"/>
              <w:jc w:val="left"/>
            </w:pPr>
            <w:r>
              <w:rPr>
                <w:sz w:val="18"/>
                <w:szCs w:val="18"/>
              </w:rPr>
              <w:t xml:space="preserve">Seguridad de la información</w:t>
            </w:r>
          </w:p>
        </w:tc>
        <w:tc>
          <w:tcPr>
            <w:tcW w:type="dxa" w:w="3000"/>
            <w:shd w:fill="D6E4F7" w:val="clear"/>
          </w:tcPr>
          <w:p>
            <w:pPr>
              <w:spacing w:after="40" w:before="40"/>
              <w:jc w:val="left"/>
            </w:pPr>
            <w:r>
              <w:rPr>
                <w:sz w:val="18"/>
                <w:szCs w:val="18"/>
              </w:rPr>
              <w:t xml:space="preserve">La información institucional debe protegerse y ser accesible solo por personal autorizado.</w:t>
            </w:r>
          </w:p>
        </w:tc>
        <w:tc>
          <w:tcPr>
            <w:tcW w:type="dxa" w:w="3200"/>
            <w:shd w:fill="D6E4F7" w:val="clear"/>
          </w:tcPr>
          <w:p>
            <w:pPr>
              <w:spacing w:after="40" w:before="40"/>
              <w:jc w:val="left"/>
            </w:pPr>
            <w:r>
              <w:rPr>
                <w:sz w:val="18"/>
                <w:szCs w:val="18"/>
              </w:rPr>
              <w:t xml:space="preserve">Controles de acceso por rol en cada actividad; cumplimiento de ISO/IEC 27001 y Ley N° 29733.</w:t>
            </w:r>
          </w:p>
        </w:tc>
      </w:tr>
      <w:tr>
        <w:tc>
          <w:tcPr>
            <w:tcW w:type="dxa" w:w="600"/>
            <w:shd w:fill="FFFFFF" w:val="clear"/>
          </w:tcPr>
          <w:p>
            <w:pPr>
              <w:spacing w:after="40" w:before="40"/>
              <w:jc w:val="left"/>
            </w:pPr>
            <w:r>
              <w:rPr>
                <w:sz w:val="18"/>
                <w:szCs w:val="18"/>
              </w:rPr>
              <w:t xml:space="preserve">BP01</w:t>
            </w:r>
          </w:p>
        </w:tc>
        <w:tc>
          <w:tcPr>
            <w:tcW w:type="dxa" w:w="2000"/>
            <w:shd w:fill="FFFFFF" w:val="clear"/>
          </w:tcPr>
          <w:p>
            <w:pPr>
              <w:spacing w:after="40" w:before="40"/>
              <w:jc w:val="left"/>
            </w:pPr>
            <w:r>
              <w:rPr>
                <w:sz w:val="18"/>
                <w:szCs w:val="18"/>
              </w:rPr>
              <w:t xml:space="preserve">Primacía de los principios</w:t>
            </w:r>
          </w:p>
        </w:tc>
        <w:tc>
          <w:tcPr>
            <w:tcW w:type="dxa" w:w="3000"/>
            <w:shd w:fill="FFFFFF" w:val="clear"/>
          </w:tcPr>
          <w:p>
            <w:pPr>
              <w:spacing w:after="40" w:before="40"/>
              <w:jc w:val="left"/>
            </w:pPr>
            <w:r>
              <w:rPr>
                <w:sz w:val="18"/>
                <w:szCs w:val="18"/>
              </w:rPr>
              <w:t xml:space="preserve">Los principios del catálogo se aplican de forma transversal a todas las decisiones de arquitectura.</w:t>
            </w:r>
          </w:p>
        </w:tc>
        <w:tc>
          <w:tcPr>
            <w:tcW w:type="dxa" w:w="3200"/>
            <w:shd w:fill="FFFFFF" w:val="clear"/>
          </w:tcPr>
          <w:p>
            <w:pPr>
              <w:spacing w:after="40" w:before="40"/>
              <w:jc w:val="left"/>
            </w:pPr>
            <w:r>
              <w:rPr>
                <w:sz w:val="18"/>
                <w:szCs w:val="18"/>
              </w:rPr>
              <w:t xml:space="preserve">Toda decisión de diseño o implementación debe justificarse contra el catálogo de principios.</w:t>
            </w:r>
          </w:p>
        </w:tc>
      </w:tr>
      <w:tr>
        <w:tc>
          <w:tcPr>
            <w:tcW w:type="dxa" w:w="600"/>
            <w:shd w:fill="D6E4F7" w:val="clear"/>
          </w:tcPr>
          <w:p>
            <w:pPr>
              <w:spacing w:after="40" w:before="40"/>
              <w:jc w:val="left"/>
            </w:pPr>
            <w:r>
              <w:rPr>
                <w:sz w:val="18"/>
                <w:szCs w:val="18"/>
              </w:rPr>
              <w:t xml:space="preserve">BP03</w:t>
            </w:r>
          </w:p>
        </w:tc>
        <w:tc>
          <w:tcPr>
            <w:tcW w:type="dxa" w:w="2000"/>
            <w:shd w:fill="D6E4F7" w:val="clear"/>
          </w:tcPr>
          <w:p>
            <w:pPr>
              <w:spacing w:after="40" w:before="40"/>
              <w:jc w:val="left"/>
            </w:pPr>
            <w:r>
              <w:rPr>
                <w:sz w:val="18"/>
                <w:szCs w:val="18"/>
              </w:rPr>
              <w:t xml:space="preserve">Continuidad del servicio público</w:t>
            </w:r>
          </w:p>
        </w:tc>
        <w:tc>
          <w:tcPr>
            <w:tcW w:type="dxa" w:w="3000"/>
            <w:shd w:fill="D6E4F7" w:val="clear"/>
          </w:tcPr>
          <w:p>
            <w:pPr>
              <w:spacing w:after="40" w:before="40"/>
              <w:jc w:val="left"/>
            </w:pPr>
            <w:r>
              <w:rPr>
                <w:sz w:val="18"/>
                <w:szCs w:val="18"/>
              </w:rPr>
              <w:t xml:space="preserve">Los servicios esenciales de la MML deben estar disponibles con mínimas interrupciones.</w:t>
            </w:r>
          </w:p>
        </w:tc>
        <w:tc>
          <w:tcPr>
            <w:tcW w:type="dxa" w:w="3200"/>
            <w:shd w:fill="D6E4F7" w:val="clear"/>
          </w:tcPr>
          <w:p>
            <w:pPr>
              <w:spacing w:after="40" w:before="40"/>
              <w:jc w:val="left"/>
            </w:pPr>
            <w:r>
              <w:rPr>
                <w:sz w:val="18"/>
                <w:szCs w:val="18"/>
              </w:rPr>
              <w:t xml:space="preserve">Diseño con alta disponibilidad; planes de continuidad para los trámites críticos.</w:t>
            </w:r>
          </w:p>
        </w:tc>
      </w:tr>
      <w:tr>
        <w:tc>
          <w:tcPr>
            <w:tcW w:type="dxa" w:w="600"/>
            <w:shd w:fill="FFFFFF" w:val="clear"/>
          </w:tcPr>
          <w:p>
            <w:pPr>
              <w:spacing w:after="40" w:before="40"/>
              <w:jc w:val="left"/>
            </w:pPr>
            <w:r>
              <w:rPr>
                <w:sz w:val="18"/>
                <w:szCs w:val="18"/>
              </w:rPr>
              <w:t xml:space="preserve">DP01</w:t>
            </w:r>
          </w:p>
        </w:tc>
        <w:tc>
          <w:tcPr>
            <w:tcW w:type="dxa" w:w="2000"/>
            <w:shd w:fill="FFFFFF" w:val="clear"/>
          </w:tcPr>
          <w:p>
            <w:pPr>
              <w:spacing w:after="40" w:before="40"/>
              <w:jc w:val="left"/>
            </w:pPr>
            <w:r>
              <w:rPr>
                <w:sz w:val="18"/>
                <w:szCs w:val="18"/>
              </w:rPr>
              <w:t xml:space="preserve">Datos como activo estratégico</w:t>
            </w:r>
          </w:p>
        </w:tc>
        <w:tc>
          <w:tcPr>
            <w:tcW w:type="dxa" w:w="3000"/>
            <w:shd w:fill="FFFFFF" w:val="clear"/>
          </w:tcPr>
          <w:p>
            <w:pPr>
              <w:spacing w:after="40" w:before="40"/>
              <w:jc w:val="left"/>
            </w:pPr>
            <w:r>
              <w:rPr>
                <w:sz w:val="18"/>
                <w:szCs w:val="18"/>
              </w:rPr>
              <w:t xml:space="preserve">La información de la MML es un activo institucional que debe gestionarse, protegerse y aprovecharse.</w:t>
            </w:r>
          </w:p>
        </w:tc>
        <w:tc>
          <w:tcPr>
            <w:tcW w:type="dxa" w:w="3200"/>
            <w:shd w:fill="FFFFFF" w:val="clear"/>
          </w:tcPr>
          <w:p>
            <w:pPr>
              <w:spacing w:after="40" w:before="40"/>
              <w:jc w:val="left"/>
            </w:pPr>
            <w:r>
              <w:rPr>
                <w:sz w:val="18"/>
                <w:szCs w:val="18"/>
              </w:rPr>
              <w:t xml:space="preserve">Gobierno de datos, catálogos compartidos y registro único del ciudadano.</w:t>
            </w:r>
          </w:p>
        </w:tc>
      </w:tr>
      <w:tr>
        <w:tc>
          <w:tcPr>
            <w:tcW w:type="dxa" w:w="600"/>
            <w:shd w:fill="D6E4F7" w:val="clear"/>
          </w:tcPr>
          <w:p>
            <w:pPr>
              <w:spacing w:after="40" w:before="40"/>
              <w:jc w:val="left"/>
            </w:pPr>
            <w:r>
              <w:rPr>
                <w:sz w:val="18"/>
                <w:szCs w:val="18"/>
              </w:rPr>
              <w:t xml:space="preserve">DP02</w:t>
            </w:r>
          </w:p>
        </w:tc>
        <w:tc>
          <w:tcPr>
            <w:tcW w:type="dxa" w:w="2000"/>
            <w:shd w:fill="D6E4F7" w:val="clear"/>
          </w:tcPr>
          <w:p>
            <w:pPr>
              <w:spacing w:after="40" w:before="40"/>
              <w:jc w:val="left"/>
            </w:pPr>
            <w:r>
              <w:rPr>
                <w:sz w:val="18"/>
                <w:szCs w:val="18"/>
              </w:rPr>
              <w:t xml:space="preserve">Calidad de datos</w:t>
            </w:r>
          </w:p>
        </w:tc>
        <w:tc>
          <w:tcPr>
            <w:tcW w:type="dxa" w:w="3000"/>
            <w:shd w:fill="D6E4F7" w:val="clear"/>
          </w:tcPr>
          <w:p>
            <w:pPr>
              <w:spacing w:after="40" w:before="40"/>
              <w:jc w:val="left"/>
            </w:pPr>
            <w:r>
              <w:rPr>
                <w:sz w:val="18"/>
                <w:szCs w:val="18"/>
              </w:rPr>
              <w:t xml:space="preserve">Los datos deben ser únicos, consistentes, íntegros y oportunos en todos los sistemas.</w:t>
            </w:r>
          </w:p>
        </w:tc>
        <w:tc>
          <w:tcPr>
            <w:tcW w:type="dxa" w:w="3200"/>
            <w:shd w:fill="D6E4F7" w:val="clear"/>
          </w:tcPr>
          <w:p>
            <w:pPr>
              <w:spacing w:after="40" w:before="40"/>
              <w:jc w:val="left"/>
            </w:pPr>
            <w:r>
              <w:rPr>
                <w:sz w:val="18"/>
                <w:szCs w:val="18"/>
              </w:rPr>
              <w:t xml:space="preserve">Validaciones en origen; eliminación de duplicados; estándares ISO/IEC 25012.</w:t>
            </w:r>
          </w:p>
        </w:tc>
      </w:tr>
      <w:tr>
        <w:tc>
          <w:tcPr>
            <w:tcW w:type="dxa" w:w="600"/>
            <w:shd w:fill="FFFFFF" w:val="clear"/>
          </w:tcPr>
          <w:p>
            <w:pPr>
              <w:spacing w:after="40" w:before="40"/>
              <w:jc w:val="left"/>
            </w:pPr>
            <w:r>
              <w:rPr>
                <w:sz w:val="18"/>
                <w:szCs w:val="18"/>
              </w:rPr>
              <w:t xml:space="preserve">AP01</w:t>
            </w:r>
          </w:p>
        </w:tc>
        <w:tc>
          <w:tcPr>
            <w:tcW w:type="dxa" w:w="2000"/>
            <w:shd w:fill="FFFFFF" w:val="clear"/>
          </w:tcPr>
          <w:p>
            <w:pPr>
              <w:spacing w:after="40" w:before="40"/>
              <w:jc w:val="left"/>
            </w:pPr>
            <w:r>
              <w:rPr>
                <w:sz w:val="18"/>
                <w:szCs w:val="18"/>
              </w:rPr>
              <w:t xml:space="preserve">Tecnología independiente</w:t>
            </w:r>
          </w:p>
        </w:tc>
        <w:tc>
          <w:tcPr>
            <w:tcW w:type="dxa" w:w="3000"/>
            <w:shd w:fill="FFFFFF" w:val="clear"/>
          </w:tcPr>
          <w:p>
            <w:pPr>
              <w:spacing w:after="40" w:before="40"/>
              <w:jc w:val="left"/>
            </w:pPr>
            <w:r>
              <w:rPr>
                <w:sz w:val="18"/>
                <w:szCs w:val="18"/>
              </w:rPr>
              <w:t xml:space="preserve">Las aplicaciones no deben estar atadas a un proveedor tecnológico específico.</w:t>
            </w:r>
          </w:p>
        </w:tc>
        <w:tc>
          <w:tcPr>
            <w:tcW w:type="dxa" w:w="3200"/>
            <w:shd w:fill="FFFFFF" w:val="clear"/>
          </w:tcPr>
          <w:p>
            <w:pPr>
              <w:spacing w:after="40" w:before="40"/>
              <w:jc w:val="left"/>
            </w:pPr>
            <w:r>
              <w:rPr>
                <w:sz w:val="18"/>
                <w:szCs w:val="18"/>
              </w:rPr>
              <w:t xml:space="preserve">Uso de estándares abiertos (REST, BPMN, ArchiMate) y evitación de vendor lock-in.</w:t>
            </w:r>
          </w:p>
        </w:tc>
      </w:tr>
      <w:tr>
        <w:tc>
          <w:tcPr>
            <w:tcW w:type="dxa" w:w="600"/>
            <w:shd w:fill="D6E4F7" w:val="clear"/>
          </w:tcPr>
          <w:p>
            <w:pPr>
              <w:spacing w:after="40" w:before="40"/>
              <w:jc w:val="left"/>
            </w:pPr>
            <w:r>
              <w:rPr>
                <w:sz w:val="18"/>
                <w:szCs w:val="18"/>
              </w:rPr>
              <w:t xml:space="preserve">AP02</w:t>
            </w:r>
          </w:p>
        </w:tc>
        <w:tc>
          <w:tcPr>
            <w:tcW w:type="dxa" w:w="2000"/>
            <w:shd w:fill="D6E4F7" w:val="clear"/>
          </w:tcPr>
          <w:p>
            <w:pPr>
              <w:spacing w:after="40" w:before="40"/>
              <w:jc w:val="left"/>
            </w:pPr>
            <w:r>
              <w:rPr>
                <w:sz w:val="18"/>
                <w:szCs w:val="18"/>
              </w:rPr>
              <w:t xml:space="preserve">Facilidad de uso</w:t>
            </w:r>
          </w:p>
        </w:tc>
        <w:tc>
          <w:tcPr>
            <w:tcW w:type="dxa" w:w="3000"/>
            <w:shd w:fill="D6E4F7" w:val="clear"/>
          </w:tcPr>
          <w:p>
            <w:pPr>
              <w:spacing w:after="40" w:before="40"/>
              <w:jc w:val="left"/>
            </w:pPr>
            <w:r>
              <w:rPr>
                <w:sz w:val="18"/>
                <w:szCs w:val="18"/>
              </w:rPr>
              <w:t xml:space="preserve">Las aplicaciones deben ser intuitivas y accesibles para ciudadanos y funcionarios.</w:t>
            </w:r>
          </w:p>
        </w:tc>
        <w:tc>
          <w:tcPr>
            <w:tcW w:type="dxa" w:w="3200"/>
            <w:shd w:fill="D6E4F7" w:val="clear"/>
          </w:tcPr>
          <w:p>
            <w:pPr>
              <w:spacing w:after="40" w:before="40"/>
              <w:jc w:val="left"/>
            </w:pPr>
            <w:r>
              <w:rPr>
                <w:sz w:val="18"/>
                <w:szCs w:val="18"/>
              </w:rPr>
              <w:t xml:space="preserve">UX/UI centrado en el usuario; accesibilidad W3C WCAG 2.1.</w:t>
            </w:r>
          </w:p>
        </w:tc>
      </w:tr>
      <w:tr>
        <w:tc>
          <w:tcPr>
            <w:tcW w:type="dxa" w:w="600"/>
            <w:shd w:fill="FFFFFF" w:val="clear"/>
          </w:tcPr>
          <w:p>
            <w:pPr>
              <w:spacing w:after="40" w:before="40"/>
              <w:jc w:val="left"/>
            </w:pPr>
            <w:r>
              <w:rPr>
                <w:sz w:val="18"/>
                <w:szCs w:val="18"/>
              </w:rPr>
              <w:t xml:space="preserve">AP03</w:t>
            </w:r>
          </w:p>
        </w:tc>
        <w:tc>
          <w:tcPr>
            <w:tcW w:type="dxa" w:w="2000"/>
            <w:shd w:fill="FFFFFF" w:val="clear"/>
          </w:tcPr>
          <w:p>
            <w:pPr>
              <w:spacing w:after="40" w:before="40"/>
              <w:jc w:val="left"/>
            </w:pPr>
            <w:r>
              <w:rPr>
                <w:sz w:val="18"/>
                <w:szCs w:val="18"/>
              </w:rPr>
              <w:t xml:space="preserve">Reutilización de servicios</w:t>
            </w:r>
          </w:p>
        </w:tc>
        <w:tc>
          <w:tcPr>
            <w:tcW w:type="dxa" w:w="3000"/>
            <w:shd w:fill="FFFFFF" w:val="clear"/>
          </w:tcPr>
          <w:p>
            <w:pPr>
              <w:spacing w:after="40" w:before="40"/>
              <w:jc w:val="left"/>
            </w:pPr>
            <w:r>
              <w:rPr>
                <w:sz w:val="18"/>
                <w:szCs w:val="18"/>
              </w:rPr>
              <w:t xml:space="preserve">Las funcionalidades comunes se implementan como servicios reutilizables por todas las áreas.</w:t>
            </w:r>
          </w:p>
        </w:tc>
        <w:tc>
          <w:tcPr>
            <w:tcW w:type="dxa" w:w="3200"/>
            <w:shd w:fill="FFFFFF" w:val="clear"/>
          </w:tcPr>
          <w:p>
            <w:pPr>
              <w:spacing w:after="40" w:before="40"/>
              <w:jc w:val="left"/>
            </w:pPr>
            <w:r>
              <w:rPr>
                <w:sz w:val="18"/>
                <w:szCs w:val="18"/>
              </w:rPr>
              <w:t xml:space="preserve">Servicios de autenticación, notificación y pagos compartidos entre trámites.</w:t>
            </w:r>
          </w:p>
        </w:tc>
      </w:tr>
      <w:tr>
        <w:tc>
          <w:tcPr>
            <w:tcW w:type="dxa" w:w="600"/>
            <w:shd w:fill="D6E4F7" w:val="clear"/>
          </w:tcPr>
          <w:p>
            <w:pPr>
              <w:spacing w:after="40" w:before="40"/>
              <w:jc w:val="left"/>
            </w:pPr>
            <w:r>
              <w:rPr>
                <w:sz w:val="18"/>
                <w:szCs w:val="18"/>
              </w:rPr>
              <w:t xml:space="preserve">AP04</w:t>
            </w:r>
          </w:p>
        </w:tc>
        <w:tc>
          <w:tcPr>
            <w:tcW w:type="dxa" w:w="2000"/>
            <w:shd w:fill="D6E4F7" w:val="clear"/>
          </w:tcPr>
          <w:p>
            <w:pPr>
              <w:spacing w:after="40" w:before="40"/>
              <w:jc w:val="left"/>
            </w:pPr>
            <w:r>
              <w:rPr>
                <w:sz w:val="18"/>
                <w:szCs w:val="18"/>
              </w:rPr>
              <w:t xml:space="preserve">Interoperabilidad de aplicaciones</w:t>
            </w:r>
          </w:p>
        </w:tc>
        <w:tc>
          <w:tcPr>
            <w:tcW w:type="dxa" w:w="3000"/>
            <w:shd w:fill="D6E4F7" w:val="clear"/>
          </w:tcPr>
          <w:p>
            <w:pPr>
              <w:spacing w:after="40" w:before="40"/>
              <w:jc w:val="left"/>
            </w:pPr>
            <w:r>
              <w:rPr>
                <w:sz w:val="18"/>
                <w:szCs w:val="18"/>
              </w:rPr>
              <w:t xml:space="preserve">Toda aplicación debe ser capaz de integrarse con otros sistemas mediante APIs estandarizadas.</w:t>
            </w:r>
          </w:p>
        </w:tc>
        <w:tc>
          <w:tcPr>
            <w:tcW w:type="dxa" w:w="3200"/>
            <w:shd w:fill="D6E4F7" w:val="clear"/>
          </w:tcPr>
          <w:p>
            <w:pPr>
              <w:spacing w:after="40" w:before="40"/>
              <w:jc w:val="left"/>
            </w:pPr>
            <w:r>
              <w:rPr>
                <w:sz w:val="18"/>
                <w:szCs w:val="18"/>
              </w:rPr>
              <w:t xml:space="preserve">Integración vía PIDE, APIs REST y servicios de RENIEC/Gob.pe.</w:t>
            </w:r>
          </w:p>
        </w:tc>
      </w:tr>
      <w:tr>
        <w:tc>
          <w:tcPr>
            <w:tcW w:type="dxa" w:w="600"/>
            <w:shd w:fill="FFFFFF" w:val="clear"/>
          </w:tcPr>
          <w:p>
            <w:pPr>
              <w:spacing w:after="40" w:before="40"/>
              <w:jc w:val="left"/>
            </w:pPr>
            <w:r>
              <w:rPr>
                <w:sz w:val="18"/>
                <w:szCs w:val="18"/>
              </w:rPr>
              <w:t xml:space="preserve">TP01</w:t>
            </w:r>
          </w:p>
        </w:tc>
        <w:tc>
          <w:tcPr>
            <w:tcW w:type="dxa" w:w="2000"/>
            <w:shd w:fill="FFFFFF" w:val="clear"/>
          </w:tcPr>
          <w:p>
            <w:pPr>
              <w:spacing w:after="40" w:before="40"/>
              <w:jc w:val="left"/>
            </w:pPr>
            <w:r>
              <w:rPr>
                <w:sz w:val="18"/>
                <w:szCs w:val="18"/>
              </w:rPr>
              <w:t xml:space="preserve">Cambios tecnológicos controlados</w:t>
            </w:r>
          </w:p>
        </w:tc>
        <w:tc>
          <w:tcPr>
            <w:tcW w:type="dxa" w:w="3000"/>
            <w:shd w:fill="FFFFFF" w:val="clear"/>
          </w:tcPr>
          <w:p>
            <w:pPr>
              <w:spacing w:after="40" w:before="40"/>
              <w:jc w:val="left"/>
            </w:pPr>
            <w:r>
              <w:rPr>
                <w:sz w:val="18"/>
                <w:szCs w:val="18"/>
              </w:rPr>
              <w:t xml:space="preserve">Las modificaciones a la infraestructura tecnológica siguen un proceso formal de gestión del cambio.</w:t>
            </w:r>
          </w:p>
        </w:tc>
        <w:tc>
          <w:tcPr>
            <w:tcW w:type="dxa" w:w="3200"/>
            <w:shd w:fill="FFFFFF" w:val="clear"/>
          </w:tcPr>
          <w:p>
            <w:pPr>
              <w:spacing w:after="40" w:before="40"/>
              <w:jc w:val="left"/>
            </w:pPr>
            <w:r>
              <w:rPr>
                <w:sz w:val="18"/>
                <w:szCs w:val="18"/>
              </w:rPr>
              <w:t xml:space="preserve">Revisiones de impacto obligatorias antes de cualquier cambio en producción.</w:t>
            </w:r>
          </w:p>
        </w:tc>
      </w:tr>
      <w:tr>
        <w:tc>
          <w:tcPr>
            <w:tcW w:type="dxa" w:w="600"/>
            <w:shd w:fill="D6E4F7" w:val="clear"/>
          </w:tcPr>
          <w:p>
            <w:pPr>
              <w:spacing w:after="40" w:before="40"/>
              <w:jc w:val="left"/>
            </w:pPr>
            <w:r>
              <w:rPr>
                <w:sz w:val="18"/>
                <w:szCs w:val="18"/>
              </w:rPr>
              <w:t xml:space="preserve">TP02</w:t>
            </w:r>
          </w:p>
        </w:tc>
        <w:tc>
          <w:tcPr>
            <w:tcW w:type="dxa" w:w="2000"/>
            <w:shd w:fill="D6E4F7" w:val="clear"/>
          </w:tcPr>
          <w:p>
            <w:pPr>
              <w:spacing w:after="40" w:before="40"/>
              <w:jc w:val="left"/>
            </w:pPr>
            <w:r>
              <w:rPr>
                <w:sz w:val="18"/>
                <w:szCs w:val="18"/>
              </w:rPr>
              <w:t xml:space="preserve">Seguridad en la infraestructura</w:t>
            </w:r>
          </w:p>
        </w:tc>
        <w:tc>
          <w:tcPr>
            <w:tcW w:type="dxa" w:w="3000"/>
            <w:shd w:fill="D6E4F7" w:val="clear"/>
          </w:tcPr>
          <w:p>
            <w:pPr>
              <w:spacing w:after="40" w:before="40"/>
              <w:jc w:val="left"/>
            </w:pPr>
            <w:r>
              <w:rPr>
                <w:sz w:val="18"/>
                <w:szCs w:val="18"/>
              </w:rPr>
              <w:t xml:space="preserve">La infraestructura tecnológica incorpora controles de seguridad desde su diseño.</w:t>
            </w:r>
          </w:p>
        </w:tc>
        <w:tc>
          <w:tcPr>
            <w:tcW w:type="dxa" w:w="3200"/>
            <w:shd w:fill="D6E4F7" w:val="clear"/>
          </w:tcPr>
          <w:p>
            <w:pPr>
              <w:spacing w:after="40" w:before="40"/>
              <w:jc w:val="left"/>
            </w:pPr>
            <w:r>
              <w:rPr>
                <w:sz w:val="18"/>
                <w:szCs w:val="18"/>
              </w:rPr>
              <w:t xml:space="preserve">Cifrado, segmentación de redes y monitoreo continuo de la infraestructura.</w:t>
            </w:r>
          </w:p>
        </w:tc>
      </w:tr>
      <w:tr>
        <w:tc>
          <w:tcPr>
            <w:tcW w:type="dxa" w:w="600"/>
            <w:shd w:fill="FFFFFF" w:val="clear"/>
          </w:tcPr>
          <w:p>
            <w:pPr>
              <w:spacing w:after="40" w:before="40"/>
              <w:jc w:val="left"/>
            </w:pPr>
            <w:r>
              <w:rPr>
                <w:sz w:val="18"/>
                <w:szCs w:val="18"/>
              </w:rPr>
              <w:t xml:space="preserve">TP03</w:t>
            </w:r>
          </w:p>
        </w:tc>
        <w:tc>
          <w:tcPr>
            <w:tcW w:type="dxa" w:w="2000"/>
            <w:shd w:fill="FFFFFF" w:val="clear"/>
          </w:tcPr>
          <w:p>
            <w:pPr>
              <w:spacing w:after="40" w:before="40"/>
              <w:jc w:val="left"/>
            </w:pPr>
            <w:r>
              <w:rPr>
                <w:sz w:val="18"/>
                <w:szCs w:val="18"/>
              </w:rPr>
              <w:t xml:space="preserve">Recuperación ante desastres</w:t>
            </w:r>
          </w:p>
        </w:tc>
        <w:tc>
          <w:tcPr>
            <w:tcW w:type="dxa" w:w="3000"/>
            <w:shd w:fill="FFFFFF" w:val="clear"/>
          </w:tcPr>
          <w:p>
            <w:pPr>
              <w:spacing w:after="40" w:before="40"/>
              <w:jc w:val="left"/>
            </w:pPr>
            <w:r>
              <w:rPr>
                <w:sz w:val="18"/>
                <w:szCs w:val="18"/>
              </w:rPr>
              <w:t xml:space="preserve">Los sistemas críticos deben contar con planes de recuperación ante fallos o desastres.</w:t>
            </w:r>
          </w:p>
        </w:tc>
        <w:tc>
          <w:tcPr>
            <w:tcW w:type="dxa" w:w="3200"/>
            <w:shd w:fill="FFFFFF" w:val="clear"/>
          </w:tcPr>
          <w:p>
            <w:pPr>
              <w:spacing w:after="40" w:before="40"/>
              <w:jc w:val="left"/>
            </w:pPr>
            <w:r>
              <w:rPr>
                <w:sz w:val="18"/>
                <w:szCs w:val="18"/>
              </w:rPr>
              <w:t xml:space="preserve">RTO y RPO definidos para los servicios de atención ciudadana.</w:t>
            </w:r>
          </w:p>
        </w:tc>
      </w:tr>
    </w:tbl>
    <w:p>
      <w:r>
        <w:t xml:space="preserve"/>
      </w:r>
    </w:p>
    <w:p>
      <w:pPr>
        <w:pStyle w:val="Heading2"/>
        <w:spacing w:after="120" w:before="240"/>
      </w:pPr>
      <w:r>
        <w:rPr>
          <w:b/>
          <w:bCs/>
          <w:color w:val="2E74B5"/>
          <w:sz w:val="26"/>
          <w:szCs w:val="26"/>
        </w:rPr>
        <w:t xml:space="preserve">4.2. Políticas y estándares aplicables</w:t>
      </w:r>
    </w:p>
    <w:p>
      <w:pPr>
        <w:spacing w:after="40" w:before="40"/>
        <w:ind w:left="576"/>
      </w:pPr>
      <w:r>
        <w:rPr>
          <w:sz w:val="22"/>
          <w:szCs w:val="22"/>
        </w:rPr>
        <w:t xml:space="preserve">•  Decreto Legislativo N° 1412 — Ley de Gobierno Digital y D. S. N° 029-2021-PCM.</w:t>
      </w:r>
    </w:p>
    <w:p>
      <w:pPr>
        <w:spacing w:after="40" w:before="40"/>
        <w:ind w:left="576"/>
      </w:pPr>
      <w:r>
        <w:rPr>
          <w:sz w:val="22"/>
          <w:szCs w:val="22"/>
        </w:rPr>
        <w:t xml:space="preserve">•  Marco de Arquitectura Digital del Estado Peruano (MADE) y lineamientos SGTD–PCM.</w:t>
      </w:r>
    </w:p>
    <w:p>
      <w:pPr>
        <w:spacing w:after="40" w:before="40"/>
        <w:ind w:left="576"/>
      </w:pPr>
      <w:r>
        <w:rPr>
          <w:sz w:val="22"/>
          <w:szCs w:val="22"/>
        </w:rPr>
        <w:t xml:space="preserve">•  Ley N° 29733 — Protección de Datos Personales.</w:t>
      </w:r>
    </w:p>
    <w:p>
      <w:pPr>
        <w:spacing w:after="40" w:before="40"/>
        <w:ind w:left="576"/>
      </w:pPr>
      <w:r>
        <w:rPr>
          <w:sz w:val="22"/>
          <w:szCs w:val="22"/>
        </w:rPr>
        <w:t xml:space="preserve">•  ISO/IEC 27001 (seguridad de la información) · ISO/IEC 25012 (calidad de datos) · ITIL 4.</w:t>
      </w:r>
    </w:p>
    <w:p>
      <w:pPr>
        <w:spacing w:after="40" w:before="40"/>
        <w:ind w:left="576"/>
      </w:pPr>
      <w:r>
        <w:rPr>
          <w:sz w:val="22"/>
          <w:szCs w:val="22"/>
        </w:rPr>
        <w:t xml:space="preserve">•  ArchiMate 3.1 (lenguaje de modelado oficial) · TOGAF ADM · BPMN 2.0 (modelado de procesos).</w:t>
      </w:r>
    </w:p>
    <w:p>
      <w:pPr>
        <w:pStyle w:val="Heading1"/>
        <w:spacing w:after="120" w:before="240"/>
      </w:pPr>
      <w:r>
        <w:rPr>
          <w:b/>
          <w:bCs/>
          <w:color w:val="1F3864"/>
          <w:sz w:val="32"/>
          <w:szCs w:val="32"/>
        </w:rPr>
        <w:t xml:space="preserve">5. Riesgos y Problemas</w:t>
      </w:r>
    </w:p>
    <w:p>
      <w:pPr>
        <w:pStyle w:val="Heading2"/>
        <w:spacing w:after="120" w:before="240"/>
      </w:pPr>
      <w:r>
        <w:rPr>
          <w:b/>
          <w:bCs/>
          <w:color w:val="2E74B5"/>
          <w:sz w:val="26"/>
          <w:szCs w:val="26"/>
        </w:rPr>
        <w:t xml:space="preserve">5.1. Supuestos</w:t>
      </w:r>
    </w:p>
    <w:p>
      <w:pPr>
        <w:spacing w:after="40" w:before="40"/>
        <w:ind w:left="576"/>
      </w:pPr>
      <w:r>
        <w:rPr>
          <w:sz w:val="22"/>
          <w:szCs w:val="22"/>
        </w:rPr>
        <w:t xml:space="preserve">•  La Gerencia Municipal mantiene el patrocinio ejecutivo durante toda la iteración.</w:t>
      </w:r>
    </w:p>
    <w:p>
      <w:pPr>
        <w:spacing w:after="40" w:before="40"/>
        <w:ind w:left="576"/>
      </w:pPr>
      <w:r>
        <w:rPr>
          <w:sz w:val="22"/>
          <w:szCs w:val="22"/>
        </w:rPr>
        <w:t xml:space="preserve">•  La estructura de AE se formaliza mediante resolución gerencial (recomendación de la Fase Preliminar V2).</w:t>
      </w:r>
    </w:p>
    <w:p>
      <w:pPr>
        <w:spacing w:after="40" w:before="40"/>
        <w:ind w:left="576"/>
      </w:pPr>
      <w:r>
        <w:rPr>
          <w:sz w:val="22"/>
          <w:szCs w:val="22"/>
        </w:rPr>
        <w:t xml:space="preserve">•  La PIDE, RENIEC y los servicios de Gob.pe están disponibles para la integración.</w:t>
      </w:r>
    </w:p>
    <w:p>
      <w:pPr>
        <w:spacing w:after="40" w:before="40"/>
        <w:ind w:left="576"/>
      </w:pPr>
      <w:r>
        <w:rPr>
          <w:sz w:val="22"/>
          <w:szCs w:val="22"/>
        </w:rPr>
        <w:t xml:space="preserve">•  Existe disponibilidad presupuestal mínima para iniciar los proyectos de la Hoja de Ruta.</w:t>
      </w:r>
    </w:p>
    <w:p>
      <w:r>
        <w:t xml:space="preserve"/>
      </w:r>
    </w:p>
    <w:p>
      <w:pPr>
        <w:pStyle w:val="Heading2"/>
        <w:spacing w:after="120" w:before="240"/>
      </w:pPr>
      <w:r>
        <w:rPr>
          <w:b/>
          <w:bCs/>
          <w:color w:val="2E74B5"/>
          <w:sz w:val="26"/>
          <w:szCs w:val="26"/>
        </w:rPr>
        <w:t xml:space="preserve">5.2. Riesgos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700"/>
        <w:gridCol w:w="4400"/>
      </w:tblGrid>
      <w:tr>
        <w:trPr>
          <w:tblHeader/>
        </w:trPr>
        <w:tc>
          <w:tcPr>
            <w:tcW w:type="dxa" w:w="700"/>
            <w:shd w:fill="1F3864" w:val="clear"/>
          </w:tcPr>
          <w:p>
            <w:pPr>
              <w:jc w:val="center"/>
            </w:pPr>
            <w:r>
              <w:rPr>
                <w:b/>
                <w:bCs/>
                <w:color w:val="FFFFFF"/>
                <w:sz w:val="18"/>
                <w:szCs w:val="18"/>
              </w:rPr>
              <w:t xml:space="preserve">Ref.</w:t>
            </w:r>
          </w:p>
        </w:tc>
        <w:tc>
          <w:tcPr>
            <w:tcW w:type="dxa" w:w="3000"/>
            <w:shd w:fill="1F3864" w:val="clear"/>
          </w:tcPr>
          <w:p>
            <w:pPr>
              <w:jc w:val="center"/>
            </w:pPr>
            <w:r>
              <w:rPr>
                <w:b/>
                <w:bCs/>
                <w:color w:val="FFFFFF"/>
                <w:sz w:val="18"/>
                <w:szCs w:val="18"/>
              </w:rPr>
              <w:t xml:space="preserve">Riesgo</w:t>
            </w:r>
          </w:p>
        </w:tc>
        <w:tc>
          <w:tcPr>
            <w:tcW w:type="dxa" w:w="700"/>
            <w:shd w:fill="1F3864" w:val="clear"/>
          </w:tcPr>
          <w:p>
            <w:pPr>
              <w:jc w:val="center"/>
            </w:pPr>
            <w:r>
              <w:rPr>
                <w:b/>
                <w:bCs/>
                <w:color w:val="FFFFFF"/>
                <w:sz w:val="18"/>
                <w:szCs w:val="18"/>
              </w:rPr>
              <w:t xml:space="preserve">Nivel</w:t>
            </w:r>
          </w:p>
        </w:tc>
        <w:tc>
          <w:tcPr>
            <w:tcW w:type="dxa" w:w="4400"/>
            <w:shd w:fill="1F3864" w:val="clear"/>
          </w:tcPr>
          <w:p>
            <w:pPr>
              <w:jc w:val="center"/>
            </w:pPr>
            <w:r>
              <w:rPr>
                <w:b/>
                <w:bCs/>
                <w:color w:val="FFFFFF"/>
                <w:sz w:val="18"/>
                <w:szCs w:val="18"/>
              </w:rPr>
              <w:t xml:space="preserve">Mitigación</w:t>
            </w:r>
          </w:p>
        </w:tc>
      </w:tr>
      <w:tr>
        <w:tc>
          <w:tcPr>
            <w:tcW w:type="dxa" w:w="700"/>
            <w:shd w:fill="FFFFFF" w:val="clear"/>
          </w:tcPr>
          <w:p>
            <w:pPr>
              <w:spacing w:after="40" w:before="40"/>
              <w:jc w:val="left"/>
            </w:pPr>
            <w:r>
              <w:rPr>
                <w:sz w:val="18"/>
                <w:szCs w:val="18"/>
              </w:rPr>
              <w:t xml:space="preserve">RSK-01</w:t>
            </w:r>
          </w:p>
        </w:tc>
        <w:tc>
          <w:tcPr>
            <w:tcW w:type="dxa" w:w="3000"/>
            <w:shd w:fill="FFFFFF" w:val="clear"/>
          </w:tcPr>
          <w:p>
            <w:pPr>
              <w:spacing w:after="40" w:before="40"/>
              <w:jc w:val="left"/>
            </w:pPr>
            <w:r>
              <w:rPr>
                <w:sz w:val="18"/>
                <w:szCs w:val="18"/>
              </w:rPr>
              <w:t xml:space="preserve">Cambio de gestión política durante el proyecto.</w:t>
            </w:r>
          </w:p>
        </w:tc>
        <w:tc>
          <w:tcPr>
            <w:tcW w:type="dxa" w:w="700"/>
            <w:shd w:fill="FFFFFF" w:val="clear"/>
          </w:tcPr>
          <w:p>
            <w:pPr>
              <w:spacing w:after="40" w:before="40"/>
              <w:jc w:val="left"/>
            </w:pPr>
            <w:r>
              <w:rPr>
                <w:sz w:val="18"/>
                <w:szCs w:val="18"/>
              </w:rPr>
              <w:t xml:space="preserve">Alto</w:t>
            </w:r>
          </w:p>
        </w:tc>
        <w:tc>
          <w:tcPr>
            <w:tcW w:type="dxa" w:w="4400"/>
            <w:shd w:fill="FFFFFF" w:val="clear"/>
          </w:tcPr>
          <w:p>
            <w:pPr>
              <w:spacing w:after="40" w:before="40"/>
              <w:jc w:val="left"/>
            </w:pPr>
            <w:r>
              <w:rPr>
                <w:sz w:val="18"/>
                <w:szCs w:val="18"/>
              </w:rPr>
              <w:t xml:space="preserve">Formalizar la AE por resolución gerencial; documentar todos los entregables.</w:t>
            </w:r>
          </w:p>
        </w:tc>
      </w:tr>
      <w:tr>
        <w:tc>
          <w:tcPr>
            <w:tcW w:type="dxa" w:w="700"/>
            <w:shd w:fill="D6E4F7" w:val="clear"/>
          </w:tcPr>
          <w:p>
            <w:pPr>
              <w:spacing w:after="40" w:before="40"/>
              <w:jc w:val="left"/>
            </w:pPr>
            <w:r>
              <w:rPr>
                <w:sz w:val="18"/>
                <w:szCs w:val="18"/>
              </w:rPr>
              <w:t xml:space="preserve">RSK-02</w:t>
            </w:r>
          </w:p>
        </w:tc>
        <w:tc>
          <w:tcPr>
            <w:tcW w:type="dxa" w:w="3000"/>
            <w:shd w:fill="D6E4F7" w:val="clear"/>
          </w:tcPr>
          <w:p>
            <w:pPr>
              <w:spacing w:after="40" w:before="40"/>
              <w:jc w:val="left"/>
            </w:pPr>
            <w:r>
              <w:rPr>
                <w:sz w:val="18"/>
                <w:szCs w:val="18"/>
              </w:rPr>
              <w:t xml:space="preserve">Recorte o falta de presupuesto.</w:t>
            </w:r>
          </w:p>
        </w:tc>
        <w:tc>
          <w:tcPr>
            <w:tcW w:type="dxa" w:w="700"/>
            <w:shd w:fill="D6E4F7" w:val="clear"/>
          </w:tcPr>
          <w:p>
            <w:pPr>
              <w:spacing w:after="40" w:before="40"/>
              <w:jc w:val="left"/>
            </w:pPr>
            <w:r>
              <w:rPr>
                <w:sz w:val="18"/>
                <w:szCs w:val="18"/>
              </w:rPr>
              <w:t xml:space="preserve">Alto</w:t>
            </w:r>
          </w:p>
        </w:tc>
        <w:tc>
          <w:tcPr>
            <w:tcW w:type="dxa" w:w="4400"/>
            <w:shd w:fill="D6E4F7" w:val="clear"/>
          </w:tcPr>
          <w:p>
            <w:pPr>
              <w:spacing w:after="40" w:before="40"/>
              <w:jc w:val="left"/>
            </w:pPr>
            <w:r>
              <w:rPr>
                <w:sz w:val="18"/>
                <w:szCs w:val="18"/>
              </w:rPr>
              <w:t xml:space="preserve">Priorizar entregas por valor y justificar la inversión con KPI.</w:t>
            </w:r>
          </w:p>
        </w:tc>
      </w:tr>
      <w:tr>
        <w:tc>
          <w:tcPr>
            <w:tcW w:type="dxa" w:w="700"/>
            <w:shd w:fill="FFFFFF" w:val="clear"/>
          </w:tcPr>
          <w:p>
            <w:pPr>
              <w:spacing w:after="40" w:before="40"/>
              <w:jc w:val="left"/>
            </w:pPr>
            <w:r>
              <w:rPr>
                <w:sz w:val="18"/>
                <w:szCs w:val="18"/>
              </w:rPr>
              <w:t xml:space="preserve">RSK-03</w:t>
            </w:r>
          </w:p>
        </w:tc>
        <w:tc>
          <w:tcPr>
            <w:tcW w:type="dxa" w:w="3000"/>
            <w:shd w:fill="FFFFFF" w:val="clear"/>
          </w:tcPr>
          <w:p>
            <w:pPr>
              <w:spacing w:after="40" w:before="40"/>
              <w:jc w:val="left"/>
            </w:pPr>
            <w:r>
              <w:rPr>
                <w:sz w:val="18"/>
                <w:szCs w:val="18"/>
              </w:rPr>
              <w:t xml:space="preserve">Resistencia al cambio del personal.</w:t>
            </w:r>
          </w:p>
        </w:tc>
        <w:tc>
          <w:tcPr>
            <w:tcW w:type="dxa" w:w="700"/>
            <w:shd w:fill="FFFFFF" w:val="clear"/>
          </w:tcPr>
          <w:p>
            <w:pPr>
              <w:spacing w:after="40" w:before="40"/>
              <w:jc w:val="left"/>
            </w:pPr>
            <w:r>
              <w:rPr>
                <w:sz w:val="18"/>
                <w:szCs w:val="18"/>
              </w:rPr>
              <w:t xml:space="preserve">Medio</w:t>
            </w:r>
          </w:p>
        </w:tc>
        <w:tc>
          <w:tcPr>
            <w:tcW w:type="dxa" w:w="4400"/>
            <w:shd w:fill="FFFFFF" w:val="clear"/>
          </w:tcPr>
          <w:p>
            <w:pPr>
              <w:spacing w:after="40" w:before="40"/>
              <w:jc w:val="left"/>
            </w:pPr>
            <w:r>
              <w:rPr>
                <w:sz w:val="18"/>
                <w:szCs w:val="18"/>
              </w:rPr>
              <w:t xml:space="preserve">Gestión del cambio, capacitación y red de enlaces por gerencia.</w:t>
            </w:r>
          </w:p>
        </w:tc>
      </w:tr>
      <w:tr>
        <w:tc>
          <w:tcPr>
            <w:tcW w:type="dxa" w:w="700"/>
            <w:shd w:fill="D6E4F7" w:val="clear"/>
          </w:tcPr>
          <w:p>
            <w:pPr>
              <w:spacing w:after="40" w:before="40"/>
              <w:jc w:val="left"/>
            </w:pPr>
            <w:r>
              <w:rPr>
                <w:sz w:val="18"/>
                <w:szCs w:val="18"/>
              </w:rPr>
              <w:t xml:space="preserve">RSK-04</w:t>
            </w:r>
          </w:p>
        </w:tc>
        <w:tc>
          <w:tcPr>
            <w:tcW w:type="dxa" w:w="3000"/>
            <w:shd w:fill="D6E4F7" w:val="clear"/>
          </w:tcPr>
          <w:p>
            <w:pPr>
              <w:spacing w:after="40" w:before="40"/>
              <w:jc w:val="left"/>
            </w:pPr>
            <w:r>
              <w:rPr>
                <w:sz w:val="18"/>
                <w:szCs w:val="18"/>
              </w:rPr>
              <w:t xml:space="preserve">Baja madurez en TOGAF y AE.</w:t>
            </w:r>
          </w:p>
        </w:tc>
        <w:tc>
          <w:tcPr>
            <w:tcW w:type="dxa" w:w="700"/>
            <w:shd w:fill="D6E4F7" w:val="clear"/>
          </w:tcPr>
          <w:p>
            <w:pPr>
              <w:spacing w:after="40" w:before="40"/>
              <w:jc w:val="left"/>
            </w:pPr>
            <w:r>
              <w:rPr>
                <w:sz w:val="18"/>
                <w:szCs w:val="18"/>
              </w:rPr>
              <w:t xml:space="preserve">Medio</w:t>
            </w:r>
          </w:p>
        </w:tc>
        <w:tc>
          <w:tcPr>
            <w:tcW w:type="dxa" w:w="4400"/>
            <w:shd w:fill="D6E4F7" w:val="clear"/>
          </w:tcPr>
          <w:p>
            <w:pPr>
              <w:spacing w:after="40" w:before="40"/>
              <w:jc w:val="left"/>
            </w:pPr>
            <w:r>
              <w:rPr>
                <w:sz w:val="18"/>
                <w:szCs w:val="18"/>
              </w:rPr>
              <w:t xml:space="preserve">Soporte de consultores con transferencia gradual de conocimiento.</w:t>
            </w:r>
          </w:p>
        </w:tc>
      </w:tr>
      <w:tr>
        <w:tc>
          <w:tcPr>
            <w:tcW w:type="dxa" w:w="700"/>
            <w:shd w:fill="FFFFFF" w:val="clear"/>
          </w:tcPr>
          <w:p>
            <w:pPr>
              <w:spacing w:after="40" w:before="40"/>
              <w:jc w:val="left"/>
            </w:pPr>
            <w:r>
              <w:rPr>
                <w:sz w:val="18"/>
                <w:szCs w:val="18"/>
              </w:rPr>
              <w:t xml:space="preserve">RSK-05</w:t>
            </w:r>
          </w:p>
        </w:tc>
        <w:tc>
          <w:tcPr>
            <w:tcW w:type="dxa" w:w="3000"/>
            <w:shd w:fill="FFFFFF" w:val="clear"/>
          </w:tcPr>
          <w:p>
            <w:pPr>
              <w:spacing w:after="40" w:before="40"/>
              <w:jc w:val="left"/>
            </w:pPr>
            <w:r>
              <w:rPr>
                <w:sz w:val="18"/>
                <w:szCs w:val="18"/>
              </w:rPr>
              <w:t xml:space="preserve">Brechas de seguridad y datos personales.</w:t>
            </w:r>
          </w:p>
        </w:tc>
        <w:tc>
          <w:tcPr>
            <w:tcW w:type="dxa" w:w="700"/>
            <w:shd w:fill="FFFFFF" w:val="clear"/>
          </w:tcPr>
          <w:p>
            <w:pPr>
              <w:spacing w:after="40" w:before="40"/>
              <w:jc w:val="left"/>
            </w:pPr>
            <w:r>
              <w:rPr>
                <w:sz w:val="18"/>
                <w:szCs w:val="18"/>
              </w:rPr>
              <w:t xml:space="preserve">Medio</w:t>
            </w:r>
          </w:p>
        </w:tc>
        <w:tc>
          <w:tcPr>
            <w:tcW w:type="dxa" w:w="4400"/>
            <w:shd w:fill="FFFFFF" w:val="clear"/>
          </w:tcPr>
          <w:p>
            <w:pPr>
              <w:spacing w:after="40" w:before="40"/>
              <w:jc w:val="left"/>
            </w:pPr>
            <w:r>
              <w:rPr>
                <w:sz w:val="18"/>
                <w:szCs w:val="18"/>
              </w:rPr>
              <w:t xml:space="preserve">Aplicar ISO 27001 y cumplir la Ley N° 29733 desde el diseño (principios DP03, TP02).</w:t>
            </w:r>
          </w:p>
        </w:tc>
      </w:tr>
    </w:tbl>
    <w:p>
      <w:r>
        <w:t xml:space="preserve"/>
      </w:r>
    </w:p>
    <w:p>
      <w:pPr>
        <w:pStyle w:val="Heading2"/>
        <w:spacing w:after="120" w:before="240"/>
      </w:pPr>
      <w:r>
        <w:rPr>
          <w:b/>
          <w:bCs/>
          <w:color w:val="2E74B5"/>
          <w:sz w:val="26"/>
          <w:szCs w:val="26"/>
        </w:rPr>
        <w:t xml:space="preserve">5.3. Problemas (Issues)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500"/>
        <w:gridCol w:w="4600"/>
      </w:tblGrid>
      <w:tr>
        <w:trPr>
          <w:tblHeader/>
        </w:trPr>
        <w:tc>
          <w:tcPr>
            <w:tcW w:type="dxa" w:w="700"/>
            <w:shd w:fill="1F3864" w:val="clear"/>
          </w:tcPr>
          <w:p>
            <w:pPr>
              <w:jc w:val="center"/>
            </w:pPr>
            <w:r>
              <w:rPr>
                <w:b/>
                <w:bCs/>
                <w:color w:val="FFFFFF"/>
                <w:sz w:val="18"/>
                <w:szCs w:val="18"/>
              </w:rPr>
              <w:t xml:space="preserve">Ref.</w:t>
            </w:r>
          </w:p>
        </w:tc>
        <w:tc>
          <w:tcPr>
            <w:tcW w:type="dxa" w:w="3500"/>
            <w:shd w:fill="1F3864" w:val="clear"/>
          </w:tcPr>
          <w:p>
            <w:pPr>
              <w:jc w:val="center"/>
            </w:pPr>
            <w:r>
              <w:rPr>
                <w:b/>
                <w:bCs/>
                <w:color w:val="FFFFFF"/>
                <w:sz w:val="18"/>
                <w:szCs w:val="18"/>
              </w:rPr>
              <w:t xml:space="preserve">Problema actual</w:t>
            </w:r>
          </w:p>
        </w:tc>
        <w:tc>
          <w:tcPr>
            <w:tcW w:type="dxa" w:w="4600"/>
            <w:shd w:fill="1F3864" w:val="clear"/>
          </w:tcPr>
          <w:p>
            <w:pPr>
              <w:jc w:val="center"/>
            </w:pPr>
            <w:r>
              <w:rPr>
                <w:b/>
                <w:bCs/>
                <w:color w:val="FFFFFF"/>
                <w:sz w:val="18"/>
                <w:szCs w:val="18"/>
              </w:rPr>
              <w:t xml:space="preserve">Impacto</w:t>
            </w:r>
          </w:p>
        </w:tc>
      </w:tr>
      <w:tr>
        <w:tc>
          <w:tcPr>
            <w:tcW w:type="dxa" w:w="700"/>
            <w:shd w:fill="FFFFFF" w:val="clear"/>
          </w:tcPr>
          <w:p>
            <w:pPr>
              <w:spacing w:after="40" w:before="40"/>
              <w:jc w:val="left"/>
            </w:pPr>
            <w:r>
              <w:rPr>
                <w:sz w:val="18"/>
                <w:szCs w:val="18"/>
              </w:rPr>
              <w:t xml:space="preserve">ISS-01</w:t>
            </w:r>
          </w:p>
        </w:tc>
        <w:tc>
          <w:tcPr>
            <w:tcW w:type="dxa" w:w="3500"/>
            <w:shd w:fill="FFFFFF" w:val="clear"/>
          </w:tcPr>
          <w:p>
            <w:pPr>
              <w:spacing w:after="40" w:before="40"/>
              <w:jc w:val="left"/>
            </w:pPr>
            <w:r>
              <w:rPr>
                <w:sz w:val="18"/>
                <w:szCs w:val="18"/>
              </w:rPr>
              <w:t xml:space="preserve">Sistemas fragmentados y aislados por gerencia.</w:t>
            </w:r>
          </w:p>
        </w:tc>
        <w:tc>
          <w:tcPr>
            <w:tcW w:type="dxa" w:w="4600"/>
            <w:shd w:fill="FFFFFF" w:val="clear"/>
          </w:tcPr>
          <w:p>
            <w:pPr>
              <w:spacing w:after="40" w:before="40"/>
              <w:jc w:val="left"/>
            </w:pPr>
            <w:r>
              <w:rPr>
                <w:sz w:val="18"/>
                <w:szCs w:val="18"/>
              </w:rPr>
              <w:t xml:space="preserve">Duplicidad de datos y baja coordinación institucional.</w:t>
            </w:r>
          </w:p>
        </w:tc>
      </w:tr>
      <w:tr>
        <w:tc>
          <w:tcPr>
            <w:tcW w:type="dxa" w:w="700"/>
            <w:shd w:fill="D6E4F7" w:val="clear"/>
          </w:tcPr>
          <w:p>
            <w:pPr>
              <w:spacing w:after="40" w:before="40"/>
              <w:jc w:val="left"/>
            </w:pPr>
            <w:r>
              <w:rPr>
                <w:sz w:val="18"/>
                <w:szCs w:val="18"/>
              </w:rPr>
              <w:t xml:space="preserve">ISS-02</w:t>
            </w:r>
          </w:p>
        </w:tc>
        <w:tc>
          <w:tcPr>
            <w:tcW w:type="dxa" w:w="3500"/>
            <w:shd w:fill="D6E4F7" w:val="clear"/>
          </w:tcPr>
          <w:p>
            <w:pPr>
              <w:spacing w:after="40" w:before="40"/>
              <w:jc w:val="left"/>
            </w:pPr>
            <w:r>
              <w:rPr>
                <w:sz w:val="18"/>
                <w:szCs w:val="18"/>
              </w:rPr>
              <w:t xml:space="preserve">Trámites mayoritariamente presenciales y manuales.</w:t>
            </w:r>
          </w:p>
        </w:tc>
        <w:tc>
          <w:tcPr>
            <w:tcW w:type="dxa" w:w="4600"/>
            <w:shd w:fill="D6E4F7" w:val="clear"/>
          </w:tcPr>
          <w:p>
            <w:pPr>
              <w:spacing w:after="40" w:before="40"/>
              <w:jc w:val="left"/>
            </w:pPr>
            <w:r>
              <w:rPr>
                <w:sz w:val="18"/>
                <w:szCs w:val="18"/>
              </w:rPr>
              <w:t xml:space="preserve">Largos tiempos de espera y baja satisfacción ciudadana.</w:t>
            </w:r>
          </w:p>
        </w:tc>
      </w:tr>
      <w:tr>
        <w:tc>
          <w:tcPr>
            <w:tcW w:type="dxa" w:w="700"/>
            <w:shd w:fill="FFFFFF" w:val="clear"/>
          </w:tcPr>
          <w:p>
            <w:pPr>
              <w:spacing w:after="40" w:before="40"/>
              <w:jc w:val="left"/>
            </w:pPr>
            <w:r>
              <w:rPr>
                <w:sz w:val="18"/>
                <w:szCs w:val="18"/>
              </w:rPr>
              <w:t xml:space="preserve">ISS-03</w:t>
            </w:r>
          </w:p>
        </w:tc>
        <w:tc>
          <w:tcPr>
            <w:tcW w:type="dxa" w:w="3500"/>
            <w:shd w:fill="FFFFFF" w:val="clear"/>
          </w:tcPr>
          <w:p>
            <w:pPr>
              <w:spacing w:after="40" w:before="40"/>
              <w:jc w:val="left"/>
            </w:pPr>
            <w:r>
              <w:rPr>
                <w:sz w:val="18"/>
                <w:szCs w:val="18"/>
              </w:rPr>
              <w:t xml:space="preserve">Trazabilidad limitada de expedientes.</w:t>
            </w:r>
          </w:p>
        </w:tc>
        <w:tc>
          <w:tcPr>
            <w:tcW w:type="dxa" w:w="4600"/>
            <w:shd w:fill="FFFFFF" w:val="clear"/>
          </w:tcPr>
          <w:p>
            <w:pPr>
              <w:spacing w:after="40" w:before="40"/>
              <w:jc w:val="left"/>
            </w:pPr>
            <w:r>
              <w:rPr>
                <w:sz w:val="18"/>
                <w:szCs w:val="18"/>
              </w:rPr>
              <w:t xml:space="preserve">Dificultad de control y rendición de cuentas.</w:t>
            </w:r>
          </w:p>
        </w:tc>
      </w:tr>
      <w:tr>
        <w:tc>
          <w:tcPr>
            <w:tcW w:type="dxa" w:w="700"/>
            <w:shd w:fill="D6E4F7" w:val="clear"/>
          </w:tcPr>
          <w:p>
            <w:pPr>
              <w:spacing w:after="40" w:before="40"/>
              <w:jc w:val="left"/>
            </w:pPr>
            <w:r>
              <w:rPr>
                <w:sz w:val="18"/>
                <w:szCs w:val="18"/>
              </w:rPr>
              <w:t xml:space="preserve">ISS-04</w:t>
            </w:r>
          </w:p>
        </w:tc>
        <w:tc>
          <w:tcPr>
            <w:tcW w:type="dxa" w:w="3500"/>
            <w:shd w:fill="D6E4F7" w:val="clear"/>
          </w:tcPr>
          <w:p>
            <w:pPr>
              <w:spacing w:after="40" w:before="40"/>
              <w:jc w:val="left"/>
            </w:pPr>
            <w:r>
              <w:rPr>
                <w:sz w:val="18"/>
                <w:szCs w:val="18"/>
              </w:rPr>
              <w:t xml:space="preserve">Documentación escasa de procesos y sistemas heredados.</w:t>
            </w:r>
          </w:p>
        </w:tc>
        <w:tc>
          <w:tcPr>
            <w:tcW w:type="dxa" w:w="4600"/>
            <w:shd w:fill="D6E4F7" w:val="clear"/>
          </w:tcPr>
          <w:p>
            <w:pPr>
              <w:spacing w:after="40" w:before="40"/>
              <w:jc w:val="left"/>
            </w:pPr>
            <w:r>
              <w:rPr>
                <w:sz w:val="18"/>
                <w:szCs w:val="18"/>
              </w:rPr>
              <w:t xml:space="preserve">Riesgo en la migración y dependencia de personas clave.</w:t>
            </w:r>
          </w:p>
        </w:tc>
      </w:tr>
    </w:tbl>
    <w:p>
      <w:pPr>
        <w:pStyle w:val="Heading1"/>
        <w:spacing w:after="120" w:before="240"/>
      </w:pPr>
      <w:r>
        <w:rPr>
          <w:b/>
          <w:bCs/>
          <w:color w:val="1F3864"/>
          <w:sz w:val="32"/>
          <w:szCs w:val="32"/>
        </w:rPr>
        <w:t xml:space="preserve">6. Arquitectura de Línea Base (AS-IS)</w:t>
      </w:r>
    </w:p>
    <w:p>
      <w:pPr>
        <w:pStyle w:val="Heading2"/>
        <w:spacing w:after="120" w:before="240"/>
      </w:pPr>
      <w:r>
        <w:rPr>
          <w:b/>
          <w:bCs/>
          <w:color w:val="2E74B5"/>
          <w:sz w:val="26"/>
          <w:szCs w:val="26"/>
        </w:rPr>
        <w:t xml:space="preserve">6.1. Arquitectura de negocio conceptual (Baseline)</w:t>
      </w:r>
    </w:p>
    <w:p>
      <w:pPr>
        <w:spacing w:after="80" w:before="80"/>
        <w:jc w:val="both"/>
      </w:pPr>
      <w:r>
        <w:rPr>
          <w:sz w:val="22"/>
          <w:szCs w:val="22"/>
        </w:rPr>
        <w:t xml:space="preserve">La MML opera hoy con gerencias que funcionan como silos: cada una ejecuta sus procesos con información separada y sistemas independientes. El ciudadano debe acudir presencialmente y repetir su información en cada área, generando duplicidad, demoras y baja trazabilidad.</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400"/>
      </w:tblGrid>
      <w:tr>
        <w:trPr>
          <w:tblHeader/>
        </w:trPr>
        <w:tc>
          <w:tcPr>
            <w:tcW w:type="dxa" w:w="2400"/>
            <w:shd w:fill="1F3864" w:val="clear"/>
          </w:tcPr>
          <w:p>
            <w:pPr>
              <w:jc w:val="center"/>
            </w:pPr>
            <w:r>
              <w:rPr>
                <w:b/>
                <w:bCs/>
                <w:color w:val="FFFFFF"/>
                <w:sz w:val="18"/>
                <w:szCs w:val="18"/>
              </w:rPr>
              <w:t xml:space="preserve">Capa</w:t>
            </w:r>
          </w:p>
        </w:tc>
        <w:tc>
          <w:tcPr>
            <w:tcW w:type="dxa" w:w="6400"/>
            <w:shd w:fill="1F3864" w:val="clear"/>
          </w:tcPr>
          <w:p>
            <w:pPr>
              <w:jc w:val="center"/>
            </w:pPr>
            <w:r>
              <w:rPr>
                <w:b/>
                <w:bCs/>
                <w:color w:val="FFFFFF"/>
                <w:sz w:val="18"/>
                <w:szCs w:val="18"/>
              </w:rPr>
              <w:t xml:space="preserve">Descripción (AS-IS)</w:t>
            </w:r>
          </w:p>
        </w:tc>
      </w:tr>
      <w:tr>
        <w:tc>
          <w:tcPr>
            <w:tcW w:type="dxa" w:w="2400"/>
            <w:shd w:fill="FFFFFF" w:val="clear"/>
          </w:tcPr>
          <w:p>
            <w:pPr>
              <w:spacing w:after="40" w:before="40"/>
              <w:jc w:val="left"/>
            </w:pPr>
            <w:r>
              <w:rPr>
                <w:sz w:val="18"/>
                <w:szCs w:val="18"/>
              </w:rPr>
              <w:t xml:space="preserve">Actores y roles</w:t>
            </w:r>
          </w:p>
        </w:tc>
        <w:tc>
          <w:tcPr>
            <w:tcW w:type="dxa" w:w="6400"/>
            <w:shd w:fill="FFFFFF" w:val="clear"/>
          </w:tcPr>
          <w:p>
            <w:pPr>
              <w:spacing w:after="40" w:before="40"/>
              <w:jc w:val="left"/>
            </w:pPr>
            <w:r>
              <w:rPr>
                <w:sz w:val="18"/>
                <w:szCs w:val="18"/>
              </w:rPr>
              <w:t xml:space="preserve">Ciudadano · Empresa/Comercio · Mesa de Partes (física) · Gerencias de línea (Licencias, Rentas/SAT, Fiscalización) · GTI</w:t>
            </w:r>
          </w:p>
        </w:tc>
      </w:tr>
      <w:tr>
        <w:tc>
          <w:tcPr>
            <w:tcW w:type="dxa" w:w="2400"/>
            <w:shd w:fill="D6E4F7" w:val="clear"/>
          </w:tcPr>
          <w:p>
            <w:pPr>
              <w:spacing w:after="40" w:before="40"/>
              <w:jc w:val="left"/>
            </w:pPr>
            <w:r>
              <w:rPr>
                <w:sz w:val="18"/>
                <w:szCs w:val="18"/>
              </w:rPr>
              <w:t xml:space="preserve">Servicios de negocio actuales</w:t>
            </w:r>
          </w:p>
        </w:tc>
        <w:tc>
          <w:tcPr>
            <w:tcW w:type="dxa" w:w="6400"/>
            <w:shd w:fill="D6E4F7" w:val="clear"/>
          </w:tcPr>
          <w:p>
            <w:pPr>
              <w:spacing w:after="40" w:before="40"/>
              <w:jc w:val="left"/>
            </w:pPr>
            <w:r>
              <w:rPr>
                <w:sz w:val="18"/>
                <w:szCs w:val="18"/>
              </w:rPr>
              <w:t xml:space="preserve">Atención presencial de trámites · Recepción física de documentos · Cobro presencial de arbitrios · Atención de reclamos en ventanilla</w:t>
            </w:r>
          </w:p>
        </w:tc>
      </w:tr>
      <w:tr>
        <w:tc>
          <w:tcPr>
            <w:tcW w:type="dxa" w:w="2400"/>
            <w:shd w:fill="FFFFFF" w:val="clear"/>
          </w:tcPr>
          <w:p>
            <w:pPr>
              <w:spacing w:after="40" w:before="40"/>
              <w:jc w:val="left"/>
            </w:pPr>
            <w:r>
              <w:rPr>
                <w:sz w:val="18"/>
                <w:szCs w:val="18"/>
              </w:rPr>
              <w:t xml:space="preserve">Procesos actuales (manuales)</w:t>
            </w:r>
          </w:p>
        </w:tc>
        <w:tc>
          <w:tcPr>
            <w:tcW w:type="dxa" w:w="6400"/>
            <w:shd w:fill="FFFFFF" w:val="clear"/>
          </w:tcPr>
          <w:p>
            <w:pPr>
              <w:spacing w:after="40" w:before="40"/>
              <w:jc w:val="left"/>
            </w:pPr>
            <w:r>
              <w:rPr>
                <w:sz w:val="18"/>
                <w:szCs w:val="18"/>
              </w:rPr>
              <w:t xml:space="preserve">Licencia de funcionamiento (presencial) · Recaudación de arbitrios (presencial) · Atención de reclamos (libro/expediente físico) · Fiscalización (registro manual)</w:t>
            </w:r>
          </w:p>
        </w:tc>
      </w:tr>
    </w:tbl>
    <w:p>
      <w:r>
        <w:t xml:space="preserve"/>
      </w:r>
    </w:p>
    <w:p>
      <w:pPr>
        <w:pStyle w:val="Heading2"/>
        <w:spacing w:after="120" w:before="240"/>
      </w:pPr>
      <w:r>
        <w:rPr>
          <w:b/>
          <w:bCs/>
          <w:color w:val="2E74B5"/>
          <w:sz w:val="26"/>
          <w:szCs w:val="26"/>
        </w:rPr>
        <w:t xml:space="preserve">6.1.2. Catálogo de procesos de negocio (Baseline)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00"/>
        <w:gridCol w:w="4900"/>
      </w:tblGrid>
      <w:tr>
        <w:trPr>
          <w:tblHeader/>
        </w:trPr>
        <w:tc>
          <w:tcPr>
            <w:tcW w:type="dxa" w:w="700"/>
            <w:shd w:fill="1F3864" w:val="clear"/>
          </w:tcPr>
          <w:p>
            <w:pPr>
              <w:jc w:val="center"/>
            </w:pPr>
            <w:r>
              <w:rPr>
                <w:b/>
                <w:bCs/>
                <w:color w:val="FFFFFF"/>
                <w:sz w:val="18"/>
                <w:szCs w:val="18"/>
              </w:rPr>
              <w:t xml:space="preserve">Ref.</w:t>
            </w:r>
          </w:p>
        </w:tc>
        <w:tc>
          <w:tcPr>
            <w:tcW w:type="dxa" w:w="3200"/>
            <w:shd w:fill="1F3864" w:val="clear"/>
          </w:tcPr>
          <w:p>
            <w:pPr>
              <w:jc w:val="center"/>
            </w:pPr>
            <w:r>
              <w:rPr>
                <w:b/>
                <w:bCs/>
                <w:color w:val="FFFFFF"/>
                <w:sz w:val="18"/>
                <w:szCs w:val="18"/>
              </w:rPr>
              <w:t xml:space="preserve">Proceso de negocio (AS-IS)</w:t>
            </w:r>
          </w:p>
        </w:tc>
        <w:tc>
          <w:tcPr>
            <w:tcW w:type="dxa" w:w="4900"/>
            <w:shd w:fill="1F3864" w:val="clear"/>
          </w:tcPr>
          <w:p>
            <w:pPr>
              <w:jc w:val="center"/>
            </w:pPr>
            <w:r>
              <w:rPr>
                <w:b/>
                <w:bCs/>
                <w:color w:val="FFFFFF"/>
                <w:sz w:val="18"/>
                <w:szCs w:val="18"/>
              </w:rPr>
              <w:t xml:space="preserve">Característica actual</w:t>
            </w:r>
          </w:p>
        </w:tc>
      </w:tr>
      <w:tr>
        <w:tc>
          <w:tcPr>
            <w:tcW w:type="dxa" w:w="700"/>
            <w:shd w:fill="FFFFFF" w:val="clear"/>
          </w:tcPr>
          <w:p>
            <w:pPr>
              <w:spacing w:after="40" w:before="40"/>
              <w:jc w:val="left"/>
            </w:pPr>
            <w:r>
              <w:rPr>
                <w:sz w:val="18"/>
                <w:szCs w:val="18"/>
              </w:rPr>
              <w:t xml:space="preserve">PRC-01</w:t>
            </w:r>
          </w:p>
        </w:tc>
        <w:tc>
          <w:tcPr>
            <w:tcW w:type="dxa" w:w="3200"/>
            <w:shd w:fill="FFFFFF" w:val="clear"/>
          </w:tcPr>
          <w:p>
            <w:pPr>
              <w:spacing w:after="40" w:before="40"/>
              <w:jc w:val="left"/>
            </w:pPr>
            <w:r>
              <w:rPr>
                <w:sz w:val="18"/>
                <w:szCs w:val="18"/>
              </w:rPr>
              <w:t xml:space="preserve">Otorgamiento de licencia de funcionamiento</w:t>
            </w:r>
          </w:p>
        </w:tc>
        <w:tc>
          <w:tcPr>
            <w:tcW w:type="dxa" w:w="4900"/>
            <w:shd w:fill="FFFFFF" w:val="clear"/>
          </w:tcPr>
          <w:p>
            <w:pPr>
              <w:spacing w:after="40" w:before="40"/>
              <w:jc w:val="left"/>
            </w:pPr>
            <w:r>
              <w:rPr>
                <w:sz w:val="18"/>
                <w:szCs w:val="18"/>
              </w:rPr>
              <w:t xml:space="preserve">Presencial; verificación manual; sin seguimiento en línea.</w:t>
            </w:r>
          </w:p>
        </w:tc>
      </w:tr>
      <w:tr>
        <w:tc>
          <w:tcPr>
            <w:tcW w:type="dxa" w:w="700"/>
            <w:shd w:fill="D6E4F7" w:val="clear"/>
          </w:tcPr>
          <w:p>
            <w:pPr>
              <w:spacing w:after="40" w:before="40"/>
              <w:jc w:val="left"/>
            </w:pPr>
            <w:r>
              <w:rPr>
                <w:sz w:val="18"/>
                <w:szCs w:val="18"/>
              </w:rPr>
              <w:t xml:space="preserve">PRC-02</w:t>
            </w:r>
          </w:p>
        </w:tc>
        <w:tc>
          <w:tcPr>
            <w:tcW w:type="dxa" w:w="3200"/>
            <w:shd w:fill="D6E4F7" w:val="clear"/>
          </w:tcPr>
          <w:p>
            <w:pPr>
              <w:spacing w:after="40" w:before="40"/>
              <w:jc w:val="left"/>
            </w:pPr>
            <w:r>
              <w:rPr>
                <w:sz w:val="18"/>
                <w:szCs w:val="18"/>
              </w:rPr>
              <w:t xml:space="preserve">Recaudación de arbitrios y tributos</w:t>
            </w:r>
          </w:p>
        </w:tc>
        <w:tc>
          <w:tcPr>
            <w:tcW w:type="dxa" w:w="4900"/>
            <w:shd w:fill="D6E4F7" w:val="clear"/>
          </w:tcPr>
          <w:p>
            <w:pPr>
              <w:spacing w:after="40" w:before="40"/>
              <w:jc w:val="left"/>
            </w:pPr>
            <w:r>
              <w:rPr>
                <w:sz w:val="18"/>
                <w:szCs w:val="18"/>
              </w:rPr>
              <w:t xml:space="preserve">Pago presencial/banco; conciliación manual.</w:t>
            </w:r>
          </w:p>
        </w:tc>
      </w:tr>
      <w:tr>
        <w:tc>
          <w:tcPr>
            <w:tcW w:type="dxa" w:w="700"/>
            <w:shd w:fill="FFFFFF" w:val="clear"/>
          </w:tcPr>
          <w:p>
            <w:pPr>
              <w:spacing w:after="40" w:before="40"/>
              <w:jc w:val="left"/>
            </w:pPr>
            <w:r>
              <w:rPr>
                <w:sz w:val="18"/>
                <w:szCs w:val="18"/>
              </w:rPr>
              <w:t xml:space="preserve">PRC-03</w:t>
            </w:r>
          </w:p>
        </w:tc>
        <w:tc>
          <w:tcPr>
            <w:tcW w:type="dxa" w:w="3200"/>
            <w:shd w:fill="FFFFFF" w:val="clear"/>
          </w:tcPr>
          <w:p>
            <w:pPr>
              <w:spacing w:after="40" w:before="40"/>
              <w:jc w:val="left"/>
            </w:pPr>
            <w:r>
              <w:rPr>
                <w:sz w:val="18"/>
                <w:szCs w:val="18"/>
              </w:rPr>
              <w:t xml:space="preserve">Gestión documentaria (mesa de partes)</w:t>
            </w:r>
          </w:p>
        </w:tc>
        <w:tc>
          <w:tcPr>
            <w:tcW w:type="dxa" w:w="4900"/>
            <w:shd w:fill="FFFFFF" w:val="clear"/>
          </w:tcPr>
          <w:p>
            <w:pPr>
              <w:spacing w:after="40" w:before="40"/>
              <w:jc w:val="left"/>
            </w:pPr>
            <w:r>
              <w:rPr>
                <w:sz w:val="18"/>
                <w:szCs w:val="18"/>
              </w:rPr>
              <w:t xml:space="preserve">Recepción física; derivación en papel; sin trazabilidad.</w:t>
            </w:r>
          </w:p>
        </w:tc>
      </w:tr>
      <w:tr>
        <w:tc>
          <w:tcPr>
            <w:tcW w:type="dxa" w:w="700"/>
            <w:shd w:fill="D6E4F7" w:val="clear"/>
          </w:tcPr>
          <w:p>
            <w:pPr>
              <w:spacing w:after="40" w:before="40"/>
              <w:jc w:val="left"/>
            </w:pPr>
            <w:r>
              <w:rPr>
                <w:sz w:val="18"/>
                <w:szCs w:val="18"/>
              </w:rPr>
              <w:t xml:space="preserve">PRC-04</w:t>
            </w:r>
          </w:p>
        </w:tc>
        <w:tc>
          <w:tcPr>
            <w:tcW w:type="dxa" w:w="3200"/>
            <w:shd w:fill="D6E4F7" w:val="clear"/>
          </w:tcPr>
          <w:p>
            <w:pPr>
              <w:spacing w:after="40" w:before="40"/>
              <w:jc w:val="left"/>
            </w:pPr>
            <w:r>
              <w:rPr>
                <w:sz w:val="18"/>
                <w:szCs w:val="18"/>
              </w:rPr>
              <w:t xml:space="preserve">Atención de reclamos y sugerencias</w:t>
            </w:r>
          </w:p>
        </w:tc>
        <w:tc>
          <w:tcPr>
            <w:tcW w:type="dxa" w:w="4900"/>
            <w:shd w:fill="D6E4F7" w:val="clear"/>
          </w:tcPr>
          <w:p>
            <w:pPr>
              <w:spacing w:after="40" w:before="40"/>
              <w:jc w:val="left"/>
            </w:pPr>
            <w:r>
              <w:rPr>
                <w:sz w:val="18"/>
                <w:szCs w:val="18"/>
              </w:rPr>
              <w:t xml:space="preserve">Registro en ventanilla; respuesta sin plazo controlado.</w:t>
            </w:r>
          </w:p>
        </w:tc>
      </w:tr>
      <w:tr>
        <w:tc>
          <w:tcPr>
            <w:tcW w:type="dxa" w:w="700"/>
            <w:shd w:fill="FFFFFF" w:val="clear"/>
          </w:tcPr>
          <w:p>
            <w:pPr>
              <w:spacing w:after="40" w:before="40"/>
              <w:jc w:val="left"/>
            </w:pPr>
            <w:r>
              <w:rPr>
                <w:sz w:val="18"/>
                <w:szCs w:val="18"/>
              </w:rPr>
              <w:t xml:space="preserve">PRC-05</w:t>
            </w:r>
          </w:p>
        </w:tc>
        <w:tc>
          <w:tcPr>
            <w:tcW w:type="dxa" w:w="3200"/>
            <w:shd w:fill="FFFFFF" w:val="clear"/>
          </w:tcPr>
          <w:p>
            <w:pPr>
              <w:spacing w:after="40" w:before="40"/>
              <w:jc w:val="left"/>
            </w:pPr>
            <w:r>
              <w:rPr>
                <w:sz w:val="18"/>
                <w:szCs w:val="18"/>
              </w:rPr>
              <w:t xml:space="preserve">Fiscalización municipal</w:t>
            </w:r>
          </w:p>
        </w:tc>
        <w:tc>
          <w:tcPr>
            <w:tcW w:type="dxa" w:w="4900"/>
            <w:shd w:fill="FFFFFF" w:val="clear"/>
          </w:tcPr>
          <w:p>
            <w:pPr>
              <w:spacing w:after="40" w:before="40"/>
              <w:jc w:val="left"/>
            </w:pPr>
            <w:r>
              <w:rPr>
                <w:sz w:val="18"/>
                <w:szCs w:val="18"/>
              </w:rPr>
              <w:t xml:space="preserve">Actas manuales; información no integrada con rentas.</w:t>
            </w:r>
          </w:p>
        </w:tc>
      </w:tr>
    </w:tbl>
    <w:p>
      <w:r>
        <w:t xml:space="preserve"/>
      </w:r>
    </w:p>
    <w:p>
      <w:pPr>
        <w:pStyle w:val="Heading2"/>
        <w:spacing w:after="120" w:before="240"/>
      </w:pPr>
      <w:r>
        <w:rPr>
          <w:b/>
          <w:bCs/>
          <w:color w:val="2E74B5"/>
          <w:sz w:val="26"/>
          <w:szCs w:val="26"/>
        </w:rPr>
        <w:t xml:space="preserve">6.1.3. Matriz actor–proceso (Baseline)</w:t>
      </w:r>
    </w:p>
    <w:p>
      <w:pPr>
        <w:spacing w:after="80" w:before="80"/>
        <w:jc w:val="both"/>
      </w:pPr>
      <w:r>
        <w:rPr>
          <w:sz w:val="22"/>
          <w:szCs w:val="22"/>
        </w:rPr>
        <w:t xml:space="preserve">Leyenda: E = Ejecuta, P = Participa, C = Consulta</w:t>
      </w:r>
    </w:p>
    <w:tbl>
      <w:tblPr>
        <w:tblW w:type="dxa" w:w="6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900"/>
        <w:gridCol w:w="900"/>
        <w:gridCol w:w="900"/>
        <w:gridCol w:w="900"/>
        <w:gridCol w:w="900"/>
      </w:tblGrid>
      <w:tr>
        <w:trPr>
          <w:tblHeader/>
        </w:trPr>
        <w:tc>
          <w:tcPr>
            <w:tcW w:type="dxa" w:w="2000"/>
            <w:shd w:fill="1F3864" w:val="clear"/>
          </w:tcPr>
          <w:p>
            <w:pPr>
              <w:jc w:val="center"/>
            </w:pPr>
            <w:r>
              <w:rPr>
                <w:b/>
                <w:bCs/>
                <w:color w:val="FFFFFF"/>
                <w:sz w:val="18"/>
                <w:szCs w:val="18"/>
              </w:rPr>
              <w:t xml:space="preserve">Actor / Proceso</w:t>
            </w:r>
          </w:p>
        </w:tc>
        <w:tc>
          <w:tcPr>
            <w:tcW w:type="dxa" w:w="900"/>
            <w:shd w:fill="1F3864" w:val="clear"/>
          </w:tcPr>
          <w:p>
            <w:pPr>
              <w:jc w:val="center"/>
            </w:pPr>
            <w:r>
              <w:rPr>
                <w:b/>
                <w:bCs/>
                <w:color w:val="FFFFFF"/>
                <w:sz w:val="18"/>
                <w:szCs w:val="18"/>
              </w:rPr>
              <w:t xml:space="preserve">PRC-01</w:t>
            </w:r>
          </w:p>
        </w:tc>
        <w:tc>
          <w:tcPr>
            <w:tcW w:type="dxa" w:w="900"/>
            <w:shd w:fill="1F3864" w:val="clear"/>
          </w:tcPr>
          <w:p>
            <w:pPr>
              <w:jc w:val="center"/>
            </w:pPr>
            <w:r>
              <w:rPr>
                <w:b/>
                <w:bCs/>
                <w:color w:val="FFFFFF"/>
                <w:sz w:val="18"/>
                <w:szCs w:val="18"/>
              </w:rPr>
              <w:t xml:space="preserve">PRC-02</w:t>
            </w:r>
          </w:p>
        </w:tc>
        <w:tc>
          <w:tcPr>
            <w:tcW w:type="dxa" w:w="900"/>
            <w:shd w:fill="1F3864" w:val="clear"/>
          </w:tcPr>
          <w:p>
            <w:pPr>
              <w:jc w:val="center"/>
            </w:pPr>
            <w:r>
              <w:rPr>
                <w:b/>
                <w:bCs/>
                <w:color w:val="FFFFFF"/>
                <w:sz w:val="18"/>
                <w:szCs w:val="18"/>
              </w:rPr>
              <w:t xml:space="preserve">PRC-03</w:t>
            </w:r>
          </w:p>
        </w:tc>
        <w:tc>
          <w:tcPr>
            <w:tcW w:type="dxa" w:w="900"/>
            <w:shd w:fill="1F3864" w:val="clear"/>
          </w:tcPr>
          <w:p>
            <w:pPr>
              <w:jc w:val="center"/>
            </w:pPr>
            <w:r>
              <w:rPr>
                <w:b/>
                <w:bCs/>
                <w:color w:val="FFFFFF"/>
                <w:sz w:val="18"/>
                <w:szCs w:val="18"/>
              </w:rPr>
              <w:t xml:space="preserve">PRC-04</w:t>
            </w:r>
          </w:p>
        </w:tc>
        <w:tc>
          <w:tcPr>
            <w:tcW w:type="dxa" w:w="900"/>
            <w:shd w:fill="1F3864" w:val="clear"/>
          </w:tcPr>
          <w:p>
            <w:pPr>
              <w:jc w:val="center"/>
            </w:pPr>
            <w:r>
              <w:rPr>
                <w:b/>
                <w:bCs/>
                <w:color w:val="FFFFFF"/>
                <w:sz w:val="18"/>
                <w:szCs w:val="18"/>
              </w:rPr>
              <w:t xml:space="preserve">PRC-05</w:t>
            </w:r>
          </w:p>
        </w:tc>
      </w:tr>
      <w:tr>
        <w:tc>
          <w:tcPr>
            <w:tcW w:type="dxa" w:w="2000"/>
            <w:shd w:fill="FFFFFF" w:val="clear"/>
          </w:tcPr>
          <w:p>
            <w:pPr>
              <w:spacing w:after="40" w:before="40"/>
              <w:jc w:val="left"/>
            </w:pPr>
            <w:r>
              <w:rPr>
                <w:sz w:val="18"/>
                <w:szCs w:val="18"/>
              </w:rPr>
              <w:t xml:space="preserve">Ciudadano / Empresa</w:t>
            </w:r>
          </w:p>
        </w:tc>
        <w:tc>
          <w:tcPr>
            <w:tcW w:type="dxa" w:w="900"/>
            <w:shd w:fill="FFFFFF" w:val="clear"/>
          </w:tcPr>
          <w:p>
            <w:pPr>
              <w:spacing w:after="40" w:before="40"/>
              <w:jc w:val="left"/>
            </w:pPr>
            <w:r>
              <w:rPr>
                <w:sz w:val="18"/>
                <w:szCs w:val="18"/>
              </w:rPr>
              <w:t xml:space="preserve">P</w:t>
            </w:r>
          </w:p>
        </w:tc>
        <w:tc>
          <w:tcPr>
            <w:tcW w:type="dxa" w:w="900"/>
            <w:shd w:fill="FFFFFF" w:val="clear"/>
          </w:tcPr>
          <w:p>
            <w:pPr>
              <w:spacing w:after="40" w:before="40"/>
              <w:jc w:val="left"/>
            </w:pPr>
            <w:r>
              <w:rPr>
                <w:sz w:val="18"/>
                <w:szCs w:val="18"/>
              </w:rPr>
              <w:t xml:space="preserve">P</w:t>
            </w:r>
          </w:p>
        </w:tc>
        <w:tc>
          <w:tcPr>
            <w:tcW w:type="dxa" w:w="900"/>
            <w:shd w:fill="FFFFFF" w:val="clear"/>
          </w:tcPr>
          <w:p>
            <w:pPr>
              <w:spacing w:after="40" w:before="40"/>
              <w:jc w:val="left"/>
            </w:pPr>
            <w:r>
              <w:rPr>
                <w:sz w:val="18"/>
                <w:szCs w:val="18"/>
              </w:rPr>
              <w:t xml:space="preserve">P</w:t>
            </w:r>
          </w:p>
        </w:tc>
        <w:tc>
          <w:tcPr>
            <w:tcW w:type="dxa" w:w="900"/>
            <w:shd w:fill="FFFFFF" w:val="clear"/>
          </w:tcPr>
          <w:p>
            <w:pPr>
              <w:spacing w:after="40" w:before="40"/>
              <w:jc w:val="left"/>
            </w:pPr>
            <w:r>
              <w:rPr>
                <w:sz w:val="18"/>
                <w:szCs w:val="18"/>
              </w:rPr>
              <w:t xml:space="preserve">P</w:t>
            </w:r>
          </w:p>
        </w:tc>
        <w:tc>
          <w:tcPr>
            <w:tcW w:type="dxa" w:w="900"/>
            <w:shd w:fill="FFFFFF" w:val="clear"/>
          </w:tcPr>
          <w:p>
            <w:pPr>
              <w:spacing w:after="40" w:before="40"/>
              <w:jc w:val="left"/>
            </w:pPr>
            <w:r>
              <w:rPr>
                <w:sz w:val="18"/>
                <w:szCs w:val="18"/>
              </w:rPr>
              <w:t xml:space="preserve">C</w:t>
            </w:r>
          </w:p>
        </w:tc>
      </w:tr>
      <w:tr>
        <w:tc>
          <w:tcPr>
            <w:tcW w:type="dxa" w:w="2000"/>
            <w:shd w:fill="D6E4F7" w:val="clear"/>
          </w:tcPr>
          <w:p>
            <w:pPr>
              <w:spacing w:after="40" w:before="40"/>
              <w:jc w:val="left"/>
            </w:pPr>
            <w:r>
              <w:rPr>
                <w:sz w:val="18"/>
                <w:szCs w:val="18"/>
              </w:rPr>
              <w:t xml:space="preserve">Mesa de Partes</w:t>
            </w:r>
          </w:p>
        </w:tc>
        <w:tc>
          <w:tcPr>
            <w:tcW w:type="dxa" w:w="900"/>
            <w:shd w:fill="D6E4F7" w:val="clear"/>
          </w:tcPr>
          <w:p>
            <w:pPr>
              <w:spacing w:after="40" w:before="40"/>
              <w:jc w:val="left"/>
            </w:pPr>
            <w:r>
              <w:rPr>
                <w:sz w:val="18"/>
                <w:szCs w:val="18"/>
              </w:rPr>
              <w:t xml:space="preserve">E</w:t>
            </w:r>
          </w:p>
        </w:tc>
        <w:tc>
          <w:tcPr>
            <w:tcW w:type="dxa" w:w="900"/>
            <w:shd w:fill="D6E4F7" w:val="clear"/>
          </w:tcPr>
          <w:p>
            <w:pPr>
              <w:spacing w:after="40" w:before="40"/>
              <w:jc w:val="left"/>
            </w:pPr>
            <w:r>
              <w:rPr>
                <w:sz w:val="18"/>
                <w:szCs w:val="18"/>
              </w:rPr>
              <w:t xml:space="preserve">—</w:t>
            </w:r>
          </w:p>
        </w:tc>
        <w:tc>
          <w:tcPr>
            <w:tcW w:type="dxa" w:w="900"/>
            <w:shd w:fill="D6E4F7" w:val="clear"/>
          </w:tcPr>
          <w:p>
            <w:pPr>
              <w:spacing w:after="40" w:before="40"/>
              <w:jc w:val="left"/>
            </w:pPr>
            <w:r>
              <w:rPr>
                <w:sz w:val="18"/>
                <w:szCs w:val="18"/>
              </w:rPr>
              <w:t xml:space="preserve">E</w:t>
            </w:r>
          </w:p>
        </w:tc>
        <w:tc>
          <w:tcPr>
            <w:tcW w:type="dxa" w:w="900"/>
            <w:shd w:fill="D6E4F7" w:val="clear"/>
          </w:tcPr>
          <w:p>
            <w:pPr>
              <w:spacing w:after="40" w:before="40"/>
              <w:jc w:val="left"/>
            </w:pPr>
            <w:r>
              <w:rPr>
                <w:sz w:val="18"/>
                <w:szCs w:val="18"/>
              </w:rPr>
              <w:t xml:space="preserve">E</w:t>
            </w:r>
          </w:p>
        </w:tc>
        <w:tc>
          <w:tcPr>
            <w:tcW w:type="dxa" w:w="900"/>
            <w:shd w:fill="D6E4F7" w:val="clear"/>
          </w:tcPr>
          <w:p>
            <w:pPr>
              <w:spacing w:after="40" w:before="40"/>
              <w:jc w:val="left"/>
            </w:pPr>
            <w:r>
              <w:rPr>
                <w:sz w:val="18"/>
                <w:szCs w:val="18"/>
              </w:rPr>
              <w:t xml:space="preserve">—</w:t>
            </w:r>
          </w:p>
        </w:tc>
      </w:tr>
      <w:tr>
        <w:tc>
          <w:tcPr>
            <w:tcW w:type="dxa" w:w="2000"/>
            <w:shd w:fill="FFFFFF" w:val="clear"/>
          </w:tcPr>
          <w:p>
            <w:pPr>
              <w:spacing w:after="40" w:before="40"/>
              <w:jc w:val="left"/>
            </w:pPr>
            <w:r>
              <w:rPr>
                <w:sz w:val="18"/>
                <w:szCs w:val="18"/>
              </w:rPr>
              <w:t xml:space="preserve">Gerencia de Licencias</w:t>
            </w:r>
          </w:p>
        </w:tc>
        <w:tc>
          <w:tcPr>
            <w:tcW w:type="dxa" w:w="900"/>
            <w:shd w:fill="FFFFFF" w:val="clear"/>
          </w:tcPr>
          <w:p>
            <w:pPr>
              <w:spacing w:after="40" w:before="40"/>
              <w:jc w:val="left"/>
            </w:pPr>
            <w:r>
              <w:rPr>
                <w:sz w:val="18"/>
                <w:szCs w:val="18"/>
              </w:rPr>
              <w:t xml:space="preserve">E</w:t>
            </w:r>
          </w:p>
        </w:tc>
        <w:tc>
          <w:tcPr>
            <w:tcW w:type="dxa" w:w="900"/>
            <w:shd w:fill="FFFFFF" w:val="clear"/>
          </w:tcPr>
          <w:p>
            <w:pPr>
              <w:spacing w:after="40" w:before="40"/>
              <w:jc w:val="left"/>
            </w:pPr>
            <w:r>
              <w:rPr>
                <w:sz w:val="18"/>
                <w:szCs w:val="18"/>
              </w:rPr>
              <w:t xml:space="preserve">—</w:t>
            </w:r>
          </w:p>
        </w:tc>
        <w:tc>
          <w:tcPr>
            <w:tcW w:type="dxa" w:w="900"/>
            <w:shd w:fill="FFFFFF" w:val="clear"/>
          </w:tcPr>
          <w:p>
            <w:pPr>
              <w:spacing w:after="40" w:before="40"/>
              <w:jc w:val="left"/>
            </w:pPr>
            <w:r>
              <w:rPr>
                <w:sz w:val="18"/>
                <w:szCs w:val="18"/>
              </w:rPr>
              <w:t xml:space="preserve">P</w:t>
            </w:r>
          </w:p>
        </w:tc>
        <w:tc>
          <w:tcPr>
            <w:tcW w:type="dxa" w:w="900"/>
            <w:shd w:fill="FFFFFF" w:val="clear"/>
          </w:tcPr>
          <w:p>
            <w:pPr>
              <w:spacing w:after="40" w:before="40"/>
              <w:jc w:val="left"/>
            </w:pPr>
            <w:r>
              <w:rPr>
                <w:sz w:val="18"/>
                <w:szCs w:val="18"/>
              </w:rPr>
              <w:t xml:space="preserve">C</w:t>
            </w:r>
          </w:p>
        </w:tc>
        <w:tc>
          <w:tcPr>
            <w:tcW w:type="dxa" w:w="900"/>
            <w:shd w:fill="FFFFFF" w:val="clear"/>
          </w:tcPr>
          <w:p>
            <w:pPr>
              <w:spacing w:after="40" w:before="40"/>
              <w:jc w:val="left"/>
            </w:pPr>
            <w:r>
              <w:rPr>
                <w:sz w:val="18"/>
                <w:szCs w:val="18"/>
              </w:rPr>
              <w:t xml:space="preserve">P</w:t>
            </w:r>
          </w:p>
        </w:tc>
      </w:tr>
      <w:tr>
        <w:tc>
          <w:tcPr>
            <w:tcW w:type="dxa" w:w="2000"/>
            <w:shd w:fill="D6E4F7" w:val="clear"/>
          </w:tcPr>
          <w:p>
            <w:pPr>
              <w:spacing w:after="40" w:before="40"/>
              <w:jc w:val="left"/>
            </w:pPr>
            <w:r>
              <w:rPr>
                <w:sz w:val="18"/>
                <w:szCs w:val="18"/>
              </w:rPr>
              <w:t xml:space="preserve">Rentas / SAT</w:t>
            </w:r>
          </w:p>
        </w:tc>
        <w:tc>
          <w:tcPr>
            <w:tcW w:type="dxa" w:w="900"/>
            <w:shd w:fill="D6E4F7" w:val="clear"/>
          </w:tcPr>
          <w:p>
            <w:pPr>
              <w:spacing w:after="40" w:before="40"/>
              <w:jc w:val="left"/>
            </w:pPr>
            <w:r>
              <w:rPr>
                <w:sz w:val="18"/>
                <w:szCs w:val="18"/>
              </w:rPr>
              <w:t xml:space="preserve">—</w:t>
            </w:r>
          </w:p>
        </w:tc>
        <w:tc>
          <w:tcPr>
            <w:tcW w:type="dxa" w:w="900"/>
            <w:shd w:fill="D6E4F7" w:val="clear"/>
          </w:tcPr>
          <w:p>
            <w:pPr>
              <w:spacing w:after="40" w:before="40"/>
              <w:jc w:val="left"/>
            </w:pPr>
            <w:r>
              <w:rPr>
                <w:sz w:val="18"/>
                <w:szCs w:val="18"/>
              </w:rPr>
              <w:t xml:space="preserve">E</w:t>
            </w:r>
          </w:p>
        </w:tc>
        <w:tc>
          <w:tcPr>
            <w:tcW w:type="dxa" w:w="900"/>
            <w:shd w:fill="D6E4F7" w:val="clear"/>
          </w:tcPr>
          <w:p>
            <w:pPr>
              <w:spacing w:after="40" w:before="40"/>
              <w:jc w:val="left"/>
            </w:pPr>
            <w:r>
              <w:rPr>
                <w:sz w:val="18"/>
                <w:szCs w:val="18"/>
              </w:rPr>
              <w:t xml:space="preserve">—</w:t>
            </w:r>
          </w:p>
        </w:tc>
        <w:tc>
          <w:tcPr>
            <w:tcW w:type="dxa" w:w="900"/>
            <w:shd w:fill="D6E4F7" w:val="clear"/>
          </w:tcPr>
          <w:p>
            <w:pPr>
              <w:spacing w:after="40" w:before="40"/>
              <w:jc w:val="left"/>
            </w:pPr>
            <w:r>
              <w:rPr>
                <w:sz w:val="18"/>
                <w:szCs w:val="18"/>
              </w:rPr>
              <w:t xml:space="preserve">—</w:t>
            </w:r>
          </w:p>
        </w:tc>
        <w:tc>
          <w:tcPr>
            <w:tcW w:type="dxa" w:w="900"/>
            <w:shd w:fill="D6E4F7" w:val="clear"/>
          </w:tcPr>
          <w:p>
            <w:pPr>
              <w:spacing w:after="40" w:before="40"/>
              <w:jc w:val="left"/>
            </w:pPr>
            <w:r>
              <w:rPr>
                <w:sz w:val="18"/>
                <w:szCs w:val="18"/>
              </w:rPr>
              <w:t xml:space="preserve">P</w:t>
            </w:r>
          </w:p>
        </w:tc>
      </w:tr>
      <w:tr>
        <w:tc>
          <w:tcPr>
            <w:tcW w:type="dxa" w:w="2000"/>
            <w:shd w:fill="FFFFFF" w:val="clear"/>
          </w:tcPr>
          <w:p>
            <w:pPr>
              <w:spacing w:after="40" w:before="40"/>
              <w:jc w:val="left"/>
            </w:pPr>
            <w:r>
              <w:rPr>
                <w:sz w:val="18"/>
                <w:szCs w:val="18"/>
              </w:rPr>
              <w:t xml:space="preserve">Fiscalización</w:t>
            </w:r>
          </w:p>
        </w:tc>
        <w:tc>
          <w:tcPr>
            <w:tcW w:type="dxa" w:w="900"/>
            <w:shd w:fill="FFFFFF" w:val="clear"/>
          </w:tcPr>
          <w:p>
            <w:pPr>
              <w:spacing w:after="40" w:before="40"/>
              <w:jc w:val="left"/>
            </w:pPr>
            <w:r>
              <w:rPr>
                <w:sz w:val="18"/>
                <w:szCs w:val="18"/>
              </w:rPr>
              <w:t xml:space="preserve">C</w:t>
            </w:r>
          </w:p>
        </w:tc>
        <w:tc>
          <w:tcPr>
            <w:tcW w:type="dxa" w:w="900"/>
            <w:shd w:fill="FFFFFF" w:val="clear"/>
          </w:tcPr>
          <w:p>
            <w:pPr>
              <w:spacing w:after="40" w:before="40"/>
              <w:jc w:val="left"/>
            </w:pPr>
            <w:r>
              <w:rPr>
                <w:sz w:val="18"/>
                <w:szCs w:val="18"/>
              </w:rPr>
              <w:t xml:space="preserve">C</w:t>
            </w:r>
          </w:p>
        </w:tc>
        <w:tc>
          <w:tcPr>
            <w:tcW w:type="dxa" w:w="900"/>
            <w:shd w:fill="FFFFFF" w:val="clear"/>
          </w:tcPr>
          <w:p>
            <w:pPr>
              <w:spacing w:after="40" w:before="40"/>
              <w:jc w:val="left"/>
            </w:pPr>
            <w:r>
              <w:rPr>
                <w:sz w:val="18"/>
                <w:szCs w:val="18"/>
              </w:rPr>
              <w:t xml:space="preserve">—</w:t>
            </w:r>
          </w:p>
        </w:tc>
        <w:tc>
          <w:tcPr>
            <w:tcW w:type="dxa" w:w="900"/>
            <w:shd w:fill="FFFFFF" w:val="clear"/>
          </w:tcPr>
          <w:p>
            <w:pPr>
              <w:spacing w:after="40" w:before="40"/>
              <w:jc w:val="left"/>
            </w:pPr>
            <w:r>
              <w:rPr>
                <w:sz w:val="18"/>
                <w:szCs w:val="18"/>
              </w:rPr>
              <w:t xml:space="preserve">—</w:t>
            </w:r>
          </w:p>
        </w:tc>
        <w:tc>
          <w:tcPr>
            <w:tcW w:type="dxa" w:w="900"/>
            <w:shd w:fill="FFFFFF" w:val="clear"/>
          </w:tcPr>
          <w:p>
            <w:pPr>
              <w:spacing w:after="40" w:before="40"/>
              <w:jc w:val="left"/>
            </w:pPr>
            <w:r>
              <w:rPr>
                <w:sz w:val="18"/>
                <w:szCs w:val="18"/>
              </w:rPr>
              <w:t xml:space="preserve">E</w:t>
            </w:r>
          </w:p>
        </w:tc>
      </w:tr>
    </w:tbl>
    <w:p>
      <w:r>
        <w:t xml:space="preserve"/>
      </w:r>
    </w:p>
    <w:p>
      <w:pPr>
        <w:pStyle w:val="Heading2"/>
        <w:spacing w:after="120" w:before="240"/>
      </w:pPr>
      <w:r>
        <w:rPr>
          <w:b/>
          <w:bCs/>
          <w:color w:val="2E74B5"/>
          <w:sz w:val="26"/>
          <w:szCs w:val="26"/>
        </w:rPr>
        <w:t xml:space="preserve">6.2. Arquitectura de datos — alto nivel (Baseline)</w:t>
      </w:r>
    </w:p>
    <w:p>
      <w:pPr>
        <w:spacing w:after="80" w:before="80"/>
        <w:jc w:val="both"/>
      </w:pPr>
      <w:r>
        <w:rPr>
          <w:sz w:val="22"/>
          <w:szCs w:val="22"/>
        </w:rPr>
        <w:t xml:space="preserve">La información está dispersa y duplicada entre gerencias, sin un registro único del ciudadano ni catálogos de datos compartidos. La calidad de datos es heterogénea. La integración con RENIEC y la PIDE es parcial o inexistente. El detalle se desarrolla en la Fase C (Arquitectura de Sistemas de Información).</w:t>
      </w:r>
    </w:p>
    <w:p>
      <w:pPr>
        <w:pStyle w:val="Heading2"/>
        <w:spacing w:after="120" w:before="240"/>
      </w:pPr>
      <w:r>
        <w:rPr>
          <w:b/>
          <w:bCs/>
          <w:color w:val="2E74B5"/>
          <w:sz w:val="26"/>
          <w:szCs w:val="26"/>
        </w:rPr>
        <w:t xml:space="preserve">6.3. Arquitectura de aplicaciones — alto nivel (Baseline)</w:t>
      </w:r>
    </w:p>
    <w:p>
      <w:pPr>
        <w:spacing w:after="80" w:before="80"/>
        <w:jc w:val="both"/>
      </w:pPr>
      <w:r>
        <w:rPr>
          <w:sz w:val="22"/>
          <w:szCs w:val="22"/>
        </w:rPr>
        <w:t xml:space="preserve">El portafolio aplicativo está compuesto por sistemas heredados independientes (licencias, tributos, documentario) que no se comunican entre sí y carecen de servicios (APIs) de integración. El detalle se desarrolla en la Fase C.</w:t>
      </w:r>
    </w:p>
    <w:p>
      <w:pPr>
        <w:pStyle w:val="Heading2"/>
        <w:spacing w:after="120" w:before="240"/>
      </w:pPr>
      <w:r>
        <w:rPr>
          <w:b/>
          <w:bCs/>
          <w:color w:val="2E74B5"/>
          <w:sz w:val="26"/>
          <w:szCs w:val="26"/>
        </w:rPr>
        <w:t xml:space="preserve">6.4. Arquitectura tecnológica — alto nivel (Baseline)</w:t>
      </w:r>
    </w:p>
    <w:p>
      <w:pPr>
        <w:spacing w:after="80" w:before="80"/>
        <w:jc w:val="both"/>
      </w:pPr>
      <w:r>
        <w:rPr>
          <w:sz w:val="22"/>
          <w:szCs w:val="22"/>
        </w:rPr>
        <w:t xml:space="preserve">La infraestructura combina servidores propios con disponibilidad limitada, redes segmentadas por sede y escasa adopción de servicios en la nube. El detalle se desarrolla en la Fase D.</w:t>
      </w:r>
    </w:p>
    <w:p>
      <w:pPr>
        <w:pStyle w:val="Heading1"/>
        <w:spacing w:after="120" w:before="240"/>
      </w:pPr>
      <w:r>
        <w:rPr>
          <w:b/>
          <w:bCs/>
          <w:color w:val="1F3864"/>
          <w:sz w:val="32"/>
          <w:szCs w:val="32"/>
        </w:rPr>
        <w:t xml:space="preserve">7. Fundamentos y Justificación del Enfoque Arquitectónico</w:t>
      </w:r>
    </w:p>
    <w:p>
      <w:pPr>
        <w:pStyle w:val="Heading2"/>
        <w:spacing w:after="120" w:before="240"/>
      </w:pPr>
      <w:r>
        <w:rPr>
          <w:b/>
          <w:bCs/>
          <w:color w:val="2E74B5"/>
          <w:sz w:val="26"/>
          <w:szCs w:val="26"/>
        </w:rPr>
        <w:t xml:space="preserve">7.1. Justificación</w:t>
      </w:r>
    </w:p>
    <w:p>
      <w:pPr>
        <w:spacing w:after="80" w:before="80"/>
        <w:jc w:val="both"/>
      </w:pPr>
      <w:r>
        <w:rPr>
          <w:sz w:val="22"/>
          <w:szCs w:val="22"/>
        </w:rPr>
        <w:t xml:space="preserve">La adopción de TOGAF permite alinear los procesos institucionales, la información y la tecnología con las necesidades del ciudadano, rompiendo los silos actuales. El foco en el dominio de negocio (Fase B) garantiza que cualquier inversión tecnológica posterior responda a una necesidad real del municipio.</w:t>
      </w:r>
    </w:p>
    <w:p>
      <w:pPr>
        <w:pStyle w:val="Heading2"/>
        <w:spacing w:after="120" w:before="240"/>
      </w:pPr>
      <w:r>
        <w:rPr>
          <w:b/>
          <w:bCs/>
          <w:color w:val="2E74B5"/>
          <w:sz w:val="26"/>
          <w:szCs w:val="26"/>
        </w:rPr>
        <w:t xml:space="preserve">7.2. Decisiones de arquitectura</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5100"/>
      </w:tblGrid>
      <w:tr>
        <w:trPr>
          <w:tblHeader/>
        </w:trPr>
        <w:tc>
          <w:tcPr>
            <w:tcW w:type="dxa" w:w="700"/>
            <w:shd w:fill="1F3864" w:val="clear"/>
          </w:tcPr>
          <w:p>
            <w:pPr>
              <w:jc w:val="center"/>
            </w:pPr>
            <w:r>
              <w:rPr>
                <w:b/>
                <w:bCs/>
                <w:color w:val="FFFFFF"/>
                <w:sz w:val="18"/>
                <w:szCs w:val="18"/>
              </w:rPr>
              <w:t xml:space="preserve">Ref.</w:t>
            </w:r>
          </w:p>
        </w:tc>
        <w:tc>
          <w:tcPr>
            <w:tcW w:type="dxa" w:w="3000"/>
            <w:shd w:fill="1F3864" w:val="clear"/>
          </w:tcPr>
          <w:p>
            <w:pPr>
              <w:jc w:val="center"/>
            </w:pPr>
            <w:r>
              <w:rPr>
                <w:b/>
                <w:bCs/>
                <w:color w:val="FFFFFF"/>
                <w:sz w:val="18"/>
                <w:szCs w:val="18"/>
              </w:rPr>
              <w:t xml:space="preserve">Decisión</w:t>
            </w:r>
          </w:p>
        </w:tc>
        <w:tc>
          <w:tcPr>
            <w:tcW w:type="dxa" w:w="5100"/>
            <w:shd w:fill="1F3864" w:val="clear"/>
          </w:tcPr>
          <w:p>
            <w:pPr>
              <w:jc w:val="center"/>
            </w:pPr>
            <w:r>
              <w:rPr>
                <w:b/>
                <w:bCs/>
                <w:color w:val="FFFFFF"/>
                <w:sz w:val="18"/>
                <w:szCs w:val="18"/>
              </w:rPr>
              <w:t xml:space="preserve">Justificación</w:t>
            </w:r>
          </w:p>
        </w:tc>
      </w:tr>
      <w:tr>
        <w:tc>
          <w:tcPr>
            <w:tcW w:type="dxa" w:w="700"/>
            <w:shd w:fill="FFFFFF" w:val="clear"/>
          </w:tcPr>
          <w:p>
            <w:pPr>
              <w:spacing w:after="40" w:before="40"/>
              <w:jc w:val="left"/>
            </w:pPr>
            <w:r>
              <w:rPr>
                <w:sz w:val="18"/>
                <w:szCs w:val="18"/>
              </w:rPr>
              <w:t xml:space="preserve">DEC-01</w:t>
            </w:r>
          </w:p>
        </w:tc>
        <w:tc>
          <w:tcPr>
            <w:tcW w:type="dxa" w:w="3000"/>
            <w:shd w:fill="FFFFFF" w:val="clear"/>
          </w:tcPr>
          <w:p>
            <w:pPr>
              <w:spacing w:after="40" w:before="40"/>
              <w:jc w:val="left"/>
            </w:pPr>
            <w:r>
              <w:rPr>
                <w:sz w:val="18"/>
                <w:szCs w:val="18"/>
              </w:rPr>
              <w:t xml:space="preserve">Adoptar TOGAF como método y ArchiMate 3.1 como lenguaje.</w:t>
            </w:r>
          </w:p>
        </w:tc>
        <w:tc>
          <w:tcPr>
            <w:tcW w:type="dxa" w:w="5100"/>
            <w:shd w:fill="FFFFFF" w:val="clear"/>
          </w:tcPr>
          <w:p>
            <w:pPr>
              <w:spacing w:after="40" w:before="40"/>
              <w:jc w:val="left"/>
            </w:pPr>
            <w:r>
              <w:rPr>
                <w:sz w:val="18"/>
                <w:szCs w:val="18"/>
              </w:rPr>
              <w:t xml:space="preserve">Reconocimiento global, flexibilidad y alineación con la Fase Preliminar V2.</w:t>
            </w:r>
          </w:p>
        </w:tc>
      </w:tr>
      <w:tr>
        <w:tc>
          <w:tcPr>
            <w:tcW w:type="dxa" w:w="700"/>
            <w:shd w:fill="D6E4F7" w:val="clear"/>
          </w:tcPr>
          <w:p>
            <w:pPr>
              <w:spacing w:after="40" w:before="40"/>
              <w:jc w:val="left"/>
            </w:pPr>
            <w:r>
              <w:rPr>
                <w:sz w:val="18"/>
                <w:szCs w:val="18"/>
              </w:rPr>
              <w:t xml:space="preserve">DEC-02</w:t>
            </w:r>
          </w:p>
        </w:tc>
        <w:tc>
          <w:tcPr>
            <w:tcW w:type="dxa" w:w="3000"/>
            <w:shd w:fill="D6E4F7" w:val="clear"/>
          </w:tcPr>
          <w:p>
            <w:pPr>
              <w:spacing w:after="40" w:before="40"/>
              <w:jc w:val="left"/>
            </w:pPr>
            <w:r>
              <w:rPr>
                <w:sz w:val="18"/>
                <w:szCs w:val="18"/>
              </w:rPr>
              <w:t xml:space="preserve">Integrar el MADE como capa normativa obligatoria.</w:t>
            </w:r>
          </w:p>
        </w:tc>
        <w:tc>
          <w:tcPr>
            <w:tcW w:type="dxa" w:w="5100"/>
            <w:shd w:fill="D6E4F7" w:val="clear"/>
          </w:tcPr>
          <w:p>
            <w:pPr>
              <w:spacing w:after="40" w:before="40"/>
              <w:jc w:val="left"/>
            </w:pPr>
            <w:r>
              <w:rPr>
                <w:sz w:val="18"/>
                <w:szCs w:val="18"/>
              </w:rPr>
              <w:t xml:space="preserve">La MML es entidad del Estado peruano y debe cumplir la SGTD–PCM.</w:t>
            </w:r>
          </w:p>
        </w:tc>
      </w:tr>
      <w:tr>
        <w:tc>
          <w:tcPr>
            <w:tcW w:type="dxa" w:w="700"/>
            <w:shd w:fill="FFFFFF" w:val="clear"/>
          </w:tcPr>
          <w:p>
            <w:pPr>
              <w:spacing w:after="40" w:before="40"/>
              <w:jc w:val="left"/>
            </w:pPr>
            <w:r>
              <w:rPr>
                <w:sz w:val="18"/>
                <w:szCs w:val="18"/>
              </w:rPr>
              <w:t xml:space="preserve">DEC-03</w:t>
            </w:r>
          </w:p>
        </w:tc>
        <w:tc>
          <w:tcPr>
            <w:tcW w:type="dxa" w:w="3000"/>
            <w:shd w:fill="FFFFFF" w:val="clear"/>
          </w:tcPr>
          <w:p>
            <w:pPr>
              <w:spacing w:after="40" w:before="40"/>
              <w:jc w:val="left"/>
            </w:pPr>
            <w:r>
              <w:rPr>
                <w:sz w:val="18"/>
                <w:szCs w:val="18"/>
              </w:rPr>
              <w:t xml:space="preserve">Centrar la integración en la PIDE (principio AP04).</w:t>
            </w:r>
          </w:p>
        </w:tc>
        <w:tc>
          <w:tcPr>
            <w:tcW w:type="dxa" w:w="5100"/>
            <w:shd w:fill="FFFFFF" w:val="clear"/>
          </w:tcPr>
          <w:p>
            <w:pPr>
              <w:spacing w:after="40" w:before="40"/>
              <w:jc w:val="left"/>
            </w:pPr>
            <w:r>
              <w:rPr>
                <w:sz w:val="18"/>
                <w:szCs w:val="18"/>
              </w:rPr>
              <w:t xml:space="preserve">Estándar nacional de interoperabilidad del Estado.</w:t>
            </w:r>
          </w:p>
        </w:tc>
      </w:tr>
      <w:tr>
        <w:tc>
          <w:tcPr>
            <w:tcW w:type="dxa" w:w="700"/>
            <w:shd w:fill="D6E4F7" w:val="clear"/>
          </w:tcPr>
          <w:p>
            <w:pPr>
              <w:spacing w:after="40" w:before="40"/>
              <w:jc w:val="left"/>
            </w:pPr>
            <w:r>
              <w:rPr>
                <w:sz w:val="18"/>
                <w:szCs w:val="18"/>
              </w:rPr>
              <w:t xml:space="preserve">DEC-04</w:t>
            </w:r>
          </w:p>
        </w:tc>
        <w:tc>
          <w:tcPr>
            <w:tcW w:type="dxa" w:w="3000"/>
            <w:shd w:fill="D6E4F7" w:val="clear"/>
          </w:tcPr>
          <w:p>
            <w:pPr>
              <w:spacing w:after="40" w:before="40"/>
              <w:jc w:val="left"/>
            </w:pPr>
            <w:r>
              <w:rPr>
                <w:sz w:val="18"/>
                <w:szCs w:val="18"/>
              </w:rPr>
              <w:t xml:space="preserve">Establecer un registro único del ciudadano (principio DP01).</w:t>
            </w:r>
          </w:p>
        </w:tc>
        <w:tc>
          <w:tcPr>
            <w:tcW w:type="dxa" w:w="5100"/>
            <w:shd w:fill="D6E4F7" w:val="clear"/>
          </w:tcPr>
          <w:p>
            <w:pPr>
              <w:spacing w:after="40" w:before="40"/>
              <w:jc w:val="left"/>
            </w:pPr>
            <w:r>
              <w:rPr>
                <w:sz w:val="18"/>
                <w:szCs w:val="18"/>
              </w:rPr>
              <w:t xml:space="preserve">Elimina duplicidad y habilita trazabilidad E2E.</w:t>
            </w:r>
          </w:p>
        </w:tc>
      </w:tr>
      <w:tr>
        <w:tc>
          <w:tcPr>
            <w:tcW w:type="dxa" w:w="700"/>
            <w:shd w:fill="FFFFFF" w:val="clear"/>
          </w:tcPr>
          <w:p>
            <w:pPr>
              <w:spacing w:after="40" w:before="40"/>
              <w:jc w:val="left"/>
            </w:pPr>
            <w:r>
              <w:rPr>
                <w:sz w:val="18"/>
                <w:szCs w:val="18"/>
              </w:rPr>
              <w:t xml:space="preserve">DEC-05</w:t>
            </w:r>
          </w:p>
        </w:tc>
        <w:tc>
          <w:tcPr>
            <w:tcW w:type="dxa" w:w="3000"/>
            <w:shd w:fill="FFFFFF" w:val="clear"/>
          </w:tcPr>
          <w:p>
            <w:pPr>
              <w:spacing w:after="40" w:before="40"/>
              <w:jc w:val="left"/>
            </w:pPr>
            <w:r>
              <w:rPr>
                <w:sz w:val="18"/>
                <w:szCs w:val="18"/>
              </w:rPr>
              <w:t xml:space="preserve">Modalidad organizativa mixta con soporte de consultores.</w:t>
            </w:r>
          </w:p>
        </w:tc>
        <w:tc>
          <w:tcPr>
            <w:tcW w:type="dxa" w:w="5100"/>
            <w:shd w:fill="FFFFFF" w:val="clear"/>
          </w:tcPr>
          <w:p>
            <w:pPr>
              <w:spacing w:after="40" w:before="40"/>
              <w:jc w:val="left"/>
            </w:pPr>
            <w:r>
              <w:rPr>
                <w:sz w:val="18"/>
                <w:szCs w:val="18"/>
              </w:rPr>
              <w:t xml:space="preserve">Equilibra costo, control interno y transferencia de conocimiento.</w:t>
            </w:r>
          </w:p>
        </w:tc>
      </w:tr>
    </w:tbl>
    <w:p>
      <w:pPr>
        <w:pStyle w:val="Heading1"/>
        <w:spacing w:after="120" w:before="240"/>
      </w:pPr>
      <w:r>
        <w:rPr>
          <w:b/>
          <w:bCs/>
          <w:color w:val="1F3864"/>
          <w:sz w:val="32"/>
          <w:szCs w:val="32"/>
        </w:rPr>
        <w:t xml:space="preserve">9. Arquitectura Objetivo (TO-BE)</w:t>
      </w:r>
    </w:p>
    <w:p>
      <w:pPr>
        <w:pStyle w:val="Heading2"/>
        <w:spacing w:after="120" w:before="240"/>
      </w:pPr>
      <w:r>
        <w:rPr>
          <w:b/>
          <w:bCs/>
          <w:color w:val="2E74B5"/>
          <w:sz w:val="26"/>
          <w:szCs w:val="26"/>
        </w:rPr>
        <w:t xml:space="preserve">9.1. Arquitectura de negocio conceptual (Target)</w:t>
      </w:r>
    </w:p>
    <w:p>
      <w:pPr>
        <w:spacing w:after="80" w:before="80"/>
        <w:jc w:val="both"/>
      </w:pPr>
      <w:r>
        <w:rPr>
          <w:sz w:val="22"/>
          <w:szCs w:val="22"/>
        </w:rPr>
        <w:t xml:space="preserve">La MML objetivo es digital, interoperable y centrada en el ciudadano: los trámites se inician en línea por una mesa de partes virtual, se procesan con flujos automatizados y trazables, y consumen servicios comunes (autenticación, notificación, pagos) integrados con la PIDE y RENIEC.</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400"/>
      </w:tblGrid>
      <w:tr>
        <w:trPr>
          <w:tblHeader/>
        </w:trPr>
        <w:tc>
          <w:tcPr>
            <w:tcW w:type="dxa" w:w="2400"/>
            <w:shd w:fill="1F3864" w:val="clear"/>
          </w:tcPr>
          <w:p>
            <w:pPr>
              <w:jc w:val="center"/>
            </w:pPr>
            <w:r>
              <w:rPr>
                <w:b/>
                <w:bCs/>
                <w:color w:val="FFFFFF"/>
                <w:sz w:val="18"/>
                <w:szCs w:val="18"/>
              </w:rPr>
              <w:t xml:space="preserve">Capa</w:t>
            </w:r>
          </w:p>
        </w:tc>
        <w:tc>
          <w:tcPr>
            <w:tcW w:type="dxa" w:w="6400"/>
            <w:shd w:fill="1F3864" w:val="clear"/>
          </w:tcPr>
          <w:p>
            <w:pPr>
              <w:jc w:val="center"/>
            </w:pPr>
            <w:r>
              <w:rPr>
                <w:b/>
                <w:bCs/>
                <w:color w:val="FFFFFF"/>
                <w:sz w:val="18"/>
                <w:szCs w:val="18"/>
              </w:rPr>
              <w:t xml:space="preserve">Descripción (TO-BE)</w:t>
            </w:r>
          </w:p>
        </w:tc>
      </w:tr>
      <w:tr>
        <w:tc>
          <w:tcPr>
            <w:tcW w:type="dxa" w:w="2400"/>
            <w:shd w:fill="FFFFFF" w:val="clear"/>
          </w:tcPr>
          <w:p>
            <w:pPr>
              <w:spacing w:after="40" w:before="40"/>
              <w:jc w:val="left"/>
            </w:pPr>
            <w:r>
              <w:rPr>
                <w:sz w:val="18"/>
                <w:szCs w:val="18"/>
              </w:rPr>
              <w:t xml:space="preserve">Actores y roles</w:t>
            </w:r>
          </w:p>
        </w:tc>
        <w:tc>
          <w:tcPr>
            <w:tcW w:type="dxa" w:w="6400"/>
            <w:shd w:fill="FFFFFF" w:val="clear"/>
          </w:tcPr>
          <w:p>
            <w:pPr>
              <w:spacing w:after="40" w:before="40"/>
              <w:jc w:val="left"/>
            </w:pPr>
            <w:r>
              <w:rPr>
                <w:sz w:val="18"/>
                <w:szCs w:val="18"/>
              </w:rPr>
              <w:t xml:space="preserve">Ciudadano · Empresa/Comercio · Gestor de Atención · Analista de Licencias · Analista de Rentas · Fiscalizador · Administrador de Gobierno Digital</w:t>
            </w:r>
          </w:p>
        </w:tc>
      </w:tr>
      <w:tr>
        <w:tc>
          <w:tcPr>
            <w:tcW w:type="dxa" w:w="2400"/>
            <w:shd w:fill="D6E4F7" w:val="clear"/>
          </w:tcPr>
          <w:p>
            <w:pPr>
              <w:spacing w:after="40" w:before="40"/>
              <w:jc w:val="left"/>
            </w:pPr>
            <w:r>
              <w:rPr>
                <w:sz w:val="18"/>
                <w:szCs w:val="18"/>
              </w:rPr>
              <w:t xml:space="preserve">Servicios de negocio objetivo</w:t>
            </w:r>
          </w:p>
        </w:tc>
        <w:tc>
          <w:tcPr>
            <w:tcW w:type="dxa" w:w="6400"/>
            <w:shd w:fill="D6E4F7" w:val="clear"/>
          </w:tcPr>
          <w:p>
            <w:pPr>
              <w:spacing w:after="40" w:before="40"/>
              <w:jc w:val="left"/>
            </w:pPr>
            <w:r>
              <w:rPr>
                <w:sz w:val="18"/>
                <w:szCs w:val="18"/>
              </w:rPr>
              <w:t xml:space="preserve">Mesa de partes virtual · Licencia en línea · Pago de arbitrios en línea · Consulta y seguimiento de expedientes · Atención de reclamos digital · Notificación electrónica</w:t>
            </w:r>
          </w:p>
        </w:tc>
      </w:tr>
      <w:tr>
        <w:tc>
          <w:tcPr>
            <w:tcW w:type="dxa" w:w="2400"/>
            <w:shd w:fill="FFFFFF" w:val="clear"/>
          </w:tcPr>
          <w:p>
            <w:pPr>
              <w:spacing w:after="40" w:before="40"/>
              <w:jc w:val="left"/>
            </w:pPr>
            <w:r>
              <w:rPr>
                <w:sz w:val="18"/>
                <w:szCs w:val="18"/>
              </w:rPr>
              <w:t xml:space="preserve">Procesos objetivo (digitales)</w:t>
            </w:r>
          </w:p>
        </w:tc>
        <w:tc>
          <w:tcPr>
            <w:tcW w:type="dxa" w:w="6400"/>
            <w:shd w:fill="FFFFFF" w:val="clear"/>
          </w:tcPr>
          <w:p>
            <w:pPr>
              <w:spacing w:after="40" w:before="40"/>
              <w:jc w:val="left"/>
            </w:pPr>
            <w:r>
              <w:rPr>
                <w:sz w:val="18"/>
                <w:szCs w:val="18"/>
              </w:rPr>
              <w:t xml:space="preserve">Licencia en línea · Recaudación digital · Gestión documentaria electrónica · Atención de reclamos con SLA · Fiscalización integrada con rentas</w:t>
            </w:r>
          </w:p>
        </w:tc>
      </w:tr>
      <w:tr>
        <w:tc>
          <w:tcPr>
            <w:tcW w:type="dxa" w:w="2400"/>
            <w:shd w:fill="D6E4F7" w:val="clear"/>
          </w:tcPr>
          <w:p>
            <w:pPr>
              <w:spacing w:after="40" w:before="40"/>
              <w:jc w:val="left"/>
            </w:pPr>
            <w:r>
              <w:rPr>
                <w:sz w:val="18"/>
                <w:szCs w:val="18"/>
              </w:rPr>
              <w:t xml:space="preserve">Servicios comunes / interoperabilidad</w:t>
            </w:r>
          </w:p>
        </w:tc>
        <w:tc>
          <w:tcPr>
            <w:tcW w:type="dxa" w:w="6400"/>
            <w:shd w:fill="D6E4F7" w:val="clear"/>
          </w:tcPr>
          <w:p>
            <w:pPr>
              <w:spacing w:after="40" w:before="40"/>
              <w:jc w:val="left"/>
            </w:pPr>
            <w:r>
              <w:rPr>
                <w:sz w:val="18"/>
                <w:szCs w:val="18"/>
              </w:rPr>
              <w:t xml:space="preserve">Autenticación (RENIEC) · PIDE · Pagos digitales del Estado · Firma digital · Registro único del ciudadano</w:t>
            </w:r>
          </w:p>
        </w:tc>
      </w:tr>
    </w:tbl>
    <w:p>
      <w:r>
        <w:t xml:space="preserve"/>
      </w:r>
    </w:p>
    <w:p>
      <w:pPr>
        <w:pStyle w:val="Heading2"/>
        <w:spacing w:after="120" w:before="240"/>
      </w:pPr>
      <w:r>
        <w:rPr>
          <w:b/>
          <w:bCs/>
          <w:color w:val="2E74B5"/>
          <w:sz w:val="26"/>
          <w:szCs w:val="26"/>
        </w:rPr>
        <w:t xml:space="preserve">9.1.2. Catálogo de procesos de negocio objetivo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00"/>
        <w:gridCol w:w="4900"/>
      </w:tblGrid>
      <w:tr>
        <w:trPr>
          <w:tblHeader/>
        </w:trPr>
        <w:tc>
          <w:tcPr>
            <w:tcW w:type="dxa" w:w="700"/>
            <w:shd w:fill="1F3864" w:val="clear"/>
          </w:tcPr>
          <w:p>
            <w:pPr>
              <w:jc w:val="center"/>
            </w:pPr>
            <w:r>
              <w:rPr>
                <w:b/>
                <w:bCs/>
                <w:color w:val="FFFFFF"/>
                <w:sz w:val="18"/>
                <w:szCs w:val="18"/>
              </w:rPr>
              <w:t xml:space="preserve">Ref.</w:t>
            </w:r>
          </w:p>
        </w:tc>
        <w:tc>
          <w:tcPr>
            <w:tcW w:type="dxa" w:w="3200"/>
            <w:shd w:fill="1F3864" w:val="clear"/>
          </w:tcPr>
          <w:p>
            <w:pPr>
              <w:jc w:val="center"/>
            </w:pPr>
            <w:r>
              <w:rPr>
                <w:b/>
                <w:bCs/>
                <w:color w:val="FFFFFF"/>
                <w:sz w:val="18"/>
                <w:szCs w:val="18"/>
              </w:rPr>
              <w:t xml:space="preserve">Proceso de negocio (TO-BE)</w:t>
            </w:r>
          </w:p>
        </w:tc>
        <w:tc>
          <w:tcPr>
            <w:tcW w:type="dxa" w:w="4900"/>
            <w:shd w:fill="1F3864" w:val="clear"/>
          </w:tcPr>
          <w:p>
            <w:pPr>
              <w:jc w:val="center"/>
            </w:pPr>
            <w:r>
              <w:rPr>
                <w:b/>
                <w:bCs/>
                <w:color w:val="FFFFFF"/>
                <w:sz w:val="18"/>
                <w:szCs w:val="18"/>
              </w:rPr>
              <w:t xml:space="preserve">Mejora frente al AS-IS</w:t>
            </w:r>
          </w:p>
        </w:tc>
      </w:tr>
      <w:tr>
        <w:tc>
          <w:tcPr>
            <w:tcW w:type="dxa" w:w="700"/>
            <w:shd w:fill="FFFFFF" w:val="clear"/>
          </w:tcPr>
          <w:p>
            <w:pPr>
              <w:spacing w:after="40" w:before="40"/>
              <w:jc w:val="left"/>
            </w:pPr>
            <w:r>
              <w:rPr>
                <w:sz w:val="18"/>
                <w:szCs w:val="18"/>
              </w:rPr>
              <w:t xml:space="preserve">PRC-01</w:t>
            </w:r>
          </w:p>
        </w:tc>
        <w:tc>
          <w:tcPr>
            <w:tcW w:type="dxa" w:w="3200"/>
            <w:shd w:fill="FFFFFF" w:val="clear"/>
          </w:tcPr>
          <w:p>
            <w:pPr>
              <w:spacing w:after="40" w:before="40"/>
              <w:jc w:val="left"/>
            </w:pPr>
            <w:r>
              <w:rPr>
                <w:sz w:val="18"/>
                <w:szCs w:val="18"/>
              </w:rPr>
              <w:t xml:space="preserve">Otorgamiento de licencia de funcionamiento en línea</w:t>
            </w:r>
          </w:p>
        </w:tc>
        <w:tc>
          <w:tcPr>
            <w:tcW w:type="dxa" w:w="4900"/>
            <w:shd w:fill="FFFFFF" w:val="clear"/>
          </w:tcPr>
          <w:p>
            <w:pPr>
              <w:spacing w:after="40" w:before="40"/>
              <w:jc w:val="left"/>
            </w:pPr>
            <w:r>
              <w:rPr>
                <w:sz w:val="18"/>
                <w:szCs w:val="18"/>
              </w:rPr>
              <w:t xml:space="preserve">Solicitud y pago digitales; validación con RENIEC; seguimiento en línea.</w:t>
            </w:r>
          </w:p>
        </w:tc>
      </w:tr>
      <w:tr>
        <w:tc>
          <w:tcPr>
            <w:tcW w:type="dxa" w:w="700"/>
            <w:shd w:fill="D6E4F7" w:val="clear"/>
          </w:tcPr>
          <w:p>
            <w:pPr>
              <w:spacing w:after="40" w:before="40"/>
              <w:jc w:val="left"/>
            </w:pPr>
            <w:r>
              <w:rPr>
                <w:sz w:val="18"/>
                <w:szCs w:val="18"/>
              </w:rPr>
              <w:t xml:space="preserve">PRC-02</w:t>
            </w:r>
          </w:p>
        </w:tc>
        <w:tc>
          <w:tcPr>
            <w:tcW w:type="dxa" w:w="3200"/>
            <w:shd w:fill="D6E4F7" w:val="clear"/>
          </w:tcPr>
          <w:p>
            <w:pPr>
              <w:spacing w:after="40" w:before="40"/>
              <w:jc w:val="left"/>
            </w:pPr>
            <w:r>
              <w:rPr>
                <w:sz w:val="18"/>
                <w:szCs w:val="18"/>
              </w:rPr>
              <w:t xml:space="preserve">Recaudación digital de arbitrios</w:t>
            </w:r>
          </w:p>
        </w:tc>
        <w:tc>
          <w:tcPr>
            <w:tcW w:type="dxa" w:w="4900"/>
            <w:shd w:fill="D6E4F7" w:val="clear"/>
          </w:tcPr>
          <w:p>
            <w:pPr>
              <w:spacing w:after="40" w:before="40"/>
              <w:jc w:val="left"/>
            </w:pPr>
            <w:r>
              <w:rPr>
                <w:sz w:val="18"/>
                <w:szCs w:val="18"/>
              </w:rPr>
              <w:t xml:space="preserve">Pago en línea; conciliación automática; estado de cuenta consultable.</w:t>
            </w:r>
          </w:p>
        </w:tc>
      </w:tr>
      <w:tr>
        <w:tc>
          <w:tcPr>
            <w:tcW w:type="dxa" w:w="700"/>
            <w:shd w:fill="FFFFFF" w:val="clear"/>
          </w:tcPr>
          <w:p>
            <w:pPr>
              <w:spacing w:after="40" w:before="40"/>
              <w:jc w:val="left"/>
            </w:pPr>
            <w:r>
              <w:rPr>
                <w:sz w:val="18"/>
                <w:szCs w:val="18"/>
              </w:rPr>
              <w:t xml:space="preserve">PRC-03</w:t>
            </w:r>
          </w:p>
        </w:tc>
        <w:tc>
          <w:tcPr>
            <w:tcW w:type="dxa" w:w="3200"/>
            <w:shd w:fill="FFFFFF" w:val="clear"/>
          </w:tcPr>
          <w:p>
            <w:pPr>
              <w:spacing w:after="40" w:before="40"/>
              <w:jc w:val="left"/>
            </w:pPr>
            <w:r>
              <w:rPr>
                <w:sz w:val="18"/>
                <w:szCs w:val="18"/>
              </w:rPr>
              <w:t xml:space="preserve">Gestión documentaria electrónica</w:t>
            </w:r>
          </w:p>
        </w:tc>
        <w:tc>
          <w:tcPr>
            <w:tcW w:type="dxa" w:w="4900"/>
            <w:shd w:fill="FFFFFF" w:val="clear"/>
          </w:tcPr>
          <w:p>
            <w:pPr>
              <w:spacing w:after="40" w:before="40"/>
              <w:jc w:val="left"/>
            </w:pPr>
            <w:r>
              <w:rPr>
                <w:sz w:val="18"/>
                <w:szCs w:val="18"/>
              </w:rPr>
              <w:t xml:space="preserve">Mesa de partes virtual; derivación y trazabilidad E2E.</w:t>
            </w:r>
          </w:p>
        </w:tc>
      </w:tr>
      <w:tr>
        <w:tc>
          <w:tcPr>
            <w:tcW w:type="dxa" w:w="700"/>
            <w:shd w:fill="D6E4F7" w:val="clear"/>
          </w:tcPr>
          <w:p>
            <w:pPr>
              <w:spacing w:after="40" w:before="40"/>
              <w:jc w:val="left"/>
            </w:pPr>
            <w:r>
              <w:rPr>
                <w:sz w:val="18"/>
                <w:szCs w:val="18"/>
              </w:rPr>
              <w:t xml:space="preserve">PRC-04</w:t>
            </w:r>
          </w:p>
        </w:tc>
        <w:tc>
          <w:tcPr>
            <w:tcW w:type="dxa" w:w="3200"/>
            <w:shd w:fill="D6E4F7" w:val="clear"/>
          </w:tcPr>
          <w:p>
            <w:pPr>
              <w:spacing w:after="40" w:before="40"/>
              <w:jc w:val="left"/>
            </w:pPr>
            <w:r>
              <w:rPr>
                <w:sz w:val="18"/>
                <w:szCs w:val="18"/>
              </w:rPr>
              <w:t xml:space="preserve">Atención de reclamos con SLA</w:t>
            </w:r>
          </w:p>
        </w:tc>
        <w:tc>
          <w:tcPr>
            <w:tcW w:type="dxa" w:w="4900"/>
            <w:shd w:fill="D6E4F7" w:val="clear"/>
          </w:tcPr>
          <w:p>
            <w:pPr>
              <w:spacing w:after="40" w:before="40"/>
              <w:jc w:val="left"/>
            </w:pPr>
            <w:r>
              <w:rPr>
                <w:sz w:val="18"/>
                <w:szCs w:val="18"/>
              </w:rPr>
              <w:t xml:space="preserve">Registro digital, plazos controlados y notificación electrónica.</w:t>
            </w:r>
          </w:p>
        </w:tc>
      </w:tr>
      <w:tr>
        <w:tc>
          <w:tcPr>
            <w:tcW w:type="dxa" w:w="700"/>
            <w:shd w:fill="FFFFFF" w:val="clear"/>
          </w:tcPr>
          <w:p>
            <w:pPr>
              <w:spacing w:after="40" w:before="40"/>
              <w:jc w:val="left"/>
            </w:pPr>
            <w:r>
              <w:rPr>
                <w:sz w:val="18"/>
                <w:szCs w:val="18"/>
              </w:rPr>
              <w:t xml:space="preserve">PRC-05</w:t>
            </w:r>
          </w:p>
        </w:tc>
        <w:tc>
          <w:tcPr>
            <w:tcW w:type="dxa" w:w="3200"/>
            <w:shd w:fill="FFFFFF" w:val="clear"/>
          </w:tcPr>
          <w:p>
            <w:pPr>
              <w:spacing w:after="40" w:before="40"/>
              <w:jc w:val="left"/>
            </w:pPr>
            <w:r>
              <w:rPr>
                <w:sz w:val="18"/>
                <w:szCs w:val="18"/>
              </w:rPr>
              <w:t xml:space="preserve">Fiscalización integrada</w:t>
            </w:r>
          </w:p>
        </w:tc>
        <w:tc>
          <w:tcPr>
            <w:tcW w:type="dxa" w:w="4900"/>
            <w:shd w:fill="FFFFFF" w:val="clear"/>
          </w:tcPr>
          <w:p>
            <w:pPr>
              <w:spacing w:after="40" w:before="40"/>
              <w:jc w:val="left"/>
            </w:pPr>
            <w:r>
              <w:rPr>
                <w:sz w:val="18"/>
                <w:szCs w:val="18"/>
              </w:rPr>
              <w:t xml:space="preserve">Actas digitales integradas con rentas y licencias.</w:t>
            </w:r>
          </w:p>
        </w:tc>
      </w:tr>
    </w:tbl>
    <w:p>
      <w:r>
        <w:t xml:space="preserve"/>
      </w:r>
    </w:p>
    <w:p>
      <w:pPr>
        <w:pStyle w:val="Heading2"/>
        <w:spacing w:after="120" w:before="240"/>
      </w:pPr>
      <w:r>
        <w:rPr>
          <w:b/>
          <w:bCs/>
          <w:color w:val="2E74B5"/>
          <w:sz w:val="26"/>
          <w:szCs w:val="26"/>
        </w:rPr>
        <w:t xml:space="preserve">9.1.4. Matriz RACI de procesos clave (Target)</w:t>
      </w:r>
    </w:p>
    <w:p>
      <w:pPr>
        <w:spacing w:after="80" w:before="80"/>
        <w:jc w:val="both"/>
      </w:pPr>
      <w:r>
        <w:rPr>
          <w:sz w:val="22"/>
          <w:szCs w:val="22"/>
        </w:rPr>
        <w:t xml:space="preserve">Leyenda: R = Responsable, A = Aprobador, C = Consultado, I = Informado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900"/>
        <w:gridCol w:w="1200"/>
        <w:gridCol w:w="1400"/>
        <w:gridCol w:w="1100"/>
        <w:gridCol w:w="1100"/>
        <w:gridCol w:w="1100"/>
      </w:tblGrid>
      <w:tr>
        <w:trPr>
          <w:tblHeader/>
        </w:trPr>
        <w:tc>
          <w:tcPr>
            <w:tcW w:type="dxa" w:w="2000"/>
            <w:shd w:fill="1F3864" w:val="clear"/>
          </w:tcPr>
          <w:p>
            <w:pPr>
              <w:jc w:val="center"/>
            </w:pPr>
            <w:r>
              <w:rPr>
                <w:b/>
                <w:bCs/>
                <w:color w:val="FFFFFF"/>
                <w:sz w:val="18"/>
                <w:szCs w:val="18"/>
              </w:rPr>
              <w:t xml:space="preserve">Proceso / Rol</w:t>
            </w:r>
          </w:p>
        </w:tc>
        <w:tc>
          <w:tcPr>
            <w:tcW w:type="dxa" w:w="900"/>
            <w:shd w:fill="1F3864" w:val="clear"/>
          </w:tcPr>
          <w:p>
            <w:pPr>
              <w:jc w:val="center"/>
            </w:pPr>
            <w:r>
              <w:rPr>
                <w:b/>
                <w:bCs/>
                <w:color w:val="FFFFFF"/>
                <w:sz w:val="18"/>
                <w:szCs w:val="18"/>
              </w:rPr>
              <w:t xml:space="preserve">Ciudadano</w:t>
            </w:r>
          </w:p>
        </w:tc>
        <w:tc>
          <w:tcPr>
            <w:tcW w:type="dxa" w:w="1200"/>
            <w:shd w:fill="1F3864" w:val="clear"/>
          </w:tcPr>
          <w:p>
            <w:pPr>
              <w:jc w:val="center"/>
            </w:pPr>
            <w:r>
              <w:rPr>
                <w:b/>
                <w:bCs/>
                <w:color w:val="FFFFFF"/>
                <w:sz w:val="18"/>
                <w:szCs w:val="18"/>
              </w:rPr>
              <w:t xml:space="preserve">Gestor Atención</w:t>
            </w:r>
          </w:p>
        </w:tc>
        <w:tc>
          <w:tcPr>
            <w:tcW w:type="dxa" w:w="1400"/>
            <w:shd w:fill="1F3864" w:val="clear"/>
          </w:tcPr>
          <w:p>
            <w:pPr>
              <w:jc w:val="center"/>
            </w:pPr>
            <w:r>
              <w:rPr>
                <w:b/>
                <w:bCs/>
                <w:color w:val="FFFFFF"/>
                <w:sz w:val="18"/>
                <w:szCs w:val="18"/>
              </w:rPr>
              <w:t xml:space="preserve">Analista Licencias</w:t>
            </w:r>
          </w:p>
        </w:tc>
        <w:tc>
          <w:tcPr>
            <w:tcW w:type="dxa" w:w="1100"/>
            <w:shd w:fill="1F3864" w:val="clear"/>
          </w:tcPr>
          <w:p>
            <w:pPr>
              <w:jc w:val="center"/>
            </w:pPr>
            <w:r>
              <w:rPr>
                <w:b/>
                <w:bCs/>
                <w:color w:val="FFFFFF"/>
                <w:sz w:val="18"/>
                <w:szCs w:val="18"/>
              </w:rPr>
              <w:t xml:space="preserve">Analista Rentas</w:t>
            </w:r>
          </w:p>
        </w:tc>
        <w:tc>
          <w:tcPr>
            <w:tcW w:type="dxa" w:w="1100"/>
            <w:shd w:fill="1F3864" w:val="clear"/>
          </w:tcPr>
          <w:p>
            <w:pPr>
              <w:jc w:val="center"/>
            </w:pPr>
            <w:r>
              <w:rPr>
                <w:b/>
                <w:bCs/>
                <w:color w:val="FFFFFF"/>
                <w:sz w:val="18"/>
                <w:szCs w:val="18"/>
              </w:rPr>
              <w:t xml:space="preserve">Fiscalizador</w:t>
            </w:r>
          </w:p>
        </w:tc>
        <w:tc>
          <w:tcPr>
            <w:tcW w:type="dxa" w:w="1100"/>
            <w:shd w:fill="1F3864" w:val="clear"/>
          </w:tcPr>
          <w:p>
            <w:pPr>
              <w:jc w:val="center"/>
            </w:pPr>
            <w:r>
              <w:rPr>
                <w:b/>
                <w:bCs/>
                <w:color w:val="FFFFFF"/>
                <w:sz w:val="18"/>
                <w:szCs w:val="18"/>
              </w:rPr>
              <w:t xml:space="preserve">Adm. Gob. Digital</w:t>
            </w:r>
          </w:p>
        </w:tc>
      </w:tr>
      <w:tr>
        <w:tc>
          <w:tcPr>
            <w:tcW w:type="dxa" w:w="2000"/>
            <w:shd w:fill="FFFFFF" w:val="clear"/>
          </w:tcPr>
          <w:p>
            <w:pPr>
              <w:spacing w:after="40" w:before="40"/>
              <w:jc w:val="left"/>
            </w:pPr>
            <w:r>
              <w:rPr>
                <w:sz w:val="18"/>
                <w:szCs w:val="18"/>
              </w:rPr>
              <w:t xml:space="preserve">PRC-01 Licencia en línea</w:t>
            </w:r>
          </w:p>
        </w:tc>
        <w:tc>
          <w:tcPr>
            <w:tcW w:type="dxa" w:w="900"/>
            <w:shd w:fill="FFFFFF" w:val="clear"/>
          </w:tcPr>
          <w:p>
            <w:pPr>
              <w:spacing w:after="40" w:before="40"/>
              <w:jc w:val="left"/>
            </w:pPr>
            <w:r>
              <w:rPr>
                <w:sz w:val="18"/>
                <w:szCs w:val="18"/>
              </w:rPr>
              <w:t xml:space="preserve">R</w:t>
            </w:r>
          </w:p>
        </w:tc>
        <w:tc>
          <w:tcPr>
            <w:tcW w:type="dxa" w:w="1200"/>
            <w:shd w:fill="FFFFFF" w:val="clear"/>
          </w:tcPr>
          <w:p>
            <w:pPr>
              <w:spacing w:after="40" w:before="40"/>
              <w:jc w:val="left"/>
            </w:pPr>
            <w:r>
              <w:rPr>
                <w:sz w:val="18"/>
                <w:szCs w:val="18"/>
              </w:rPr>
              <w:t xml:space="preserve">C</w:t>
            </w:r>
          </w:p>
        </w:tc>
        <w:tc>
          <w:tcPr>
            <w:tcW w:type="dxa" w:w="1400"/>
            <w:shd w:fill="FFFFFF" w:val="clear"/>
          </w:tcPr>
          <w:p>
            <w:pPr>
              <w:spacing w:after="40" w:before="40"/>
              <w:jc w:val="left"/>
            </w:pPr>
            <w:r>
              <w:rPr>
                <w:sz w:val="18"/>
                <w:szCs w:val="18"/>
              </w:rPr>
              <w:t xml:space="preserve">A</w:t>
            </w:r>
          </w:p>
        </w:tc>
        <w:tc>
          <w:tcPr>
            <w:tcW w:type="dxa" w:w="1100"/>
            <w:shd w:fill="FFFFFF" w:val="clear"/>
          </w:tcPr>
          <w:p>
            <w:pPr>
              <w:spacing w:after="40" w:before="40"/>
              <w:jc w:val="left"/>
            </w:pPr>
            <w:r>
              <w:rPr>
                <w:sz w:val="18"/>
                <w:szCs w:val="18"/>
              </w:rPr>
              <w:t xml:space="preserve">I</w:t>
            </w:r>
          </w:p>
        </w:tc>
        <w:tc>
          <w:tcPr>
            <w:tcW w:type="dxa" w:w="1100"/>
            <w:shd w:fill="FFFFFF" w:val="clear"/>
          </w:tcPr>
          <w:p>
            <w:pPr>
              <w:spacing w:after="40" w:before="40"/>
              <w:jc w:val="left"/>
            </w:pPr>
            <w:r>
              <w:rPr>
                <w:sz w:val="18"/>
                <w:szCs w:val="18"/>
              </w:rPr>
              <w:t xml:space="preserve">C</w:t>
            </w:r>
          </w:p>
        </w:tc>
        <w:tc>
          <w:tcPr>
            <w:tcW w:type="dxa" w:w="1100"/>
            <w:shd w:fill="FFFFFF" w:val="clear"/>
          </w:tcPr>
          <w:p>
            <w:pPr>
              <w:spacing w:after="40" w:before="40"/>
              <w:jc w:val="left"/>
            </w:pPr>
            <w:r>
              <w:rPr>
                <w:sz w:val="18"/>
                <w:szCs w:val="18"/>
              </w:rPr>
              <w:t xml:space="preserve">I</w:t>
            </w:r>
          </w:p>
        </w:tc>
      </w:tr>
      <w:tr>
        <w:tc>
          <w:tcPr>
            <w:tcW w:type="dxa" w:w="2000"/>
            <w:shd w:fill="D6E4F7" w:val="clear"/>
          </w:tcPr>
          <w:p>
            <w:pPr>
              <w:spacing w:after="40" w:before="40"/>
              <w:jc w:val="left"/>
            </w:pPr>
            <w:r>
              <w:rPr>
                <w:sz w:val="18"/>
                <w:szCs w:val="18"/>
              </w:rPr>
              <w:t xml:space="preserve">PRC-02 Recaudación digital</w:t>
            </w:r>
          </w:p>
        </w:tc>
        <w:tc>
          <w:tcPr>
            <w:tcW w:type="dxa" w:w="900"/>
            <w:shd w:fill="D6E4F7" w:val="clear"/>
          </w:tcPr>
          <w:p>
            <w:pPr>
              <w:spacing w:after="40" w:before="40"/>
              <w:jc w:val="left"/>
            </w:pPr>
            <w:r>
              <w:rPr>
                <w:sz w:val="18"/>
                <w:szCs w:val="18"/>
              </w:rPr>
              <w:t xml:space="preserve">R</w:t>
            </w:r>
          </w:p>
        </w:tc>
        <w:tc>
          <w:tcPr>
            <w:tcW w:type="dxa" w:w="1200"/>
            <w:shd w:fill="D6E4F7" w:val="clear"/>
          </w:tcPr>
          <w:p>
            <w:pPr>
              <w:spacing w:after="40" w:before="40"/>
              <w:jc w:val="left"/>
            </w:pPr>
            <w:r>
              <w:rPr>
                <w:sz w:val="18"/>
                <w:szCs w:val="18"/>
              </w:rPr>
              <w:t xml:space="preserve">I</w:t>
            </w:r>
          </w:p>
        </w:tc>
        <w:tc>
          <w:tcPr>
            <w:tcW w:type="dxa" w:w="1400"/>
            <w:shd w:fill="D6E4F7" w:val="clear"/>
          </w:tcPr>
          <w:p>
            <w:pPr>
              <w:spacing w:after="40" w:before="40"/>
              <w:jc w:val="left"/>
            </w:pPr>
            <w:r>
              <w:rPr>
                <w:sz w:val="18"/>
                <w:szCs w:val="18"/>
              </w:rPr>
              <w:t xml:space="preserve">I</w:t>
            </w:r>
          </w:p>
        </w:tc>
        <w:tc>
          <w:tcPr>
            <w:tcW w:type="dxa" w:w="1100"/>
            <w:shd w:fill="D6E4F7" w:val="clear"/>
          </w:tcPr>
          <w:p>
            <w:pPr>
              <w:spacing w:after="40" w:before="40"/>
              <w:jc w:val="left"/>
            </w:pPr>
            <w:r>
              <w:rPr>
                <w:sz w:val="18"/>
                <w:szCs w:val="18"/>
              </w:rPr>
              <w:t xml:space="preserve">A</w:t>
            </w:r>
          </w:p>
        </w:tc>
        <w:tc>
          <w:tcPr>
            <w:tcW w:type="dxa" w:w="1100"/>
            <w:shd w:fill="D6E4F7" w:val="clear"/>
          </w:tcPr>
          <w:p>
            <w:pPr>
              <w:spacing w:after="40" w:before="40"/>
              <w:jc w:val="left"/>
            </w:pPr>
            <w:r>
              <w:rPr>
                <w:sz w:val="18"/>
                <w:szCs w:val="18"/>
              </w:rPr>
              <w:t xml:space="preserve">I</w:t>
            </w:r>
          </w:p>
        </w:tc>
        <w:tc>
          <w:tcPr>
            <w:tcW w:type="dxa" w:w="1100"/>
            <w:shd w:fill="D6E4F7" w:val="clear"/>
          </w:tcPr>
          <w:p>
            <w:pPr>
              <w:spacing w:after="40" w:before="40"/>
              <w:jc w:val="left"/>
            </w:pPr>
            <w:r>
              <w:rPr>
                <w:sz w:val="18"/>
                <w:szCs w:val="18"/>
              </w:rPr>
              <w:t xml:space="preserve">C</w:t>
            </w:r>
          </w:p>
        </w:tc>
      </w:tr>
      <w:tr>
        <w:tc>
          <w:tcPr>
            <w:tcW w:type="dxa" w:w="2000"/>
            <w:shd w:fill="FFFFFF" w:val="clear"/>
          </w:tcPr>
          <w:p>
            <w:pPr>
              <w:spacing w:after="40" w:before="40"/>
              <w:jc w:val="left"/>
            </w:pPr>
            <w:r>
              <w:rPr>
                <w:sz w:val="18"/>
                <w:szCs w:val="18"/>
              </w:rPr>
              <w:t xml:space="preserve">PRC-03 Mesa de partes virtual</w:t>
            </w:r>
          </w:p>
        </w:tc>
        <w:tc>
          <w:tcPr>
            <w:tcW w:type="dxa" w:w="900"/>
            <w:shd w:fill="FFFFFF" w:val="clear"/>
          </w:tcPr>
          <w:p>
            <w:pPr>
              <w:spacing w:after="40" w:before="40"/>
              <w:jc w:val="left"/>
            </w:pPr>
            <w:r>
              <w:rPr>
                <w:sz w:val="18"/>
                <w:szCs w:val="18"/>
              </w:rPr>
              <w:t xml:space="preserve">R</w:t>
            </w:r>
          </w:p>
        </w:tc>
        <w:tc>
          <w:tcPr>
            <w:tcW w:type="dxa" w:w="1200"/>
            <w:shd w:fill="FFFFFF" w:val="clear"/>
          </w:tcPr>
          <w:p>
            <w:pPr>
              <w:spacing w:after="40" w:before="40"/>
              <w:jc w:val="left"/>
            </w:pPr>
            <w:r>
              <w:rPr>
                <w:sz w:val="18"/>
                <w:szCs w:val="18"/>
              </w:rPr>
              <w:t xml:space="preserve">A</w:t>
            </w:r>
          </w:p>
        </w:tc>
        <w:tc>
          <w:tcPr>
            <w:tcW w:type="dxa" w:w="1400"/>
            <w:shd w:fill="FFFFFF" w:val="clear"/>
          </w:tcPr>
          <w:p>
            <w:pPr>
              <w:spacing w:after="40" w:before="40"/>
              <w:jc w:val="left"/>
            </w:pPr>
            <w:r>
              <w:rPr>
                <w:sz w:val="18"/>
                <w:szCs w:val="18"/>
              </w:rPr>
              <w:t xml:space="preserve">I</w:t>
            </w:r>
          </w:p>
        </w:tc>
        <w:tc>
          <w:tcPr>
            <w:tcW w:type="dxa" w:w="1100"/>
            <w:shd w:fill="FFFFFF" w:val="clear"/>
          </w:tcPr>
          <w:p>
            <w:pPr>
              <w:spacing w:after="40" w:before="40"/>
              <w:jc w:val="left"/>
            </w:pPr>
            <w:r>
              <w:rPr>
                <w:sz w:val="18"/>
                <w:szCs w:val="18"/>
              </w:rPr>
              <w:t xml:space="preserve">I</w:t>
            </w:r>
          </w:p>
        </w:tc>
        <w:tc>
          <w:tcPr>
            <w:tcW w:type="dxa" w:w="1100"/>
            <w:shd w:fill="FFFFFF" w:val="clear"/>
          </w:tcPr>
          <w:p>
            <w:pPr>
              <w:spacing w:after="40" w:before="40"/>
              <w:jc w:val="left"/>
            </w:pPr>
            <w:r>
              <w:rPr>
                <w:sz w:val="18"/>
                <w:szCs w:val="18"/>
              </w:rPr>
              <w:t xml:space="preserve">I</w:t>
            </w:r>
          </w:p>
        </w:tc>
        <w:tc>
          <w:tcPr>
            <w:tcW w:type="dxa" w:w="1100"/>
            <w:shd w:fill="FFFFFF" w:val="clear"/>
          </w:tcPr>
          <w:p>
            <w:pPr>
              <w:spacing w:after="40" w:before="40"/>
              <w:jc w:val="left"/>
            </w:pPr>
            <w:r>
              <w:rPr>
                <w:sz w:val="18"/>
                <w:szCs w:val="18"/>
              </w:rPr>
              <w:t xml:space="preserve">C</w:t>
            </w:r>
          </w:p>
        </w:tc>
      </w:tr>
      <w:tr>
        <w:tc>
          <w:tcPr>
            <w:tcW w:type="dxa" w:w="2000"/>
            <w:shd w:fill="D6E4F7" w:val="clear"/>
          </w:tcPr>
          <w:p>
            <w:pPr>
              <w:spacing w:after="40" w:before="40"/>
              <w:jc w:val="left"/>
            </w:pPr>
            <w:r>
              <w:rPr>
                <w:sz w:val="18"/>
                <w:szCs w:val="18"/>
              </w:rPr>
              <w:t xml:space="preserve">PRC-04 Reclamos con SLA</w:t>
            </w:r>
          </w:p>
        </w:tc>
        <w:tc>
          <w:tcPr>
            <w:tcW w:type="dxa" w:w="900"/>
            <w:shd w:fill="D6E4F7" w:val="clear"/>
          </w:tcPr>
          <w:p>
            <w:pPr>
              <w:spacing w:after="40" w:before="40"/>
              <w:jc w:val="left"/>
            </w:pPr>
            <w:r>
              <w:rPr>
                <w:sz w:val="18"/>
                <w:szCs w:val="18"/>
              </w:rPr>
              <w:t xml:space="preserve">R</w:t>
            </w:r>
          </w:p>
        </w:tc>
        <w:tc>
          <w:tcPr>
            <w:tcW w:type="dxa" w:w="1200"/>
            <w:shd w:fill="D6E4F7" w:val="clear"/>
          </w:tcPr>
          <w:p>
            <w:pPr>
              <w:spacing w:after="40" w:before="40"/>
              <w:jc w:val="left"/>
            </w:pPr>
            <w:r>
              <w:rPr>
                <w:sz w:val="18"/>
                <w:szCs w:val="18"/>
              </w:rPr>
              <w:t xml:space="preserve">A</w:t>
            </w:r>
          </w:p>
        </w:tc>
        <w:tc>
          <w:tcPr>
            <w:tcW w:type="dxa" w:w="1400"/>
            <w:shd w:fill="D6E4F7" w:val="clear"/>
          </w:tcPr>
          <w:p>
            <w:pPr>
              <w:spacing w:after="40" w:before="40"/>
              <w:jc w:val="left"/>
            </w:pPr>
            <w:r>
              <w:rPr>
                <w:sz w:val="18"/>
                <w:szCs w:val="18"/>
              </w:rPr>
              <w:t xml:space="preserve">C</w:t>
            </w:r>
          </w:p>
        </w:tc>
        <w:tc>
          <w:tcPr>
            <w:tcW w:type="dxa" w:w="1100"/>
            <w:shd w:fill="D6E4F7" w:val="clear"/>
          </w:tcPr>
          <w:p>
            <w:pPr>
              <w:spacing w:after="40" w:before="40"/>
              <w:jc w:val="left"/>
            </w:pPr>
            <w:r>
              <w:rPr>
                <w:sz w:val="18"/>
                <w:szCs w:val="18"/>
              </w:rPr>
              <w:t xml:space="preserve">C</w:t>
            </w:r>
          </w:p>
        </w:tc>
        <w:tc>
          <w:tcPr>
            <w:tcW w:type="dxa" w:w="1100"/>
            <w:shd w:fill="D6E4F7" w:val="clear"/>
          </w:tcPr>
          <w:p>
            <w:pPr>
              <w:spacing w:after="40" w:before="40"/>
              <w:jc w:val="left"/>
            </w:pPr>
            <w:r>
              <w:rPr>
                <w:sz w:val="18"/>
                <w:szCs w:val="18"/>
              </w:rPr>
              <w:t xml:space="preserve">C</w:t>
            </w:r>
          </w:p>
        </w:tc>
        <w:tc>
          <w:tcPr>
            <w:tcW w:type="dxa" w:w="1100"/>
            <w:shd w:fill="D6E4F7" w:val="clear"/>
          </w:tcPr>
          <w:p>
            <w:pPr>
              <w:spacing w:after="40" w:before="40"/>
              <w:jc w:val="left"/>
            </w:pPr>
            <w:r>
              <w:rPr>
                <w:sz w:val="18"/>
                <w:szCs w:val="18"/>
              </w:rPr>
              <w:t xml:space="preserve">I</w:t>
            </w:r>
          </w:p>
        </w:tc>
      </w:tr>
      <w:tr>
        <w:tc>
          <w:tcPr>
            <w:tcW w:type="dxa" w:w="2000"/>
            <w:shd w:fill="FFFFFF" w:val="clear"/>
          </w:tcPr>
          <w:p>
            <w:pPr>
              <w:spacing w:after="40" w:before="40"/>
              <w:jc w:val="left"/>
            </w:pPr>
            <w:r>
              <w:rPr>
                <w:sz w:val="18"/>
                <w:szCs w:val="18"/>
              </w:rPr>
              <w:t xml:space="preserve">PRC-05 Fiscalización integrada</w:t>
            </w:r>
          </w:p>
        </w:tc>
        <w:tc>
          <w:tcPr>
            <w:tcW w:type="dxa" w:w="900"/>
            <w:shd w:fill="FFFFFF" w:val="clear"/>
          </w:tcPr>
          <w:p>
            <w:pPr>
              <w:spacing w:after="40" w:before="40"/>
              <w:jc w:val="left"/>
            </w:pPr>
            <w:r>
              <w:rPr>
                <w:sz w:val="18"/>
                <w:szCs w:val="18"/>
              </w:rPr>
              <w:t xml:space="preserve">I</w:t>
            </w:r>
          </w:p>
        </w:tc>
        <w:tc>
          <w:tcPr>
            <w:tcW w:type="dxa" w:w="1200"/>
            <w:shd w:fill="FFFFFF" w:val="clear"/>
          </w:tcPr>
          <w:p>
            <w:pPr>
              <w:spacing w:after="40" w:before="40"/>
              <w:jc w:val="left"/>
            </w:pPr>
            <w:r>
              <w:rPr>
                <w:sz w:val="18"/>
                <w:szCs w:val="18"/>
              </w:rPr>
              <w:t xml:space="preserve">I</w:t>
            </w:r>
          </w:p>
        </w:tc>
        <w:tc>
          <w:tcPr>
            <w:tcW w:type="dxa" w:w="1400"/>
            <w:shd w:fill="FFFFFF" w:val="clear"/>
          </w:tcPr>
          <w:p>
            <w:pPr>
              <w:spacing w:after="40" w:before="40"/>
              <w:jc w:val="left"/>
            </w:pPr>
            <w:r>
              <w:rPr>
                <w:sz w:val="18"/>
                <w:szCs w:val="18"/>
              </w:rPr>
              <w:t xml:space="preserve">C</w:t>
            </w:r>
          </w:p>
        </w:tc>
        <w:tc>
          <w:tcPr>
            <w:tcW w:type="dxa" w:w="1100"/>
            <w:shd w:fill="FFFFFF" w:val="clear"/>
          </w:tcPr>
          <w:p>
            <w:pPr>
              <w:spacing w:after="40" w:before="40"/>
              <w:jc w:val="left"/>
            </w:pPr>
            <w:r>
              <w:rPr>
                <w:sz w:val="18"/>
                <w:szCs w:val="18"/>
              </w:rPr>
              <w:t xml:space="preserve">C</w:t>
            </w:r>
          </w:p>
        </w:tc>
        <w:tc>
          <w:tcPr>
            <w:tcW w:type="dxa" w:w="1100"/>
            <w:shd w:fill="FFFFFF" w:val="clear"/>
          </w:tcPr>
          <w:p>
            <w:pPr>
              <w:spacing w:after="40" w:before="40"/>
              <w:jc w:val="left"/>
            </w:pPr>
            <w:r>
              <w:rPr>
                <w:sz w:val="18"/>
                <w:szCs w:val="18"/>
              </w:rPr>
              <w:t xml:space="preserve">A</w:t>
            </w:r>
          </w:p>
        </w:tc>
        <w:tc>
          <w:tcPr>
            <w:tcW w:type="dxa" w:w="1100"/>
            <w:shd w:fill="FFFFFF" w:val="clear"/>
          </w:tcPr>
          <w:p>
            <w:pPr>
              <w:spacing w:after="40" w:before="40"/>
              <w:jc w:val="left"/>
            </w:pPr>
            <w:r>
              <w:rPr>
                <w:sz w:val="18"/>
                <w:szCs w:val="18"/>
              </w:rPr>
              <w:t xml:space="preserve">C</w:t>
            </w:r>
          </w:p>
        </w:tc>
      </w:tr>
    </w:tbl>
    <w:p>
      <w:pPr>
        <w:pStyle w:val="Heading1"/>
        <w:spacing w:after="120" w:before="240"/>
      </w:pPr>
      <w:r>
        <w:rPr>
          <w:b/>
          <w:bCs/>
          <w:color w:val="1F3864"/>
          <w:sz w:val="32"/>
          <w:szCs w:val="32"/>
        </w:rPr>
        <w:t xml:space="preserve">10. Análisis de Brechas (Gap Analysis)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800"/>
        <w:gridCol w:w="4000"/>
      </w:tblGrid>
      <w:tr>
        <w:trPr>
          <w:tblHeader/>
        </w:trPr>
        <w:tc>
          <w:tcPr>
            <w:tcW w:type="dxa" w:w="1500"/>
            <w:shd w:fill="1F3864" w:val="clear"/>
          </w:tcPr>
          <w:p>
            <w:pPr>
              <w:jc w:val="center"/>
            </w:pPr>
            <w:r>
              <w:rPr>
                <w:b/>
                <w:bCs/>
                <w:color w:val="FFFFFF"/>
                <w:sz w:val="18"/>
                <w:szCs w:val="18"/>
              </w:rPr>
              <w:t xml:space="preserve">Dimensión</w:t>
            </w:r>
          </w:p>
        </w:tc>
        <w:tc>
          <w:tcPr>
            <w:tcW w:type="dxa" w:w="1500"/>
            <w:shd w:fill="1F3864" w:val="clear"/>
          </w:tcPr>
          <w:p>
            <w:pPr>
              <w:jc w:val="center"/>
            </w:pPr>
            <w:r>
              <w:rPr>
                <w:b/>
                <w:bCs/>
                <w:color w:val="FFFFFF"/>
                <w:sz w:val="18"/>
                <w:szCs w:val="18"/>
              </w:rPr>
              <w:t xml:space="preserve">Línea base (AS-IS)</w:t>
            </w:r>
          </w:p>
        </w:tc>
        <w:tc>
          <w:tcPr>
            <w:tcW w:type="dxa" w:w="1800"/>
            <w:shd w:fill="1F3864" w:val="clear"/>
          </w:tcPr>
          <w:p>
            <w:pPr>
              <w:jc w:val="center"/>
            </w:pPr>
            <w:r>
              <w:rPr>
                <w:b/>
                <w:bCs/>
                <w:color w:val="FFFFFF"/>
                <w:sz w:val="18"/>
                <w:szCs w:val="18"/>
              </w:rPr>
              <w:t xml:space="preserve">Objetivo (TO-BE)</w:t>
            </w:r>
          </w:p>
        </w:tc>
        <w:tc>
          <w:tcPr>
            <w:tcW w:type="dxa" w:w="4000"/>
            <w:shd w:fill="1F3864" w:val="clear"/>
          </w:tcPr>
          <w:p>
            <w:pPr>
              <w:jc w:val="center"/>
            </w:pPr>
            <w:r>
              <w:rPr>
                <w:b/>
                <w:bCs/>
                <w:color w:val="FFFFFF"/>
                <w:sz w:val="18"/>
                <w:szCs w:val="18"/>
              </w:rPr>
              <w:t xml:space="preserve">Brecha / Acción</w:t>
            </w:r>
          </w:p>
        </w:tc>
      </w:tr>
      <w:tr>
        <w:tc>
          <w:tcPr>
            <w:tcW w:type="dxa" w:w="1500"/>
            <w:shd w:fill="FFFFFF" w:val="clear"/>
          </w:tcPr>
          <w:p>
            <w:pPr>
              <w:spacing w:after="40" w:before="40"/>
              <w:jc w:val="left"/>
            </w:pPr>
            <w:r>
              <w:rPr>
                <w:sz w:val="18"/>
                <w:szCs w:val="18"/>
              </w:rPr>
              <w:t xml:space="preserve">Canal de atención</w:t>
            </w:r>
          </w:p>
        </w:tc>
        <w:tc>
          <w:tcPr>
            <w:tcW w:type="dxa" w:w="1500"/>
            <w:shd w:fill="FFFFFF" w:val="clear"/>
          </w:tcPr>
          <w:p>
            <w:pPr>
              <w:spacing w:after="40" w:before="40"/>
              <w:jc w:val="left"/>
            </w:pPr>
            <w:r>
              <w:rPr>
                <w:sz w:val="18"/>
                <w:szCs w:val="18"/>
              </w:rPr>
              <w:t xml:space="preserve">Presencial y manual</w:t>
            </w:r>
          </w:p>
        </w:tc>
        <w:tc>
          <w:tcPr>
            <w:tcW w:type="dxa" w:w="1800"/>
            <w:shd w:fill="FFFFFF" w:val="clear"/>
          </w:tcPr>
          <w:p>
            <w:pPr>
              <w:spacing w:after="40" w:before="40"/>
              <w:jc w:val="left"/>
            </w:pPr>
            <w:r>
              <w:rPr>
                <w:sz w:val="18"/>
                <w:szCs w:val="18"/>
              </w:rPr>
              <w:t xml:space="preserve">Digital con apoyo presencial</w:t>
            </w:r>
          </w:p>
        </w:tc>
        <w:tc>
          <w:tcPr>
            <w:tcW w:type="dxa" w:w="4000"/>
            <w:shd w:fill="FFFFFF" w:val="clear"/>
          </w:tcPr>
          <w:p>
            <w:pPr>
              <w:spacing w:after="40" w:before="40"/>
              <w:jc w:val="left"/>
            </w:pPr>
            <w:r>
              <w:rPr>
                <w:sz w:val="18"/>
                <w:szCs w:val="18"/>
              </w:rPr>
              <w:t xml:space="preserve">+ Plataforma de trámites y mesa de partes virtual</w:t>
            </w:r>
          </w:p>
        </w:tc>
      </w:tr>
      <w:tr>
        <w:tc>
          <w:tcPr>
            <w:tcW w:type="dxa" w:w="1500"/>
            <w:shd w:fill="D6E4F7" w:val="clear"/>
          </w:tcPr>
          <w:p>
            <w:pPr>
              <w:spacing w:after="40" w:before="40"/>
              <w:jc w:val="left"/>
            </w:pPr>
            <w:r>
              <w:rPr>
                <w:sz w:val="18"/>
                <w:szCs w:val="18"/>
              </w:rPr>
              <w:t xml:space="preserve">Integración</w:t>
            </w:r>
          </w:p>
        </w:tc>
        <w:tc>
          <w:tcPr>
            <w:tcW w:type="dxa" w:w="1500"/>
            <w:shd w:fill="D6E4F7" w:val="clear"/>
          </w:tcPr>
          <w:p>
            <w:pPr>
              <w:spacing w:after="40" w:before="40"/>
              <w:jc w:val="left"/>
            </w:pPr>
            <w:r>
              <w:rPr>
                <w:sz w:val="18"/>
                <w:szCs w:val="18"/>
              </w:rPr>
              <w:t xml:space="preserve">Sistemas aislados</w:t>
            </w:r>
          </w:p>
        </w:tc>
        <w:tc>
          <w:tcPr>
            <w:tcW w:type="dxa" w:w="1800"/>
            <w:shd w:fill="D6E4F7" w:val="clear"/>
          </w:tcPr>
          <w:p>
            <w:pPr>
              <w:spacing w:after="40" w:before="40"/>
              <w:jc w:val="left"/>
            </w:pPr>
            <w:r>
              <w:rPr>
                <w:sz w:val="18"/>
                <w:szCs w:val="18"/>
              </w:rPr>
              <w:t xml:space="preserve">Interoperables vía PIDE</w:t>
            </w:r>
          </w:p>
        </w:tc>
        <w:tc>
          <w:tcPr>
            <w:tcW w:type="dxa" w:w="4000"/>
            <w:shd w:fill="D6E4F7" w:val="clear"/>
          </w:tcPr>
          <w:p>
            <w:pPr>
              <w:spacing w:after="40" w:before="40"/>
              <w:jc w:val="left"/>
            </w:pPr>
            <w:r>
              <w:rPr>
                <w:sz w:val="18"/>
                <w:szCs w:val="18"/>
              </w:rPr>
              <w:t xml:space="preserve">+ Servicios comunes e integración con RENIEC/PIDE</w:t>
            </w:r>
          </w:p>
        </w:tc>
      </w:tr>
      <w:tr>
        <w:tc>
          <w:tcPr>
            <w:tcW w:type="dxa" w:w="1500"/>
            <w:shd w:fill="FFFFFF" w:val="clear"/>
          </w:tcPr>
          <w:p>
            <w:pPr>
              <w:spacing w:after="40" w:before="40"/>
              <w:jc w:val="left"/>
            </w:pPr>
            <w:r>
              <w:rPr>
                <w:sz w:val="18"/>
                <w:szCs w:val="18"/>
              </w:rPr>
              <w:t xml:space="preserve">Información</w:t>
            </w:r>
          </w:p>
        </w:tc>
        <w:tc>
          <w:tcPr>
            <w:tcW w:type="dxa" w:w="1500"/>
            <w:shd w:fill="FFFFFF" w:val="clear"/>
          </w:tcPr>
          <w:p>
            <w:pPr>
              <w:spacing w:after="40" w:before="40"/>
              <w:jc w:val="left"/>
            </w:pPr>
            <w:r>
              <w:rPr>
                <w:sz w:val="18"/>
                <w:szCs w:val="18"/>
              </w:rPr>
              <w:t xml:space="preserve">Dispersa y duplicada</w:t>
            </w:r>
          </w:p>
        </w:tc>
        <w:tc>
          <w:tcPr>
            <w:tcW w:type="dxa" w:w="1800"/>
            <w:shd w:fill="FFFFFF" w:val="clear"/>
          </w:tcPr>
          <w:p>
            <w:pPr>
              <w:spacing w:after="40" w:before="40"/>
              <w:jc w:val="left"/>
            </w:pPr>
            <w:r>
              <w:rPr>
                <w:sz w:val="18"/>
                <w:szCs w:val="18"/>
              </w:rPr>
              <w:t xml:space="preserve">Registro único y gobernada</w:t>
            </w:r>
          </w:p>
        </w:tc>
        <w:tc>
          <w:tcPr>
            <w:tcW w:type="dxa" w:w="4000"/>
            <w:shd w:fill="FFFFFF" w:val="clear"/>
          </w:tcPr>
          <w:p>
            <w:pPr>
              <w:spacing w:after="40" w:before="40"/>
              <w:jc w:val="left"/>
            </w:pPr>
            <w:r>
              <w:rPr>
                <w:sz w:val="18"/>
                <w:szCs w:val="18"/>
              </w:rPr>
              <w:t xml:space="preserve">+ Gobierno de datos (principio DP01, DP02); ✕ duplicidad</w:t>
            </w:r>
          </w:p>
        </w:tc>
      </w:tr>
      <w:tr>
        <w:tc>
          <w:tcPr>
            <w:tcW w:type="dxa" w:w="1500"/>
            <w:shd w:fill="D6E4F7" w:val="clear"/>
          </w:tcPr>
          <w:p>
            <w:pPr>
              <w:spacing w:after="40" w:before="40"/>
              <w:jc w:val="left"/>
            </w:pPr>
            <w:r>
              <w:rPr>
                <w:sz w:val="18"/>
                <w:szCs w:val="18"/>
              </w:rPr>
              <w:t xml:space="preserve">Trazabilidad</w:t>
            </w:r>
          </w:p>
        </w:tc>
        <w:tc>
          <w:tcPr>
            <w:tcW w:type="dxa" w:w="1500"/>
            <w:shd w:fill="D6E4F7" w:val="clear"/>
          </w:tcPr>
          <w:p>
            <w:pPr>
              <w:spacing w:after="40" w:before="40"/>
              <w:jc w:val="left"/>
            </w:pPr>
            <w:r>
              <w:rPr>
                <w:sz w:val="18"/>
                <w:szCs w:val="18"/>
              </w:rPr>
              <w:t xml:space="preserve">Limitada</w:t>
            </w:r>
          </w:p>
        </w:tc>
        <w:tc>
          <w:tcPr>
            <w:tcW w:type="dxa" w:w="1800"/>
            <w:shd w:fill="D6E4F7" w:val="clear"/>
          </w:tcPr>
          <w:p>
            <w:pPr>
              <w:spacing w:after="40" w:before="40"/>
              <w:jc w:val="left"/>
            </w:pPr>
            <w:r>
              <w:rPr>
                <w:sz w:val="18"/>
                <w:szCs w:val="18"/>
              </w:rPr>
              <w:t xml:space="preserve">Extremo a extremo</w:t>
            </w:r>
          </w:p>
        </w:tc>
        <w:tc>
          <w:tcPr>
            <w:tcW w:type="dxa" w:w="4000"/>
            <w:shd w:fill="D6E4F7" w:val="clear"/>
          </w:tcPr>
          <w:p>
            <w:pPr>
              <w:spacing w:after="40" w:before="40"/>
              <w:jc w:val="left"/>
            </w:pPr>
            <w:r>
              <w:rPr>
                <w:sz w:val="18"/>
                <w:szCs w:val="18"/>
              </w:rPr>
              <w:t xml:space="preserve">+ Identificador único de expediente (principio BP04)</w:t>
            </w:r>
          </w:p>
        </w:tc>
      </w:tr>
      <w:tr>
        <w:tc>
          <w:tcPr>
            <w:tcW w:type="dxa" w:w="1500"/>
            <w:shd w:fill="FFFFFF" w:val="clear"/>
          </w:tcPr>
          <w:p>
            <w:pPr>
              <w:spacing w:after="40" w:before="40"/>
              <w:jc w:val="left"/>
            </w:pPr>
            <w:r>
              <w:rPr>
                <w:sz w:val="18"/>
                <w:szCs w:val="18"/>
              </w:rPr>
              <w:t xml:space="preserve">Procesos</w:t>
            </w:r>
          </w:p>
        </w:tc>
        <w:tc>
          <w:tcPr>
            <w:tcW w:type="dxa" w:w="1500"/>
            <w:shd w:fill="FFFFFF" w:val="clear"/>
          </w:tcPr>
          <w:p>
            <w:pPr>
              <w:spacing w:after="40" w:before="40"/>
              <w:jc w:val="left"/>
            </w:pPr>
            <w:r>
              <w:rPr>
                <w:sz w:val="18"/>
                <w:szCs w:val="18"/>
              </w:rPr>
              <w:t xml:space="preserve">Manuales</w:t>
            </w:r>
          </w:p>
        </w:tc>
        <w:tc>
          <w:tcPr>
            <w:tcW w:type="dxa" w:w="1800"/>
            <w:shd w:fill="FFFFFF" w:val="clear"/>
          </w:tcPr>
          <w:p>
            <w:pPr>
              <w:spacing w:after="40" w:before="40"/>
              <w:jc w:val="left"/>
            </w:pPr>
            <w:r>
              <w:rPr>
                <w:sz w:val="18"/>
                <w:szCs w:val="18"/>
              </w:rPr>
              <w:t xml:space="preserve">Digitales con SLA</w:t>
            </w:r>
          </w:p>
        </w:tc>
        <w:tc>
          <w:tcPr>
            <w:tcW w:type="dxa" w:w="4000"/>
            <w:shd w:fill="FFFFFF" w:val="clear"/>
          </w:tcPr>
          <w:p>
            <w:pPr>
              <w:spacing w:after="40" w:before="40"/>
              <w:jc w:val="left"/>
            </w:pPr>
            <w:r>
              <w:rPr>
                <w:sz w:val="18"/>
                <w:szCs w:val="18"/>
              </w:rPr>
              <w:t xml:space="preserve">+ Rediseño BPM y automatización</w:t>
            </w:r>
          </w:p>
        </w:tc>
      </w:tr>
      <w:tr>
        <w:tc>
          <w:tcPr>
            <w:tcW w:type="dxa" w:w="1500"/>
            <w:shd w:fill="D6E4F7" w:val="clear"/>
          </w:tcPr>
          <w:p>
            <w:pPr>
              <w:spacing w:after="40" w:before="40"/>
              <w:jc w:val="left"/>
            </w:pPr>
            <w:r>
              <w:rPr>
                <w:sz w:val="18"/>
                <w:szCs w:val="18"/>
              </w:rPr>
              <w:t xml:space="preserve">Seguridad</w:t>
            </w:r>
          </w:p>
        </w:tc>
        <w:tc>
          <w:tcPr>
            <w:tcW w:type="dxa" w:w="1500"/>
            <w:shd w:fill="D6E4F7" w:val="clear"/>
          </w:tcPr>
          <w:p>
            <w:pPr>
              <w:spacing w:after="40" w:before="40"/>
              <w:jc w:val="left"/>
            </w:pPr>
            <w:r>
              <w:rPr>
                <w:sz w:val="18"/>
                <w:szCs w:val="18"/>
              </w:rPr>
              <w:t xml:space="preserve">Reactiva</w:t>
            </w:r>
          </w:p>
        </w:tc>
        <w:tc>
          <w:tcPr>
            <w:tcW w:type="dxa" w:w="1800"/>
            <w:shd w:fill="D6E4F7" w:val="clear"/>
          </w:tcPr>
          <w:p>
            <w:pPr>
              <w:spacing w:after="40" w:before="40"/>
              <w:jc w:val="left"/>
            </w:pPr>
            <w:r>
              <w:rPr>
                <w:sz w:val="18"/>
                <w:szCs w:val="18"/>
              </w:rPr>
              <w:t xml:space="preserve">Por diseño</w:t>
            </w:r>
          </w:p>
        </w:tc>
        <w:tc>
          <w:tcPr>
            <w:tcW w:type="dxa" w:w="4000"/>
            <w:shd w:fill="D6E4F7" w:val="clear"/>
          </w:tcPr>
          <w:p>
            <w:pPr>
              <w:spacing w:after="40" w:before="40"/>
              <w:jc w:val="left"/>
            </w:pPr>
            <w:r>
              <w:rPr>
                <w:sz w:val="18"/>
                <w:szCs w:val="18"/>
              </w:rPr>
              <w:t xml:space="preserve">+ ISO 27001 y cumplimiento Ley N° 29733 (principios DP03, TP02)</w:t>
            </w:r>
          </w:p>
        </w:tc>
      </w:tr>
      <w:tr>
        <w:tc>
          <w:tcPr>
            <w:tcW w:type="dxa" w:w="1500"/>
            <w:shd w:fill="FFFFFF" w:val="clear"/>
          </w:tcPr>
          <w:p>
            <w:pPr>
              <w:spacing w:after="40" w:before="40"/>
              <w:jc w:val="left"/>
            </w:pPr>
            <w:r>
              <w:rPr>
                <w:sz w:val="18"/>
                <w:szCs w:val="18"/>
              </w:rPr>
              <w:t xml:space="preserve">Principios AE</w:t>
            </w:r>
          </w:p>
        </w:tc>
        <w:tc>
          <w:tcPr>
            <w:tcW w:type="dxa" w:w="1500"/>
            <w:shd w:fill="FFFFFF" w:val="clear"/>
          </w:tcPr>
          <w:p>
            <w:pPr>
              <w:spacing w:after="40" w:before="40"/>
              <w:jc w:val="left"/>
            </w:pPr>
            <w:r>
              <w:rPr>
                <w:sz w:val="18"/>
                <w:szCs w:val="18"/>
              </w:rPr>
              <w:t xml:space="preserve">No formalizados</w:t>
            </w:r>
          </w:p>
        </w:tc>
        <w:tc>
          <w:tcPr>
            <w:tcW w:type="dxa" w:w="1800"/>
            <w:shd w:fill="FFFFFF" w:val="clear"/>
          </w:tcPr>
          <w:p>
            <w:pPr>
              <w:spacing w:after="40" w:before="40"/>
              <w:jc w:val="left"/>
            </w:pPr>
            <w:r>
              <w:rPr>
                <w:sz w:val="18"/>
                <w:szCs w:val="18"/>
              </w:rPr>
              <w:t xml:space="preserve">15 principios aprobados y vigentes</w:t>
            </w:r>
          </w:p>
        </w:tc>
        <w:tc>
          <w:tcPr>
            <w:tcW w:type="dxa" w:w="4000"/>
            <w:shd w:fill="FFFFFF" w:val="clear"/>
          </w:tcPr>
          <w:p>
            <w:pPr>
              <w:spacing w:after="40" w:before="40"/>
              <w:jc w:val="left"/>
            </w:pPr>
            <w:r>
              <w:rPr>
                <w:sz w:val="18"/>
                <w:szCs w:val="18"/>
              </w:rPr>
              <w:t xml:space="preserve">✔ Catálogo completo en Fase Preliminar V2 — aplicar BP01–BP04, DP01–DP04, AP01–AP04, TP01–TP03</w:t>
            </w:r>
          </w:p>
        </w:tc>
      </w:tr>
    </w:tbl>
    <w:p>
      <w:pPr>
        <w:pStyle w:val="Heading1"/>
        <w:spacing w:after="120" w:before="240"/>
      </w:pPr>
      <w:r>
        <w:rPr>
          <w:b/>
          <w:bCs/>
          <w:color w:val="1F3864"/>
          <w:sz w:val="32"/>
          <w:szCs w:val="32"/>
        </w:rPr>
        <w:t xml:space="preserve">11. Evaluación de Impacto</w:t>
      </w:r>
    </w:p>
    <w:p>
      <w:pPr>
        <w:pStyle w:val="Heading2"/>
        <w:spacing w:after="120" w:before="240"/>
      </w:pPr>
      <w:r>
        <w:rPr>
          <w:b/>
          <w:bCs/>
          <w:color w:val="2E74B5"/>
          <w:sz w:val="26"/>
          <w:szCs w:val="26"/>
        </w:rPr>
        <w:t xml:space="preserve">11.1. Prioridad de los requisitos según los interesados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000"/>
        <w:gridCol w:w="4000"/>
      </w:tblGrid>
      <w:tr>
        <w:trPr>
          <w:tblHeader/>
        </w:trPr>
        <w:tc>
          <w:tcPr>
            <w:tcW w:type="dxa" w:w="800"/>
            <w:shd w:fill="1F3864" w:val="clear"/>
          </w:tcPr>
          <w:p>
            <w:pPr>
              <w:jc w:val="center"/>
            </w:pPr>
            <w:r>
              <w:rPr>
                <w:b/>
                <w:bCs/>
                <w:color w:val="FFFFFF"/>
                <w:sz w:val="18"/>
                <w:szCs w:val="18"/>
              </w:rPr>
              <w:t xml:space="preserve">Prioridad</w:t>
            </w:r>
          </w:p>
        </w:tc>
        <w:tc>
          <w:tcPr>
            <w:tcW w:type="dxa" w:w="4000"/>
            <w:shd w:fill="1F3864" w:val="clear"/>
          </w:tcPr>
          <w:p>
            <w:pPr>
              <w:jc w:val="center"/>
            </w:pPr>
            <w:r>
              <w:rPr>
                <w:b/>
                <w:bCs/>
                <w:color w:val="FFFFFF"/>
                <w:sz w:val="18"/>
                <w:szCs w:val="18"/>
              </w:rPr>
              <w:t xml:space="preserve">Requisito / Capacidad</w:t>
            </w:r>
          </w:p>
        </w:tc>
        <w:tc>
          <w:tcPr>
            <w:tcW w:type="dxa" w:w="4000"/>
            <w:shd w:fill="1F3864" w:val="clear"/>
          </w:tcPr>
          <w:p>
            <w:pPr>
              <w:jc w:val="center"/>
            </w:pPr>
            <w:r>
              <w:rPr>
                <w:b/>
                <w:bCs/>
                <w:color w:val="FFFFFF"/>
                <w:sz w:val="18"/>
                <w:szCs w:val="18"/>
              </w:rPr>
              <w:t xml:space="preserve">Interesado impulsor</w:t>
            </w:r>
          </w:p>
        </w:tc>
      </w:tr>
      <w:tr>
        <w:tc>
          <w:tcPr>
            <w:tcW w:type="dxa" w:w="800"/>
            <w:shd w:fill="FFFFFF" w:val="clear"/>
          </w:tcPr>
          <w:p>
            <w:pPr>
              <w:spacing w:after="40" w:before="40"/>
              <w:jc w:val="left"/>
            </w:pPr>
            <w:r>
              <w:rPr>
                <w:sz w:val="18"/>
                <w:szCs w:val="18"/>
              </w:rPr>
              <w:t xml:space="preserve">Alta</w:t>
            </w:r>
          </w:p>
        </w:tc>
        <w:tc>
          <w:tcPr>
            <w:tcW w:type="dxa" w:w="4000"/>
            <w:shd w:fill="FFFFFF" w:val="clear"/>
          </w:tcPr>
          <w:p>
            <w:pPr>
              <w:spacing w:after="40" w:before="40"/>
              <w:jc w:val="left"/>
            </w:pPr>
            <w:r>
              <w:rPr>
                <w:sz w:val="18"/>
                <w:szCs w:val="18"/>
              </w:rPr>
              <w:t xml:space="preserve">Mesa de partes virtual y trámites en línea</w:t>
            </w:r>
          </w:p>
        </w:tc>
        <w:tc>
          <w:tcPr>
            <w:tcW w:type="dxa" w:w="4000"/>
            <w:shd w:fill="FFFFFF" w:val="clear"/>
          </w:tcPr>
          <w:p>
            <w:pPr>
              <w:spacing w:after="40" w:before="40"/>
              <w:jc w:val="left"/>
            </w:pPr>
            <w:r>
              <w:rPr>
                <w:sz w:val="18"/>
                <w:szCs w:val="18"/>
              </w:rPr>
              <w:t xml:space="preserve">Ciudadanos, Gerencia Municipal</w:t>
            </w:r>
          </w:p>
        </w:tc>
      </w:tr>
      <w:tr>
        <w:tc>
          <w:tcPr>
            <w:tcW w:type="dxa" w:w="800"/>
            <w:shd w:fill="D6E4F7" w:val="clear"/>
          </w:tcPr>
          <w:p>
            <w:pPr>
              <w:spacing w:after="40" w:before="40"/>
              <w:jc w:val="left"/>
            </w:pPr>
            <w:r>
              <w:rPr>
                <w:sz w:val="18"/>
                <w:szCs w:val="18"/>
              </w:rPr>
              <w:t xml:space="preserve">Alta</w:t>
            </w:r>
          </w:p>
        </w:tc>
        <w:tc>
          <w:tcPr>
            <w:tcW w:type="dxa" w:w="4000"/>
            <w:shd w:fill="D6E4F7" w:val="clear"/>
          </w:tcPr>
          <w:p>
            <w:pPr>
              <w:spacing w:after="40" w:before="40"/>
              <w:jc w:val="left"/>
            </w:pPr>
            <w:r>
              <w:rPr>
                <w:sz w:val="18"/>
                <w:szCs w:val="18"/>
              </w:rPr>
              <w:t xml:space="preserve">Interoperabilidad con PIDE y RENIEC (principio AP04)</w:t>
            </w:r>
          </w:p>
        </w:tc>
        <w:tc>
          <w:tcPr>
            <w:tcW w:type="dxa" w:w="4000"/>
            <w:shd w:fill="D6E4F7" w:val="clear"/>
          </w:tcPr>
          <w:p>
            <w:pPr>
              <w:spacing w:after="40" w:before="40"/>
              <w:jc w:val="left"/>
            </w:pPr>
            <w:r>
              <w:rPr>
                <w:sz w:val="18"/>
                <w:szCs w:val="18"/>
              </w:rPr>
              <w:t xml:space="preserve">PCM–SGTD, GTI</w:t>
            </w:r>
          </w:p>
        </w:tc>
      </w:tr>
      <w:tr>
        <w:tc>
          <w:tcPr>
            <w:tcW w:type="dxa" w:w="800"/>
            <w:shd w:fill="FFFFFF" w:val="clear"/>
          </w:tcPr>
          <w:p>
            <w:pPr>
              <w:spacing w:after="40" w:before="40"/>
              <w:jc w:val="left"/>
            </w:pPr>
            <w:r>
              <w:rPr>
                <w:sz w:val="18"/>
                <w:szCs w:val="18"/>
              </w:rPr>
              <w:t xml:space="preserve">Media</w:t>
            </w:r>
          </w:p>
        </w:tc>
        <w:tc>
          <w:tcPr>
            <w:tcW w:type="dxa" w:w="4000"/>
            <w:shd w:fill="FFFFFF" w:val="clear"/>
          </w:tcPr>
          <w:p>
            <w:pPr>
              <w:spacing w:after="40" w:before="40"/>
              <w:jc w:val="left"/>
            </w:pPr>
            <w:r>
              <w:rPr>
                <w:sz w:val="18"/>
                <w:szCs w:val="18"/>
              </w:rPr>
              <w:t xml:space="preserve">Gobierno de datos y registro único (principio DP01)</w:t>
            </w:r>
          </w:p>
        </w:tc>
        <w:tc>
          <w:tcPr>
            <w:tcW w:type="dxa" w:w="4000"/>
            <w:shd w:fill="FFFFFF" w:val="clear"/>
          </w:tcPr>
          <w:p>
            <w:pPr>
              <w:spacing w:after="40" w:before="40"/>
              <w:jc w:val="left"/>
            </w:pPr>
            <w:r>
              <w:rPr>
                <w:sz w:val="18"/>
                <w:szCs w:val="18"/>
              </w:rPr>
              <w:t xml:space="preserve">GTI, Gob. Digital</w:t>
            </w:r>
          </w:p>
        </w:tc>
      </w:tr>
      <w:tr>
        <w:tc>
          <w:tcPr>
            <w:tcW w:type="dxa" w:w="800"/>
            <w:shd w:fill="D6E4F7" w:val="clear"/>
          </w:tcPr>
          <w:p>
            <w:pPr>
              <w:spacing w:after="40" w:before="40"/>
              <w:jc w:val="left"/>
            </w:pPr>
            <w:r>
              <w:rPr>
                <w:sz w:val="18"/>
                <w:szCs w:val="18"/>
              </w:rPr>
              <w:t xml:space="preserve">Media</w:t>
            </w:r>
          </w:p>
        </w:tc>
        <w:tc>
          <w:tcPr>
            <w:tcW w:type="dxa" w:w="4000"/>
            <w:shd w:fill="D6E4F7" w:val="clear"/>
          </w:tcPr>
          <w:p>
            <w:pPr>
              <w:spacing w:after="40" w:before="40"/>
              <w:jc w:val="left"/>
            </w:pPr>
            <w:r>
              <w:rPr>
                <w:sz w:val="18"/>
                <w:szCs w:val="18"/>
              </w:rPr>
              <w:t xml:space="preserve">Trazabilidad y transparencia (principio BP04)</w:t>
            </w:r>
          </w:p>
        </w:tc>
        <w:tc>
          <w:tcPr>
            <w:tcW w:type="dxa" w:w="4000"/>
            <w:shd w:fill="D6E4F7" w:val="clear"/>
          </w:tcPr>
          <w:p>
            <w:pPr>
              <w:spacing w:after="40" w:before="40"/>
              <w:jc w:val="left"/>
            </w:pPr>
            <w:r>
              <w:rPr>
                <w:sz w:val="18"/>
                <w:szCs w:val="18"/>
              </w:rPr>
              <w:t xml:space="preserve">Contraloría, ciudadanos</w:t>
            </w:r>
          </w:p>
        </w:tc>
      </w:tr>
      <w:tr>
        <w:tc>
          <w:tcPr>
            <w:tcW w:type="dxa" w:w="800"/>
            <w:shd w:fill="FFFFFF" w:val="clear"/>
          </w:tcPr>
          <w:p>
            <w:pPr>
              <w:spacing w:after="40" w:before="40"/>
              <w:jc w:val="left"/>
            </w:pPr>
            <w:r>
              <w:rPr>
                <w:sz w:val="18"/>
                <w:szCs w:val="18"/>
              </w:rPr>
              <w:t xml:space="preserve">Alta</w:t>
            </w:r>
          </w:p>
        </w:tc>
        <w:tc>
          <w:tcPr>
            <w:tcW w:type="dxa" w:w="4000"/>
            <w:shd w:fill="FFFFFF" w:val="clear"/>
          </w:tcPr>
          <w:p>
            <w:pPr>
              <w:spacing w:after="40" w:before="40"/>
              <w:jc w:val="left"/>
            </w:pPr>
            <w:r>
              <w:rPr>
                <w:sz w:val="18"/>
                <w:szCs w:val="18"/>
              </w:rPr>
              <w:t xml:space="preserve">Seguridad por diseño (principios DP03, TP02)</w:t>
            </w:r>
          </w:p>
        </w:tc>
        <w:tc>
          <w:tcPr>
            <w:tcW w:type="dxa" w:w="4000"/>
            <w:shd w:fill="FFFFFF" w:val="clear"/>
          </w:tcPr>
          <w:p>
            <w:pPr>
              <w:spacing w:after="40" w:before="40"/>
              <w:jc w:val="left"/>
            </w:pPr>
            <w:r>
              <w:rPr>
                <w:sz w:val="18"/>
                <w:szCs w:val="18"/>
              </w:rPr>
              <w:t xml:space="preserve">GTI, ciudadanos</w:t>
            </w:r>
          </w:p>
        </w:tc>
      </w:tr>
    </w:tbl>
    <w:p>
      <w:r>
        <w:t xml:space="preserve"/>
      </w:r>
    </w:p>
    <w:p>
      <w:pPr>
        <w:pStyle w:val="Heading2"/>
        <w:spacing w:after="120" w:before="240"/>
      </w:pPr>
      <w:r>
        <w:rPr>
          <w:b/>
          <w:bCs/>
          <w:color w:val="2E74B5"/>
          <w:sz w:val="26"/>
          <w:szCs w:val="26"/>
        </w:rPr>
        <w:t xml:space="preserve">11.4. Conclusiones</w:t>
      </w:r>
    </w:p>
    <w:p>
      <w:pPr>
        <w:spacing w:after="80" w:before="80"/>
        <w:jc w:val="both"/>
      </w:pPr>
      <w:r>
        <w:rPr>
          <w:sz w:val="22"/>
          <w:szCs w:val="22"/>
        </w:rPr>
        <w:t xml:space="preserve">La arquitectura de negocio objetivo cierra de forma coherente las brechas diagnosticadas, transformando una municipalidad de silos presenciales en una organización digital, interoperable y centrada en el ciudadano. Los 15 principios de la Fase Preliminar V2 guían cada decisión de diseño. Esta versión 2.0 resuelve las observaciones de la auditoría de consistencia TOGAF.</w:t>
      </w:r>
    </w:p>
    <w:p>
      <w:pPr>
        <w:pStyle w:val="Heading2"/>
        <w:spacing w:after="120" w:before="240"/>
      </w:pPr>
      <w:r>
        <w:rPr>
          <w:b/>
          <w:bCs/>
          <w:color w:val="2E74B5"/>
          <w:sz w:val="26"/>
          <w:szCs w:val="26"/>
        </w:rPr>
        <w:t xml:space="preserve">11.5. Recomendaciones</w:t>
      </w:r>
    </w:p>
    <w:p>
      <w:pPr>
        <w:spacing w:after="40" w:before="40"/>
        <w:ind w:left="576"/>
      </w:pPr>
      <w:r>
        <w:rPr>
          <w:sz w:val="22"/>
          <w:szCs w:val="22"/>
        </w:rPr>
        <w:t xml:space="preserve">•  Formalizar la estructura de AE por resolución gerencial para asegurar continuidad frente a la rotación política (principio BP01).</w:t>
      </w:r>
    </w:p>
    <w:p>
      <w:pPr>
        <w:spacing w:after="40" w:before="40"/>
        <w:ind w:left="576"/>
      </w:pPr>
      <w:r>
        <w:rPr>
          <w:sz w:val="22"/>
          <w:szCs w:val="22"/>
        </w:rPr>
        <w:t xml:space="preserve">•  Iniciar por los procesos de mayor valor ciudadano (licencias, arbitrios, mesa de partes).</w:t>
      </w:r>
    </w:p>
    <w:p>
      <w:pPr>
        <w:spacing w:after="40" w:before="40"/>
        <w:ind w:left="576"/>
      </w:pPr>
      <w:r>
        <w:rPr>
          <w:sz w:val="22"/>
          <w:szCs w:val="22"/>
        </w:rPr>
        <w:t xml:space="preserve">•  Aprobar la Especificación de Requisitos V2 y la Hoja de Ruta V2 como base contractual de la implementación.</w:t>
      </w:r>
    </w:p>
    <w:p>
      <w:pPr>
        <w:spacing w:after="40" w:before="40"/>
        <w:ind w:left="576"/>
      </w:pPr>
      <w:r>
        <w:rPr>
          <w:sz w:val="22"/>
          <w:szCs w:val="22"/>
        </w:rPr>
        <w:t xml:space="preserve">•  Asegurar la transferencia de conocimiento desde los consultores hacia el personal de la GTI.</w:t>
      </w:r>
    </w:p>
    <w:p>
      <w:pPr>
        <w:spacing w:after="40" w:before="40"/>
        <w:ind w:left="576"/>
      </w:pPr>
      <w:r>
        <w:rPr>
          <w:sz w:val="22"/>
          <w:szCs w:val="22"/>
        </w:rPr>
        <w:t xml:space="preserve">•  Sincronizar las fechas de la Fase C con la cronología aprobada (Junio 2026).</w:t>
      </w:r>
    </w:p>
    <w:p>
      <w:r>
        <w:t xml:space="preserve"/>
      </w:r>
    </w:p>
    <w:p>
      <w:pPr>
        <w:jc w:val="center"/>
      </w:pPr>
      <w:r>
        <w:rPr>
          <w:color w:val="404040"/>
          <w:sz w:val="18"/>
          <w:szCs w:val="18"/>
        </w:rPr>
        <w:t xml:space="preserve">Fase B – Arquitectura de Negocio · Municipalidad Metropolitana de Lima · Versión 2.0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2026-07-03T15:44:17.791Z</dcterms:created>
  <dcterms:modified xsi:type="dcterms:W3CDTF">2026-07-03T15:44:17.803Z</dcterms:modified>
</cp:coreProperties>
</file>

<file path=docProps/custom.xml><?xml version="1.0" encoding="utf-8"?>
<Properties xmlns="http://schemas.openxmlformats.org/officeDocument/2006/custom-properties" xmlns:vt="http://schemas.openxmlformats.org/officeDocument/2006/docPropsVTypes"/>
</file>