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UNIVERSIDAD NACIONAL DE INGENIERÍA</w:t>
      </w:r>
    </w:p>
    <w:p>
      <w:pPr>
        <w:jc w:val="center"/>
      </w:pPr>
      <w:r>
        <w:rPr>
          <w:b/>
          <w:bCs/>
          <w:color w:val="1F3864"/>
          <w:sz w:val="22"/>
          <w:szCs w:val="22"/>
        </w:rPr>
        <w:t xml:space="preserve">FACULTAD DE INGENIERÍA INDUSTRIAL Y SISTEMAS</w:t>
      </w:r>
    </w:p>
    <w:p>
      <w:r>
        <w:t xml:space="preserve"/>
      </w: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APLICACIÓN DE TOGAF A LA MUNICIPALIDAD METROPOLITANA DE LIMA</w:t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FASE B: ARQUITECTURA DE NEGOCIO</w:t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Hoja de Ruta de Arquitectura</w:t>
      </w:r>
    </w:p>
    <w:p>
      <w:pPr>
        <w:jc w:val="center"/>
      </w:pPr>
      <w:r>
        <w:rPr>
          <w:color w:val="404040"/>
          <w:sz w:val="22"/>
          <w:szCs w:val="22"/>
        </w:rPr>
        <w:t xml:space="preserve">Versión 2.0 — Entregable TOGAF Fase B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Chirinos Paredes, Fernando Angel — 20221247C</w:t>
      </w:r>
    </w:p>
    <w:p>
      <w:pPr>
        <w:jc w:val="center"/>
      </w:pPr>
      <w:r>
        <w:rPr>
          <w:sz w:val="20"/>
          <w:szCs w:val="20"/>
        </w:rPr>
        <w:t xml:space="preserve">Ruiz Luna, Dair Aldrin — 20212141A</w:t>
      </w:r>
    </w:p>
    <w:p>
      <w:pPr>
        <w:jc w:val="center"/>
      </w:pPr>
      <w:r>
        <w:rPr>
          <w:sz w:val="20"/>
          <w:szCs w:val="20"/>
        </w:rPr>
        <w:t xml:space="preserve">Garcia Retuerto, Jholvis Juan — 20221013B</w:t>
      </w:r>
    </w:p>
    <w:p>
      <w:pPr>
        <w:jc w:val="center"/>
      </w:pPr>
      <w:r>
        <w:rPr>
          <w:sz w:val="20"/>
          <w:szCs w:val="20"/>
        </w:rPr>
        <w:t xml:space="preserve">Jaramillo Blanco, Lenin Anderson — 20212632E</w:t>
      </w:r>
    </w:p>
    <w:p>
      <w:pPr>
        <w:jc w:val="center"/>
      </w:pPr>
      <w:r>
        <w:rPr>
          <w:sz w:val="20"/>
          <w:szCs w:val="20"/>
        </w:rPr>
        <w:t xml:space="preserve">Ramos Lopez, Denilson David Giovanni — 20191240F</w:t>
      </w:r>
    </w:p>
    <w:p>
      <w:pPr>
        <w:jc w:val="center"/>
      </w:pPr>
      <w:r>
        <w:rPr>
          <w:sz w:val="20"/>
          <w:szCs w:val="20"/>
        </w:rPr>
        <w:t xml:space="preserve">Vila Chahua, Jean Paul — 20170035D</w:t>
      </w:r>
    </w:p>
    <w:p>
      <w:pPr>
        <w:jc w:val="center"/>
      </w:pPr>
      <w:r>
        <w:rPr>
          <w:sz w:val="20"/>
          <w:szCs w:val="20"/>
        </w:rPr>
        <w:t xml:space="preserve">Chauvet, Loriano Celso Gaby — II2026102</w:t>
      </w:r>
    </w:p>
    <w:p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Docente: Tobías Enrique Aliaga Vílchez · SI605U · Lima – Perú · Abril – Mayo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Información del Documento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4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Aplicación de TOGAF — Municipalidad Metropolitana de Lima (MML)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Título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Hoja de Ruta de Arquitectura — Fase B v2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ADM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B — Arquitectura de Negocio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Versión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Aprobado por el Comité de Arquitectura Empresarial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Equipo de Arquitectura Empresarial — FIIS-UNI, Grupo 3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Abril – Mayo 2026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SoAW de referencia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Statement of Architecture Work MML — autorizado el 05/03/2026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Preliminar V2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Ene – Feb 2026 (aprobada)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A V2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Marzo 2026 (aprobada)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B V2</w:t>
            </w:r>
          </w:p>
        </w:tc>
        <w:tc>
          <w:tcPr>
            <w:tcW w:type="dxa" w:w="6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Abril – Mayo 2026 (presente documento)</w:t>
            </w:r>
          </w:p>
        </w:tc>
      </w:tr>
      <w:tr>
        <w:tc>
          <w:tcPr>
            <w:tcW w:type="dxa" w:w="2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C (planificada)</w:t>
            </w:r>
          </w:p>
        </w:tc>
        <w:tc>
          <w:tcPr>
            <w:tcW w:type="dxa" w:w="6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Junio 2026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Historial de Versiones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00"/>
        <w:gridCol w:w="1500"/>
        <w:gridCol w:w="5700"/>
      </w:tblGrid>
      <w:tr>
        <w:trPr>
          <w:tblHeader/>
        </w:trPr>
        <w:tc>
          <w:tcPr>
            <w:tcW w:type="dxa" w:w="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Equipo AE</w:t>
            </w:r>
          </w:p>
        </w:tc>
        <w:tc>
          <w:tcPr>
            <w:tcW w:type="dxa" w:w="5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Versión inicial completa para Fase B.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9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May 2026</w:t>
            </w:r>
          </w:p>
        </w:tc>
        <w:tc>
          <w:tcPr>
            <w:tcW w:type="dxa" w:w="1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Grupo 3</w:t>
            </w:r>
          </w:p>
        </w:tc>
        <w:tc>
          <w:tcPr>
            <w:tcW w:type="dxa" w:w="5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Corrección v2: cronología explícita alineada con SoAW (05/03/2026) y Fases V2; proyectos sincronizados con Fase C planificada; referencias a los 15 principios en criterios de efectividad; portada tailorizada.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1. Propósito del Documento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La Hoja de Ruta de Arquitectura enumera los incrementos de cambio y los ordena en una línea de tiempo que muestra la progresión desde la arquitectura de línea base (AS-IS) hasta la arquitectura objetivo (TO-BE) de la MML.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Esta versión 2.0 alinea la cronología con la secuencia aprobada del ADM: Fase Preliminar V2 (Ene–Feb 2026) → Fase A V2 con SoAW firmado el 05/03/2026 → Fase B V2 (Abr–May 2026) → Fase C planificada (Jun 2026). Las architecturas de transición se sincronizan con los proyectos P-C01 a P-C08 que se detallarán en la Fase C.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2. Lista de Proyectos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2.1. Proyectos de la Hoja de Ruta (dominio de negocio)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500"/>
        <w:gridCol w:w="3500"/>
        <w:gridCol w:w="700"/>
        <w:gridCol w:w="11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2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3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Depend.</w:t>
            </w:r>
          </w:p>
        </w:tc>
        <w:tc>
          <w:tcPr>
            <w:tcW w:type="dxa" w:w="11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Mesa de partes virtual y plataforma de trámites en línea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Habilita el ingreso digital de documentos y el catálogo de trámites en línea (OBJ-01, OBJ-02). Se detalla como P-C04 en Fase C.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11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Interoperabilidad con PIDE y RENIEC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Integra autenticación e intercambio de información interinstitucional (OBJ-03). Se detalla como P-C03 en Fase C.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Medio-Alto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Pagos digitales de arbitrios y tasas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Pasarela de pagos con conciliación automática (OBJ-05). Componente de P-C04 en Fase C.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Gobierno de datos y registro único del ciudadano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Define catálogos, calidad y un identificador único (OBJ-04). Se detalla como P-C01 y P-C02 en Fase C.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Rediseño y digitalización de procesos (BPM)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Modela en BPMN y automatiza licencias, reclamos y fiscalización (OBJ-01, OBJ-05). Se detalla como P-C04 y P-C06 en Fase C.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P1, P4</w:t>
            </w:r>
          </w:p>
        </w:tc>
        <w:tc>
          <w:tcPr>
            <w:tcW w:type="dxa" w:w="11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Medio-Alto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Repositorio de AE y modelado ArchiMate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Implanta herramientas (Archi/Sparx) y el repositorio arquitectónico. Se detalla como P-C07 en Fase C.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Seguridad de la información (ISO 27001 / Ley 29733)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Controles, gestión de accesos y protección de datos (principios DP03, TP02). Se detalla como P-C08 en Fase C.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Gestión del cambio y capacitación TOGAF/ArchiMate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Capacita al personal y acompaña la adopción del modelo (transversal).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Transv.</w:t>
            </w:r>
          </w:p>
        </w:tc>
        <w:tc>
          <w:tcPr>
            <w:tcW w:type="dxa" w:w="11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Bajo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2.2. Correspondencia con proyectos de Fase C (Datos y Aplicaciones)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Esta tabla muestra cómo los proyectos de negocio (Fase B) se convierten en los proyectos de sistemas de información detallados en la Fase C: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500"/>
        <w:gridCol w:w="3300"/>
      </w:tblGrid>
      <w:tr>
        <w:trPr>
          <w:tblHeader/>
        </w:trPr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 Fase B</w:t>
            </w:r>
          </w:p>
        </w:tc>
        <w:tc>
          <w:tcPr>
            <w:tcW w:type="dxa" w:w="3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 Fase C correspondiente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 Fase C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 – Mesa de partes virtual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 SIAC (Sistema Integrado de Atención Ciudadana)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Aplicaciones</w:t>
            </w:r>
          </w:p>
        </w:tc>
      </w:tr>
      <w:tr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 – Interoperabilidad PIDE/RENIEC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P-C03 Bus de Integración y APIs Institucionales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Aplicaciones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 – Pagos digitales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 SIAC (módulo de pagos)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Aplicaciones</w:t>
            </w:r>
          </w:p>
        </w:tc>
      </w:tr>
      <w:tr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P4 – Gobierno de datos / registro único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P-C01 Plataforma de Datos Institucional + P-C02 Gobierno de Datos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Datos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P5 – Rediseño BPM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 SIAC + P-C06 Fiscalización Digital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Aplicaciones</w:t>
            </w:r>
          </w:p>
        </w:tc>
      </w:tr>
      <w:tr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 – Repositorio de AE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P-C07 Repositorio y Gobierno de Arquitectura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Datos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P7 – Seguridad ISO 27001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P-C08 Seguridad de la Información (ISO/IEC 27001)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Datos/Aplicaciones</w:t>
            </w:r>
          </w:p>
        </w:tc>
      </w:tr>
      <w:tr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P8 – Gestión del cambio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Transversal a todos los proyectos de Fase C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Transversal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2.3. Priorización de proyectos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500"/>
        <w:gridCol w:w="5800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5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de prioridad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 – Repositorio de AE y herramientas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Habilitador transversal; bajo costo y rápido de implantar.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P4 – Gobierno de datos y registro único</w:t>
            </w:r>
          </w:p>
        </w:tc>
        <w:tc>
          <w:tcPr>
            <w:tcW w:type="dxa" w:w="5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Base para eliminar duplicidad antes de digitalizar (principios DP01, DP02).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P7 – Seguridad de la información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Requisito legal transversal que debe establecerse antes de exponer datos (DP03, TP02).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 – Mesa de partes virtual y trámites en línea</w:t>
            </w:r>
          </w:p>
        </w:tc>
        <w:tc>
          <w:tcPr>
            <w:tcW w:type="dxa" w:w="5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Mayor valor ciudadano y resultado visible temprano (BP02).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 – Interoperabilidad PIDE/RENIEC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Habilita autenticación e integración de los trámites (AP04).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P5 – Rediseño y digitalización de procesos</w:t>
            </w:r>
          </w:p>
        </w:tc>
        <w:tc>
          <w:tcPr>
            <w:tcW w:type="dxa" w:w="5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Optimiza los procesos antes de su masificación (BP03).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 – Pagos digitales</w:t>
            </w:r>
          </w:p>
        </w:tc>
        <w:tc>
          <w:tcPr>
            <w:tcW w:type="dxa" w:w="5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Completa la experiencia de trámite y recaudación.</w:t>
            </w:r>
          </w:p>
        </w:tc>
      </w:tr>
      <w:tr>
        <w:tc>
          <w:tcPr>
            <w:tcW w:type="dxa" w:w="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P8 – Gestión del cambio y capacitación</w:t>
            </w:r>
          </w:p>
        </w:tc>
        <w:tc>
          <w:tcPr>
            <w:tcW w:type="dxa" w:w="5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Acompaña todo el programa de forma continua.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3. Plan de Migración Orientado al Tiempo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3.1. Arquitecturas de transición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500"/>
        <w:gridCol w:w="2000"/>
        <w:gridCol w:w="3900"/>
      </w:tblGrid>
      <w:tr>
        <w:trPr>
          <w:tblHeader/>
        </w:trPr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Transición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Proyectos</w:t>
            </w:r>
          </w:p>
        </w:tc>
        <w:tc>
          <w:tcPr>
            <w:tcW w:type="dxa" w:w="3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objetivo alcanzado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T1 – Cimientos digitales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 – Ago 2026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P6, P4, P7 (base), P8 (inicio)</w:t>
            </w:r>
          </w:p>
        </w:tc>
        <w:tc>
          <w:tcPr>
            <w:tcW w:type="dxa" w:w="39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Repositorio AE operativo; gobierno de datos y registro único del ciudadano establecidos; controles de seguridad base implementados. Habilita la Fase C (Jun 2026).</w:t>
            </w:r>
          </w:p>
        </w:tc>
      </w:tr>
      <w:tr>
        <w:tc>
          <w:tcPr>
            <w:tcW w:type="dxa" w:w="1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T2 – Servicios al ciudadano</w:t>
            </w:r>
          </w:p>
        </w:tc>
        <w:tc>
          <w:tcPr>
            <w:tcW w:type="dxa" w:w="1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Sep 2026 – Mar 2027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P1, P2, P5 (críticos)</w:t>
            </w:r>
          </w:p>
        </w:tc>
        <w:tc>
          <w:tcPr>
            <w:tcW w:type="dxa" w:w="39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Ciudadano accede a trámites en línea y mesa de partes virtual; autenticación e interoperabilidad operativas; ≥ 50 % de trámites digitales.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T3 – Consolidación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 2027 – Dic 2027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P3, P5 (resto), P7 (ISO 27001), P8 (plena)</w:t>
            </w:r>
          </w:p>
        </w:tc>
        <w:tc>
          <w:tcPr>
            <w:tcW w:type="dxa" w:w="39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Digitalización completa; pago en línea; seguridad consolidada ISO 27001; ≥ 70 % de trámites digitales; satisfacción ciudadana ≥ 80 %.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3.2. Cronograma Gantt (vista simplificada)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Leyenda: ██ = proyecto activo en ese semestre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T1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T2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T3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T4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2027 T1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2027 T2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2027 T3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2027 T4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P6 Repositorio AE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D6E4F7" w:val="clear"/>
          </w:tcPr>
          <w:p>
            <w:r>
              <w:rPr>
                <w:b/>
                <w:bCs/>
                <w:sz w:val="17"/>
                <w:szCs w:val="17"/>
              </w:rPr>
              <w:t xml:space="preserve">P4 Gobierno de datos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P7 Seguridad (base)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D6E4F7" w:val="clear"/>
          </w:tcPr>
          <w:p>
            <w:r>
              <w:rPr>
                <w:b/>
                <w:bCs/>
                <w:sz w:val="17"/>
                <w:szCs w:val="17"/>
              </w:rPr>
              <w:t xml:space="preserve">P8 Cambio (inicio)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P1 Mesa partes/trámites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D6E4F7" w:val="clear"/>
          </w:tcPr>
          <w:p>
            <w:r>
              <w:rPr>
                <w:b/>
                <w:bCs/>
                <w:sz w:val="17"/>
                <w:szCs w:val="17"/>
              </w:rPr>
              <w:t xml:space="preserve">P2 PIDE/RENIEC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P5 Rediseño BPM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D6E4F7" w:val="clear"/>
          </w:tcPr>
          <w:p>
            <w:r>
              <w:rPr>
                <w:b/>
                <w:bCs/>
                <w:sz w:val="17"/>
                <w:szCs w:val="17"/>
              </w:rPr>
              <w:t xml:space="preserve">P3 Pagos digitales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D6E4F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7"/>
                <w:szCs w:val="17"/>
              </w:rPr>
              <w:t xml:space="preserve">P7 ISO 27001 (consol)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2E74B5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3.3. Opciones de migración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800"/>
        <w:gridCol w:w="2200"/>
        <w:gridCol w:w="2600"/>
      </w:tblGrid>
      <w:tr>
        <w:trPr>
          <w:tblHeader/>
        </w:trPr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Desventaja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Big bang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Implantar toda la arquitectura objetivo de una sola vez.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Rápido en teoría.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 riesgo; inviable con presupuesto y madurez actuales.</w:t>
            </w:r>
          </w:p>
        </w:tc>
      </w:tr>
      <w:tr>
        <w:tc>
          <w:tcPr>
            <w:tcW w:type="dxa" w:w="1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Incremental por transiciones (RECOMENDADA)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Entregar valor por arquitecturas de transición T1→T2→T3.</w:t>
            </w:r>
          </w:p>
        </w:tc>
        <w:tc>
          <w:tcPr>
            <w:tcW w:type="dxa" w:w="2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Bajo riesgo; valor temprano; ajustable; alineado con presupuesto público anual.</w:t>
            </w:r>
          </w:p>
        </w:tc>
        <w:tc>
          <w:tcPr>
            <w:tcW w:type="dxa" w:w="26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Requiere coordinación y gobierno sostenido.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Solo externa (outsourcing)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Delegar toda la ejecución a una consultora.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Rapidez y experiencia.</w:t>
            </w:r>
          </w:p>
        </w:tc>
        <w:tc>
          <w:tcPr>
            <w:tcW w:type="dxa" w:w="26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Dependencia y baja transferencia de conocimiento.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32"/>
          <w:szCs w:val="32"/>
        </w:rPr>
        <w:t xml:space="preserve">4. Recomendaciones de Implementación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4.1. Criterios y medidas de efectividad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800"/>
        <w:gridCol w:w="2000"/>
        <w:gridCol w:w="3300"/>
      </w:tblGrid>
      <w:tr>
        <w:trPr>
          <w:tblHeader/>
        </w:trPr>
        <w:tc>
          <w:tcPr>
            <w:tcW w:type="dxa" w:w="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 de efectividad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Trámites prioritarios disponibles en línea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≥ 70 %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BP02, AP02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Servicios integrados vía PIDE/RENIEC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≥ 60 % de sistemas en alcance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AP04, DP04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Tiempo de conciliación de pagos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≤ 24 h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AP03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Duplicidad de registros del ciudadano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Tendencia a 0; ≥ 95 % sin inconsistencias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DP01, DP02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Reducción del tiempo de atención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−40 %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BP02, BP03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Proyectos usando el repositorio de AE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≥ 90 % en 12 meses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DP01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Acciones críticas con registro de auditoría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100 %; 0 vulnerabilidades críticas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DP03, TP02, BP04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28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Personal capacitado en TOGAF/ArchiMate</w:t>
            </w:r>
          </w:p>
        </w:tc>
        <w:tc>
          <w:tcPr>
            <w:tcW w:type="dxa" w:w="2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Todos los equipos de dominio</w:t>
            </w:r>
          </w:p>
        </w:tc>
        <w:tc>
          <w:tcPr>
            <w:tcW w:type="dxa" w:w="33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BP01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4.2. Riesgos e Issues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700"/>
        <w:gridCol w:w="4400"/>
      </w:tblGrid>
      <w:tr>
        <w:trPr>
          <w:tblHeader/>
        </w:trPr>
        <w:tc>
          <w:tcPr>
            <w:tcW w:type="dxa" w:w="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/ Problema</w:t>
            </w:r>
          </w:p>
        </w:tc>
        <w:tc>
          <w:tcPr>
            <w:tcW w:type="dxa" w:w="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RSK-01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Cambio de gestión política durante el programa.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Formalizar la AE por resolución gerencial; documentar todos los entregables (principio BP01).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RSK-02</w:t>
            </w:r>
          </w:p>
        </w:tc>
        <w:tc>
          <w:tcPr>
            <w:tcW w:type="dxa" w:w="3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Recorte o falta de presupuesto.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4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Priorizar por valor; justificar con KPI; entregas incrementales alineadas con PIA anual.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RSK-03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Resistencia al cambio del personal.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Gestión del cambio (P8) y red de enlaces por gerencia.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RSK-04</w:t>
            </w:r>
          </w:p>
        </w:tc>
        <w:tc>
          <w:tcPr>
            <w:tcW w:type="dxa" w:w="3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Baja madurez en TOGAF/AE.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Soporte de consultores con transferencia gradual al equipo GTI.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RSK-05</w:t>
            </w:r>
          </w:p>
        </w:tc>
        <w:tc>
          <w:tcPr>
            <w:tcW w:type="dxa" w:w="30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Brechas de seguridad y datos personales.</w:t>
            </w:r>
          </w:p>
        </w:tc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Aplicar ISO 27001 y Ley N° 29733 desde el diseño (principios DP03, TP02).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ISS-04</w:t>
            </w:r>
          </w:p>
        </w:tc>
        <w:tc>
          <w:tcPr>
            <w:tcW w:type="dxa" w:w="30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Sistemas heredados poco documentados.</w:t>
            </w:r>
          </w:p>
        </w:tc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4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Levantamiento previo y encapsulado mediante APIs (principio AP03).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4B5"/>
          <w:sz w:val="26"/>
          <w:szCs w:val="26"/>
        </w:rPr>
        <w:t xml:space="preserve">4.3. Bloques de construcción de la solución (SBB)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500"/>
        <w:gridCol w:w="1400"/>
        <w:gridCol w:w="3200"/>
      </w:tblGrid>
      <w:tr>
        <w:trPr>
          <w:tblHeader/>
        </w:trPr>
        <w:tc>
          <w:tcPr>
            <w:tcW w:type="dxa" w:w="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SBB</w:t>
            </w:r>
          </w:p>
        </w:tc>
        <w:tc>
          <w:tcPr>
            <w:tcW w:type="dxa" w:w="3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 Fase B</w:t>
            </w:r>
          </w:p>
        </w:tc>
        <w:tc>
          <w:tcPr>
            <w:tcW w:type="dxa" w:w="3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Proyecto Fase C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SBB-01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Plataforma de trámites en línea / portal del ciudadano.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SBB-02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Mesa de partes virtual.</w:t>
            </w:r>
          </w:p>
        </w:tc>
        <w:tc>
          <w:tcPr>
            <w:tcW w:type="dxa" w:w="1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SBB-03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Servicios de interoperabilidad (bus/APIs) hacia PIDE y RENIEC.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P-C03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SBB-04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Pasarela de pagos digitales con conciliación.</w:t>
            </w:r>
          </w:p>
        </w:tc>
        <w:tc>
          <w:tcPr>
            <w:tcW w:type="dxa" w:w="1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SBB-05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Registro único del ciudadano y catálogos de datos.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P-C01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SBB-06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Motor de flujos de trabajo (BPM) y modelos BPMN.</w:t>
            </w:r>
          </w:p>
        </w:tc>
        <w:tc>
          <w:tcPr>
            <w:tcW w:type="dxa" w:w="1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3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P-C04, P-C06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SBB-07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Repositorio de AE y herramientas (Archi / Sparx EA).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P-C07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SBB-08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Plataforma de seguridad: IAM, auditoría y cifrado.</w:t>
            </w:r>
          </w:p>
        </w:tc>
        <w:tc>
          <w:tcPr>
            <w:tcW w:type="dxa" w:w="1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3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P-C08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SBB-09</w:t>
            </w:r>
          </w:p>
        </w:tc>
        <w:tc>
          <w:tcPr>
            <w:tcW w:type="dxa" w:w="35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Servicio común de notificación electrónica.</w:t>
            </w:r>
          </w:p>
        </w:tc>
        <w:tc>
          <w:tcPr>
            <w:tcW w:type="dxa" w:w="14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P1, P5</w:t>
            </w:r>
          </w:p>
        </w:tc>
        <w:tc>
          <w:tcPr>
            <w:tcW w:type="dxa" w:w="3200"/>
            <w:shd w:fill="FFFFFF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P-C04</w:t>
            </w:r>
          </w:p>
        </w:tc>
      </w:tr>
      <w:tr>
        <w:tc>
          <w:tcPr>
            <w:tcW w:type="dxa" w:w="7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SBB-10</w:t>
            </w:r>
          </w:p>
        </w:tc>
        <w:tc>
          <w:tcPr>
            <w:tcW w:type="dxa" w:w="35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Catálogo maestro de datos (MDM).</w:t>
            </w:r>
          </w:p>
        </w:tc>
        <w:tc>
          <w:tcPr>
            <w:tcW w:type="dxa" w:w="14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shd w:fill="D6E4F7" w:val="clear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P-C01, P-C02</w:t>
            </w:r>
          </w:p>
        </w:tc>
      </w:tr>
    </w:tbl>
    <w:p>
      <w:r>
        <w:t xml:space="preserve"/>
      </w:r>
    </w:p>
    <w:p>
      <w:pPr>
        <w:jc w:val="center"/>
      </w:pPr>
      <w:r>
        <w:rPr>
          <w:color w:val="404040"/>
          <w:sz w:val="18"/>
          <w:szCs w:val="18"/>
        </w:rPr>
        <w:t xml:space="preserve">Fase B – Arquitectura de Negocio · MML · Hoja de Ruta V2 · Abril – Mayo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2026-07-03T15:47:46.845Z</dcterms:created>
  <dcterms:modified xsi:type="dcterms:W3CDTF">2026-07-03T15:47:46.846Z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