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MUNICIPALIDAD METROPOLITANA DE LIMA</w:t>
      </w:r>
    </w:p>
    <w:p>
      <w:pPr>
        <w:jc w:val="center"/>
      </w:pPr>
      <w:r>
        <w:rPr>
          <w:b/>
          <w:bCs/>
          <w:color w:val="2E74B5"/>
          <w:sz w:val="22"/>
          <w:szCs w:val="22"/>
        </w:rPr>
        <w:t xml:space="preserve">Arquitectura Empresarial – TOGAF ADM</w:t>
      </w:r>
    </w:p>
    <w:p>
      <w:r>
        <w:t xml:space="preserve"/>
      </w:r>
    </w:p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DOCUMENTO RESUMEN DE CAMBIOS</w:t>
      </w:r>
    </w:p>
    <w:p>
      <w:pPr>
        <w:jc w:val="center"/>
      </w:pPr>
      <w:r>
        <w:rPr>
          <w:b/>
          <w:bCs/>
          <w:color w:val="2E74B5"/>
          <w:sz w:val="28"/>
          <w:szCs w:val="28"/>
        </w:rPr>
        <w:t xml:space="preserve">FASE B — ARQUITECTURA DE NEGOCIO</w:t>
      </w:r>
    </w:p>
    <w:p>
      <w:pPr>
        <w:jc w:val="center"/>
      </w:pPr>
      <w:r>
        <w:rPr>
          <w:color w:val="404040"/>
          <w:sz w:val="22"/>
          <w:szCs w:val="22"/>
        </w:rPr>
        <w:t xml:space="preserve">Versión 2.0 (V2) → Cambios respecto a la Versión 1.0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4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Grupo 3 — Equipo de Arquitectura Empresarial, FIIS-UNI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Mayo 2026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Documentos modificados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3: Architecture_Definition, Requirements_Specification, Architecture_Roadmap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Versiones de referencia aprobadas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Preliminar V2 (Ene–Feb 2026) · Fase A V2 con SoAW 05/03/2026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1. Contexto y Motivación de los Cambios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Los tres documentos de la Fase B han sido actualizados a la Versión 2.0 para alinearse con las correcciones aplicadas en la Fase Preliminar V2 y la Fase A V2, tal como fue solicitado tras la auditoría de consistencia TOGAF del Grupo 3. Los cambios responden a cuatro hallazgos principales:</w:t>
      </w:r>
    </w:p>
    <w:p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2800"/>
        <w:gridCol w:w="3600"/>
        <w:gridCol w:w="1000"/>
      </w:tblGrid>
      <w:tr>
        <w:trPr>
          <w:tblHeader/>
        </w:trPr>
        <w:tc>
          <w:tcPr>
            <w:tcW w:type="dxa" w:w="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Hallazgo de la auditoría</w:t>
            </w:r>
          </w:p>
        </w:tc>
        <w:tc>
          <w:tcPr>
            <w:tcW w:type="dxa" w:w="3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en Fase B</w:t>
            </w:r>
          </w:p>
        </w:tc>
        <w:tc>
          <w:tcPr>
            <w:tcW w:type="dxa" w:w="1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Trazabilidad "Baja" hacia el catálogo de 15 principios (BP01–BP04, DP01–DP04, AP01–AP04, TP01–TP03).</w:t>
            </w:r>
          </w:p>
        </w:tc>
        <w:tc>
          <w:tcPr>
            <w:tcW w:type="dxa" w:w="3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Sección 4.1 solo mencionaba 4 principios por nombre, sin código. Ningún requisito o criterio referenciaba el código del principio correspondiente.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RESUELTO ✅</w:t>
            </w:r>
          </w:p>
        </w:tc>
      </w:tr>
      <w:tr>
        <w:tc>
          <w:tcPr>
            <w:tcW w:type="dxa" w:w="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Fechas genéricas ("2026") inconsistentes con la cronología aprobada.</w:t>
            </w:r>
          </w:p>
        </w:tc>
        <w:tc>
          <w:tcPr>
            <w:tcW w:type="dxa" w:w="3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El historial de versiones y los metadatos no reflejaban la secuencia: Fase Preliminar Ene–Feb → SoAW 05/03 → Fase A Mar → Fase B Abr–May.</w:t>
            </w:r>
          </w:p>
        </w:tc>
        <w:tc>
          <w:tcPr>
            <w:tcW w:type="dxa" w:w="1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RESUELTO ✅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Portada sin tailorizar en los entregables V1 (metadatos incompletos).</w:t>
            </w:r>
          </w:p>
        </w:tc>
        <w:tc>
          <w:tcPr>
            <w:tcW w:type="dxa" w:w="3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Las fechas específicas del proyecto no aparecían en la portada. No se mencionaba la referencia al SoAW aprobado.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RESUELTO ✅</w:t>
            </w:r>
          </w:p>
        </w:tc>
      </w:tr>
      <w:tr>
        <w:tc>
          <w:tcPr>
            <w:tcW w:type="dxa" w:w="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C no sincronizada con Fase B (proyectos P1–P8 sin correspondencia explícita).</w:t>
            </w:r>
          </w:p>
        </w:tc>
        <w:tc>
          <w:tcPr>
            <w:tcW w:type="dxa" w:w="3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 Hoja de Ruta V1 no indicaba qué proyectos de Fase C (P-C01 a P-C08) implementaban los proyectos de negocio P1–P8.</w:t>
            </w:r>
          </w:p>
        </w:tc>
        <w:tc>
          <w:tcPr>
            <w:tcW w:type="dxa" w:w="1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RESUELTO ✅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2. Cambios por Documento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2.1. Architecture_Definition_V2.docx</w:t>
      </w:r>
    </w:p>
    <w:p>
      <w:pPr>
        <w:pStyle w:val="Heading3"/>
        <w:spacing w:after="80" w:before="160"/>
      </w:pPr>
      <w:r>
        <w:rPr>
          <w:b/>
          <w:bCs/>
          <w:color w:val="1E5631"/>
          <w:sz w:val="22"/>
          <w:szCs w:val="22"/>
        </w:rPr>
        <w:t xml:space="preserve">Cambios de fondo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Sección 4.1 (Principios de arquitectura): reescrita completamente. La V1 listaba solo 4 principios por nombre genérico. La V2 incluye los 15 principios del catálogo con sus códigos oficiales (BP01–BP04, DP01–DP04, AP01–AP04, TP01–TP03), enunciado y explicación de la implicancia específica para el dominio de negocio de la MML.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Sección 10 (Análisis de brechas): nueva fila "Principios AE" añadida al gap analysis, indicando que el catálogo completo de 15 principios ya está aprobado en la Fase Preliminar V2 y debe aplicarse transversalmente.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Sección 11.1 (Prioridad de requisitos): enriquecida con la columna "Principio" para trazar cada requisito a su principio rector correspondiente.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Referencia al SoAW: añadida en la información del documento y en el propósito (sección 1), indicando que el trabajo fue autorizado el 05/03/2026.</w:t>
      </w:r>
    </w:p>
    <w:p>
      <w:pPr>
        <w:pStyle w:val="Heading3"/>
        <w:spacing w:after="80" w:before="160"/>
      </w:pPr>
      <w:r>
        <w:rPr>
          <w:b/>
          <w:bCs/>
          <w:color w:val="1E5631"/>
          <w:sz w:val="22"/>
          <w:szCs w:val="22"/>
        </w:rPr>
        <w:t xml:space="preserve">Cambios de forma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Portada: fecha específica "Abril 2026" reemplaza el genérico "2026".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Historial de versiones: fechas específicas (Mar 2026, Abr 2026) reemplazan el genérico "2026"; nueva entrada v2.0 con descripción de cambios.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Información del documento: campo "SoAW de referencia" añadido con fecha 05/03/2026.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2.2. Requirements_Specification_V2.docx</w:t>
      </w:r>
    </w:p>
    <w:p>
      <w:pPr>
        <w:pStyle w:val="Heading3"/>
        <w:spacing w:after="80" w:before="160"/>
      </w:pPr>
      <w:r>
        <w:rPr>
          <w:b/>
          <w:bCs/>
          <w:color w:val="1E5631"/>
          <w:sz w:val="22"/>
          <w:szCs w:val="22"/>
        </w:rPr>
        <w:t xml:space="preserve">Cambios de fondo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Tabla de requisitos (Sección 2.1): ampliada de 10 a 12 requisitos. Añadidos RA-11 (protección de datos por diseño, con referencia a DP03 y TP02) y RA-12 (calidad de datos, con referencia a DP01 y DP02). Todos los requisitos existentes recibieron una columna "Principio" para la trazabilidad completa.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KPIs (Sección 2.5): ampliados de 5 a 7 KPI. Añadidos KPI-06 (registros sin duplicados, principios DP01/DP02) y KPI-07 (incidentes críticos de seguridad, principios DP03/TP02).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Contratos de servicio (Sección 3.1): añadido SRV-06 (notificación electrónica como servicio con contrato propio). Los contratos de aplicación (3.2) fueron completados con referencia a los requisitos RI-01 a RI-05.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Especificaciones de implementación (4.2): añadida ESP-08 (catálogo maestro de datos, principios DP01/DP02).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Restricciones (2.3): columna "Principio relacionado" añadida para cerrar la trazabilidad.</w:t>
      </w:r>
    </w:p>
    <w:p>
      <w:pPr>
        <w:pStyle w:val="Heading3"/>
        <w:spacing w:after="80" w:before="160"/>
      </w:pPr>
      <w:r>
        <w:rPr>
          <w:b/>
          <w:bCs/>
          <w:color w:val="1E5631"/>
          <w:sz w:val="22"/>
          <w:szCs w:val="22"/>
        </w:rPr>
        <w:t xml:space="preserve">Cambios de forma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Portada: "Abril 2026" específico; referencia al SoAW 05/03/2026.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Historial: versión 2.0 con descripción de cambios.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2.3. Architecture_Roadmap_V2.docx</w:t>
      </w:r>
    </w:p>
    <w:p>
      <w:pPr>
        <w:pStyle w:val="Heading3"/>
        <w:spacing w:after="80" w:before="160"/>
      </w:pPr>
      <w:r>
        <w:rPr>
          <w:b/>
          <w:bCs/>
          <w:color w:val="1E5631"/>
          <w:sz w:val="22"/>
          <w:szCs w:val="22"/>
        </w:rPr>
        <w:t xml:space="preserve">Cambios de fondo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Nueva Sección 2.2 (Correspondencia con Fase C): tabla explícita que mapea cada proyecto de negocio P1–P8 a los proyectos de Fase C (P-C01 a P-C08) correspondientes, con su dominio (Datos/Aplicaciones). Esto resuelve la desconexión detectada entre Fase B y Fase C.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Sección 2.3 (Priorización): P7 (Seguridad) subió del puesto 7 al puesto 3 para alinearse con la nueva prioridad aprobada en la Fase C (P-C08 es prioridad 2 en esa fase), reflejando que la seguridad es un requisito legal y transversal que debe establecerse antes de exponer datos al exterior.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Sección 3.1 (Transiciones): las fechas de cada transición fueron especificadas con meses concretos (Abr–Ago 2026, Sep 2026–Mar 2027, Abr 2027–Dic 2027). La Transición 1 ahora culmina justo antes del inicio de la Fase C (Jun 2026), creando la secuencia lógica correcta.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Sección 4.1 (Criterios de efectividad): columna "Principio" añadida para trazar cada métrica a su principio rector.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Sección 4.3 (SBBs): añadida columna "Proyecto Fase C" para cerrar la correspondencia BID B→C.</w:t>
      </w:r>
    </w:p>
    <w:p>
      <w:pPr>
        <w:pStyle w:val="Heading3"/>
        <w:spacing w:after="80" w:before="160"/>
      </w:pPr>
      <w:r>
        <w:rPr>
          <w:b/>
          <w:bCs/>
          <w:color w:val="1E5631"/>
          <w:sz w:val="22"/>
          <w:szCs w:val="22"/>
        </w:rPr>
        <w:t xml:space="preserve">Cambios de forma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Portada: "Abril – Mayo 2026" específico; cronología de las fases en la información del documento.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Gantt: rediseñado con semestres (T1–T4) en lugar de las celdas vacías de la V1; células coloreadas para indicar actividad.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3. Resumen de Trazabilidad: Fase Preliminar V2 → Fase A V2 → Fase B V2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600"/>
        <w:gridCol w:w="2600"/>
        <w:gridCol w:w="2000"/>
      </w:tblGrid>
      <w:tr>
        <w:trPr>
          <w:tblHeader/>
        </w:trPr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Preliminar V2</w:t>
            </w:r>
          </w:p>
        </w:tc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A V2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B V2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Principios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 principios completos (BP01–BP04, DP01–DP04, AP01–AP04, TP01–TP03)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explícita a los 15 códigos en Sección 6.2 de la Visión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Los 15 principios con código en Sección 4.1; trazados a cada requisito y criterio de efectividad</w:t>
            </w:r>
          </w:p>
        </w:tc>
      </w:tr>
      <w:tr>
        <w:tc>
          <w:tcPr>
            <w:tcW w:type="dxa" w:w="1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Fechas</w:t>
            </w:r>
          </w:p>
        </w:tc>
        <w:tc>
          <w:tcPr>
            <w:tcW w:type="dxa" w:w="2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Ene – Feb 2026</w:t>
            </w:r>
          </w:p>
        </w:tc>
        <w:tc>
          <w:tcPr>
            <w:tcW w:type="dxa" w:w="2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Marzo 2026 (SoAW firmado 05/03/2026)</w:t>
            </w:r>
          </w:p>
        </w:tc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Abril – Mayo 2026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SoAW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Firmado 05/03/2026 (fecha corregida)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Referenciado en portada y sección 1</w:t>
            </w:r>
          </w:p>
        </w:tc>
      </w:tr>
      <w:tr>
        <w:tc>
          <w:tcPr>
            <w:tcW w:type="dxa" w:w="1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Dominio</w:t>
            </w:r>
          </w:p>
        </w:tc>
        <w:tc>
          <w:tcPr>
            <w:tcW w:type="dxa" w:w="2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Transversal (licencias, tributos, atención ciudadana)</w:t>
            </w:r>
          </w:p>
        </w:tc>
        <w:tc>
          <w:tcPr>
            <w:tcW w:type="dxa" w:w="2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Licencias, tributos, atención ciudadana, gestión documentaria</w:t>
            </w:r>
          </w:p>
        </w:tc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Mismo dominio; procesos PRC-01 a PRC-05 detallados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Próxima fase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Entrega en Ene–Feb 2026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Activa en Marzo 2026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C planificada en Junio 2026 (P-C01 a P-C08)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4. Elementos Sin Cambio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Los siguientes elementos de la Fase B V1 fueron verificados y no requirieron modificaciones de fondo, por ser coherentes con las Fases Preliminar V2 y A V2: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Alcance (sección 2): procesos PRC-01 a PRC-05 y áreas en alcance son coherentes con la Visión de Arquitectura de la Fase A V2.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Metas (MET-01 a MET-05) y objetivos (OBJ-01 a OBJ-06): alineados con el PEI y la Fase A V2.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Análisis de brechas (sección 10): las brechas identificadas son coherentes con las capacidades evaluadas en la Fase A V2.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Arquitectura objetivo TO-BE (sección 9): los procesos digitales, RACI y servicios de negocio son coherentes con la Visión de la Fase A V2.</w:t>
      </w:r>
    </w:p>
    <w:p>
      <w:pPr>
        <w:spacing w:after="40" w:before="40"/>
        <w:ind w:left="576"/>
      </w:pPr>
      <w:r>
        <w:rPr>
          <w:color w:val="000000"/>
          <w:sz w:val="22"/>
          <w:szCs w:val="22"/>
        </w:rPr>
        <w:t xml:space="preserve">•  Stakeholders y restricciones: coherentes con los interesados y restricciones normativas de la Fase A V2.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5. Pendientes para la Fase C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2400"/>
        <w:gridCol w:w="2400"/>
      </w:tblGrid>
      <w:tr>
        <w:trPr>
          <w:tblHeader/>
        </w:trPr>
        <w:tc>
          <w:tcPr>
            <w:tcW w:type="dxa" w:w="4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Confirmar la fecha de inicio de la Fase C (Jun 2026) con el equipo que elabora los documentos de Datos y Aplicaciones.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Grupo 3 — Coordinador Fase C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 2026</w:t>
            </w:r>
          </w:p>
        </w:tc>
      </w:tr>
      <w:tr>
        <w:tc>
          <w:tcPr>
            <w:tcW w:type="dxa" w:w="4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Verificar que los proyectos P-C01 a P-C08 de la Fase C cubren íntegramente los proyectos P1–P8 de la Fase B V2 (tabla de correspondencia, Sección 2.2 de este documento).</w:t>
            </w:r>
          </w:p>
        </w:tc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Arquitecto Empresarial Principal</w:t>
            </w:r>
          </w:p>
        </w:tc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 2026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Resolver la divergencia de dominio detectada en el Documento de Definición de Fase C original (seguridad ciudadana vs. licencias/tributos): debe alinearse con el dominio de Fases B V2 y A V2.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Grupo 3 — Equipo Fase C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 2026 (prioritario)</w:t>
            </w:r>
          </w:p>
        </w:tc>
      </w:tr>
      <w:tr>
        <w:tc>
          <w:tcPr>
            <w:tcW w:type="dxa" w:w="4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Completar la Especificación de Requisitos de Fase C, que en la versión original estaba incompleta (solo 3 requisitos de arquitectura).</w:t>
            </w:r>
          </w:p>
        </w:tc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Grupo 3 — Equipo Fase C</w:t>
            </w:r>
          </w:p>
        </w:tc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 2026</w:t>
            </w:r>
          </w:p>
        </w:tc>
      </w:tr>
    </w:tbl>
    <w:p>
      <w:r>
        <w:t xml:space="preserve"/>
      </w:r>
    </w:p>
    <w:p>
      <w:pPr>
        <w:jc w:val="center"/>
      </w:pPr>
      <w:r>
        <w:rPr>
          <w:color w:val="404040"/>
          <w:sz w:val="18"/>
          <w:szCs w:val="18"/>
        </w:rPr>
        <w:t xml:space="preserve">Resumen de Cambios — Fase B V2 · Municipalidad Metropolitana de Lima · Mayo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2026-07-03T15:49:06.356Z</dcterms:created>
  <dcterms:modified xsi:type="dcterms:W3CDTF">2026-07-03T15:49:06.357Z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