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b/>
          <w:bCs/>
          <w:color w:val="1F3864"/>
          <w:sz w:val="28"/>
          <w:szCs w:val="28"/>
        </w:rPr>
        <w:t xml:space="preserve">UNIVERSIDAD NACIONAL DE INGENIERÍA</w:t>
      </w:r>
    </w:p>
    <w:p>
      <w:pPr>
        <w:jc w:val="center"/>
      </w:pPr>
      <w:r>
        <w:rPr>
          <w:b/>
          <w:bCs/>
          <w:color w:val="1F3864"/>
          <w:sz w:val="22"/>
          <w:szCs w:val="22"/>
        </w:rPr>
        <w:t xml:space="preserve">FACULTAD DE INGENIERÍA INDUSTRIAL Y SISTEMAS</w:t>
      </w:r>
    </w:p>
    <w:p>
      <w:r>
        <w:t xml:space="preserve"/>
      </w:r>
    </w:p>
    <w:p>
      <w:pPr>
        <w:jc w:val="center"/>
      </w:pPr>
      <w:r>
        <w:rPr>
          <w:b/>
          <w:bCs/>
          <w:color w:val="2E74B5"/>
          <w:sz w:val="24"/>
          <w:szCs w:val="24"/>
        </w:rPr>
        <w:t xml:space="preserve">APLICACIÓN DE TOGAF A LA MUNICIPALIDAD METROPOLITANA DE LIMA</w:t>
      </w:r>
    </w:p>
    <w:p>
      <w:r>
        <w:t xml:space="preserve"/>
      </w:r>
    </w:p>
    <w:p>
      <w:pPr>
        <w:jc w:val="center"/>
      </w:pPr>
      <w:r>
        <w:rPr>
          <w:b/>
          <w:bCs/>
          <w:color w:val="1F3864"/>
          <w:sz w:val="28"/>
          <w:szCs w:val="28"/>
        </w:rPr>
        <w:t xml:space="preserve">FASE B: ARQUITECTURA DE NEGOCIO</w:t>
      </w:r>
    </w:p>
    <w:p>
      <w:r>
        <w:t xml:space="preserve"/>
      </w:r>
    </w:p>
    <w:p>
      <w:pPr>
        <w:jc w:val="center"/>
      </w:pPr>
      <w:r>
        <w:rPr>
          <w:b/>
          <w:bCs/>
          <w:color w:val="1F3864"/>
          <w:sz w:val="32"/>
          <w:szCs w:val="32"/>
        </w:rPr>
        <w:t xml:space="preserve">Especificación de Requisitos de Arquitectura</w:t>
      </w:r>
    </w:p>
    <w:p>
      <w:pPr>
        <w:jc w:val="center"/>
      </w:pPr>
      <w:r>
        <w:rPr>
          <w:color w:val="404040"/>
          <w:sz w:val="22"/>
          <w:szCs w:val="22"/>
        </w:rPr>
        <w:t xml:space="preserve">Versión 2.0 — Entregable TOGAF Fase B</w:t>
      </w:r>
    </w:p>
    <w:p>
      <w:r>
        <w:t xml:space="preserve"/>
      </w:r>
    </w:p>
    <w:p>
      <w:r>
        <w:t xml:space="preserve"/>
      </w:r>
    </w:p>
    <w:p>
      <w:pPr>
        <w:jc w:val="center"/>
      </w:pPr>
      <w:r>
        <w:rPr>
          <w:sz w:val="20"/>
          <w:szCs w:val="20"/>
        </w:rPr>
        <w:t xml:space="preserve">Chirinos Paredes, Fernando Angel — 20221247C</w:t>
      </w:r>
    </w:p>
    <w:p>
      <w:pPr>
        <w:jc w:val="center"/>
      </w:pPr>
      <w:r>
        <w:rPr>
          <w:sz w:val="20"/>
          <w:szCs w:val="20"/>
        </w:rPr>
        <w:t xml:space="preserve">Ruiz Luna, Dair Aldrin — 20212141A</w:t>
      </w:r>
    </w:p>
    <w:p>
      <w:pPr>
        <w:jc w:val="center"/>
      </w:pPr>
      <w:r>
        <w:rPr>
          <w:sz w:val="20"/>
          <w:szCs w:val="20"/>
        </w:rPr>
        <w:t xml:space="preserve">Garcia Retuerto, Jholvis Juan — 20221013B</w:t>
      </w:r>
    </w:p>
    <w:p>
      <w:pPr>
        <w:jc w:val="center"/>
      </w:pPr>
      <w:r>
        <w:rPr>
          <w:sz w:val="20"/>
          <w:szCs w:val="20"/>
        </w:rPr>
        <w:t xml:space="preserve">Jaramillo Blanco, Lenin Anderson — 20212632E</w:t>
      </w:r>
    </w:p>
    <w:p>
      <w:pPr>
        <w:jc w:val="center"/>
      </w:pPr>
      <w:r>
        <w:rPr>
          <w:sz w:val="20"/>
          <w:szCs w:val="20"/>
        </w:rPr>
        <w:t xml:space="preserve">Ramos Lopez, Denilson David Giovanni — 20191240F</w:t>
      </w:r>
    </w:p>
    <w:p>
      <w:pPr>
        <w:jc w:val="center"/>
      </w:pPr>
      <w:r>
        <w:rPr>
          <w:sz w:val="20"/>
          <w:szCs w:val="20"/>
        </w:rPr>
        <w:t xml:space="preserve">Vila Chahua, Jean Paul — 20170035D</w:t>
      </w:r>
    </w:p>
    <w:p>
      <w:pPr>
        <w:jc w:val="center"/>
      </w:pPr>
      <w:r>
        <w:rPr>
          <w:sz w:val="20"/>
          <w:szCs w:val="20"/>
        </w:rPr>
        <w:t xml:space="preserve">Chauvet, Loriano Celso Gaby — II2026102</w:t>
      </w:r>
    </w:p>
    <w:p>
      <w:r>
        <w:t xml:space="preserve"/>
      </w:r>
    </w:p>
    <w:p>
      <w:pPr>
        <w:jc w:val="center"/>
      </w:pPr>
      <w:r>
        <w:rPr>
          <w:sz w:val="22"/>
          <w:szCs w:val="22"/>
        </w:rPr>
        <w:t xml:space="preserve">Docente: Tobías Enrique Aliaga Vílchez · SI605U · Lima – Perú · Abril 2026</w:t>
      </w:r>
    </w:p>
    <w:p>
      <w:r>
        <w:br w:type="page"/>
      </w:r>
    </w:p>
    <w:p>
      <w:pPr>
        <w:pStyle w:val="Heading1"/>
        <w:spacing w:after="120" w:before="240"/>
      </w:pPr>
      <w:r>
        <w:rPr>
          <w:b/>
          <w:bCs/>
          <w:color w:val="1F3864"/>
          <w:sz w:val="32"/>
          <w:szCs w:val="32"/>
        </w:rPr>
        <w:t xml:space="preserve">Información del Documento</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400"/>
      </w:tblGrid>
      <w:tr>
        <w:trPr>
          <w:tblHeader/>
        </w:trPr>
        <w:tc>
          <w:tcPr>
            <w:tcW w:type="dxa" w:w="2400"/>
            <w:shd w:fill="1F3864" w:val="clear"/>
          </w:tcPr>
          <w:p>
            <w:pPr>
              <w:jc w:val="center"/>
            </w:pPr>
            <w:r>
              <w:rPr>
                <w:b/>
                <w:bCs/>
                <w:color w:val="FFFFFF"/>
                <w:sz w:val="18"/>
                <w:szCs w:val="18"/>
              </w:rPr>
              <w:t xml:space="preserve">Campo</w:t>
            </w:r>
          </w:p>
        </w:tc>
        <w:tc>
          <w:tcPr>
            <w:tcW w:type="dxa" w:w="6400"/>
            <w:shd w:fill="1F3864" w:val="clear"/>
          </w:tcPr>
          <w:p>
            <w:pPr>
              <w:jc w:val="center"/>
            </w:pPr>
            <w:r>
              <w:rPr>
                <w:b/>
                <w:bCs/>
                <w:color w:val="FFFFFF"/>
                <w:sz w:val="18"/>
                <w:szCs w:val="18"/>
              </w:rPr>
              <w:t xml:space="preserve">Detalle</w:t>
            </w:r>
          </w:p>
        </w:tc>
      </w:tr>
      <w:tr>
        <w:tc>
          <w:tcPr>
            <w:tcW w:type="dxa" w:w="2400"/>
            <w:shd w:fill="FFFFFF" w:val="clear"/>
          </w:tcPr>
          <w:p>
            <w:pPr>
              <w:spacing w:after="40" w:before="40"/>
            </w:pPr>
            <w:r>
              <w:rPr>
                <w:sz w:val="18"/>
                <w:szCs w:val="18"/>
              </w:rPr>
              <w:t xml:space="preserve">Proyecto</w:t>
            </w:r>
          </w:p>
        </w:tc>
        <w:tc>
          <w:tcPr>
            <w:tcW w:type="dxa" w:w="6400"/>
            <w:shd w:fill="FFFFFF" w:val="clear"/>
          </w:tcPr>
          <w:p>
            <w:pPr>
              <w:spacing w:after="40" w:before="40"/>
            </w:pPr>
            <w:r>
              <w:rPr>
                <w:sz w:val="18"/>
                <w:szCs w:val="18"/>
              </w:rPr>
              <w:t xml:space="preserve">Aplicación de TOGAF — Municipalidad Metropolitana de Lima (MML)</w:t>
            </w:r>
          </w:p>
        </w:tc>
      </w:tr>
      <w:tr>
        <w:tc>
          <w:tcPr>
            <w:tcW w:type="dxa" w:w="2400"/>
            <w:shd w:fill="D6E4F7" w:val="clear"/>
          </w:tcPr>
          <w:p>
            <w:pPr>
              <w:spacing w:after="40" w:before="40"/>
            </w:pPr>
            <w:r>
              <w:rPr>
                <w:sz w:val="18"/>
                <w:szCs w:val="18"/>
              </w:rPr>
              <w:t xml:space="preserve">Título</w:t>
            </w:r>
          </w:p>
        </w:tc>
        <w:tc>
          <w:tcPr>
            <w:tcW w:type="dxa" w:w="6400"/>
            <w:shd w:fill="D6E4F7" w:val="clear"/>
          </w:tcPr>
          <w:p>
            <w:pPr>
              <w:spacing w:after="40" w:before="40"/>
            </w:pPr>
            <w:r>
              <w:rPr>
                <w:sz w:val="18"/>
                <w:szCs w:val="18"/>
              </w:rPr>
              <w:t xml:space="preserve">Especificación de Requisitos de Arquitectura — Fase B v2</w:t>
            </w:r>
          </w:p>
        </w:tc>
      </w:tr>
      <w:tr>
        <w:tc>
          <w:tcPr>
            <w:tcW w:type="dxa" w:w="2400"/>
            <w:shd w:fill="FFFFFF" w:val="clear"/>
          </w:tcPr>
          <w:p>
            <w:pPr>
              <w:spacing w:after="40" w:before="40"/>
            </w:pPr>
            <w:r>
              <w:rPr>
                <w:sz w:val="18"/>
                <w:szCs w:val="18"/>
              </w:rPr>
              <w:t xml:space="preserve">Fase ADM</w:t>
            </w:r>
          </w:p>
        </w:tc>
        <w:tc>
          <w:tcPr>
            <w:tcW w:type="dxa" w:w="6400"/>
            <w:shd w:fill="FFFFFF" w:val="clear"/>
          </w:tcPr>
          <w:p>
            <w:pPr>
              <w:spacing w:after="40" w:before="40"/>
            </w:pPr>
            <w:r>
              <w:rPr>
                <w:sz w:val="18"/>
                <w:szCs w:val="18"/>
              </w:rPr>
              <w:t xml:space="preserve">Fase B — Arquitectura de Negocio</w:t>
            </w:r>
          </w:p>
        </w:tc>
      </w:tr>
      <w:tr>
        <w:tc>
          <w:tcPr>
            <w:tcW w:type="dxa" w:w="2400"/>
            <w:shd w:fill="D6E4F7" w:val="clear"/>
          </w:tcPr>
          <w:p>
            <w:pPr>
              <w:spacing w:after="40" w:before="40"/>
            </w:pPr>
            <w:r>
              <w:rPr>
                <w:sz w:val="18"/>
                <w:szCs w:val="18"/>
              </w:rPr>
              <w:t xml:space="preserve">Versión</w:t>
            </w:r>
          </w:p>
        </w:tc>
        <w:tc>
          <w:tcPr>
            <w:tcW w:type="dxa" w:w="6400"/>
            <w:shd w:fill="D6E4F7" w:val="clear"/>
          </w:tcPr>
          <w:p>
            <w:pPr>
              <w:spacing w:after="40" w:before="40"/>
            </w:pPr>
            <w:r>
              <w:rPr>
                <w:sz w:val="18"/>
                <w:szCs w:val="18"/>
              </w:rPr>
              <w:t xml:space="preserve">2.0</w:t>
            </w:r>
          </w:p>
        </w:tc>
      </w:tr>
      <w:tr>
        <w:tc>
          <w:tcPr>
            <w:tcW w:type="dxa" w:w="2400"/>
            <w:shd w:fill="FFFFFF" w:val="clear"/>
          </w:tcPr>
          <w:p>
            <w:pPr>
              <w:spacing w:after="40" w:before="40"/>
            </w:pPr>
            <w:r>
              <w:rPr>
                <w:sz w:val="18"/>
                <w:szCs w:val="18"/>
              </w:rPr>
              <w:t xml:space="preserve">Estado</w:t>
            </w:r>
          </w:p>
        </w:tc>
        <w:tc>
          <w:tcPr>
            <w:tcW w:type="dxa" w:w="6400"/>
            <w:shd w:fill="FFFFFF" w:val="clear"/>
          </w:tcPr>
          <w:p>
            <w:pPr>
              <w:spacing w:after="40" w:before="40"/>
            </w:pPr>
            <w:r>
              <w:rPr>
                <w:sz w:val="18"/>
                <w:szCs w:val="18"/>
              </w:rPr>
              <w:t xml:space="preserve">Aprobado por el Comité de Arquitectura Empresarial</w:t>
            </w:r>
          </w:p>
        </w:tc>
      </w:tr>
      <w:tr>
        <w:tc>
          <w:tcPr>
            <w:tcW w:type="dxa" w:w="2400"/>
            <w:shd w:fill="D6E4F7" w:val="clear"/>
          </w:tcPr>
          <w:p>
            <w:pPr>
              <w:spacing w:after="40" w:before="40"/>
            </w:pPr>
            <w:r>
              <w:rPr>
                <w:sz w:val="18"/>
                <w:szCs w:val="18"/>
              </w:rPr>
              <w:t xml:space="preserve">Elaborado por</w:t>
            </w:r>
          </w:p>
        </w:tc>
        <w:tc>
          <w:tcPr>
            <w:tcW w:type="dxa" w:w="6400"/>
            <w:shd w:fill="D6E4F7" w:val="clear"/>
          </w:tcPr>
          <w:p>
            <w:pPr>
              <w:spacing w:after="40" w:before="40"/>
            </w:pPr>
            <w:r>
              <w:rPr>
                <w:sz w:val="18"/>
                <w:szCs w:val="18"/>
              </w:rPr>
              <w:t xml:space="preserve">Equipo de Arquitectura Empresarial — FIIS-UNI, Grupo 3</w:t>
            </w:r>
          </w:p>
        </w:tc>
      </w:tr>
      <w:tr>
        <w:tc>
          <w:tcPr>
            <w:tcW w:type="dxa" w:w="2400"/>
            <w:shd w:fill="FFFFFF" w:val="clear"/>
          </w:tcPr>
          <w:p>
            <w:pPr>
              <w:spacing w:after="40" w:before="40"/>
            </w:pPr>
            <w:r>
              <w:rPr>
                <w:sz w:val="18"/>
                <w:szCs w:val="18"/>
              </w:rPr>
              <w:t xml:space="preserve">Fecha</w:t>
            </w:r>
          </w:p>
        </w:tc>
        <w:tc>
          <w:tcPr>
            <w:tcW w:type="dxa" w:w="6400"/>
            <w:shd w:fill="FFFFFF" w:val="clear"/>
          </w:tcPr>
          <w:p>
            <w:pPr>
              <w:spacing w:after="40" w:before="40"/>
            </w:pPr>
            <w:r>
              <w:rPr>
                <w:sz w:val="18"/>
                <w:szCs w:val="18"/>
              </w:rPr>
              <w:t xml:space="preserve">Abril 2026</w:t>
            </w:r>
          </w:p>
        </w:tc>
      </w:tr>
      <w:tr>
        <w:tc>
          <w:tcPr>
            <w:tcW w:type="dxa" w:w="2400"/>
            <w:shd w:fill="D6E4F7" w:val="clear"/>
          </w:tcPr>
          <w:p>
            <w:pPr>
              <w:spacing w:after="40" w:before="40"/>
            </w:pPr>
            <w:r>
              <w:rPr>
                <w:sz w:val="18"/>
                <w:szCs w:val="18"/>
              </w:rPr>
              <w:t xml:space="preserve">SoAW de referencia</w:t>
            </w:r>
          </w:p>
        </w:tc>
        <w:tc>
          <w:tcPr>
            <w:tcW w:type="dxa" w:w="6400"/>
            <w:shd w:fill="D6E4F7" w:val="clear"/>
          </w:tcPr>
          <w:p>
            <w:pPr>
              <w:spacing w:after="40" w:before="40"/>
            </w:pPr>
            <w:r>
              <w:rPr>
                <w:sz w:val="18"/>
                <w:szCs w:val="18"/>
              </w:rPr>
              <w:t xml:space="preserve">Statement of Architecture Work MML — autorizado el 05/03/2026</w:t>
            </w:r>
          </w:p>
        </w:tc>
      </w:tr>
    </w:tbl>
    <w:p>
      <w:r>
        <w:t xml:space="preserve"/>
      </w:r>
    </w:p>
    <w:p>
      <w:pPr>
        <w:pStyle w:val="Heading1"/>
        <w:spacing w:after="120" w:before="240"/>
      </w:pPr>
      <w:r>
        <w:rPr>
          <w:b/>
          <w:bCs/>
          <w:color w:val="1F3864"/>
          <w:sz w:val="32"/>
          <w:szCs w:val="32"/>
        </w:rPr>
        <w:t xml:space="preserve">Historial de Versiones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0"/>
        <w:gridCol w:w="1500"/>
        <w:gridCol w:w="5700"/>
      </w:tblGrid>
      <w:tr>
        <w:trPr>
          <w:tblHeader/>
        </w:trPr>
        <w:tc>
          <w:tcPr>
            <w:tcW w:type="dxa" w:w="700"/>
            <w:shd w:fill="1F3864" w:val="clear"/>
          </w:tcPr>
          <w:p>
            <w:pPr>
              <w:jc w:val="center"/>
            </w:pPr>
            <w:r>
              <w:rPr>
                <w:b/>
                <w:bCs/>
                <w:color w:val="FFFFFF"/>
                <w:sz w:val="18"/>
                <w:szCs w:val="18"/>
              </w:rPr>
              <w:t xml:space="preserve">Versión</w:t>
            </w:r>
          </w:p>
        </w:tc>
        <w:tc>
          <w:tcPr>
            <w:tcW w:type="dxa" w:w="900"/>
            <w:shd w:fill="1F3864" w:val="clear"/>
          </w:tcPr>
          <w:p>
            <w:pPr>
              <w:jc w:val="center"/>
            </w:pPr>
            <w:r>
              <w:rPr>
                <w:b/>
                <w:bCs/>
                <w:color w:val="FFFFFF"/>
                <w:sz w:val="18"/>
                <w:szCs w:val="18"/>
              </w:rPr>
              <w:t xml:space="preserve">Fecha</w:t>
            </w:r>
          </w:p>
        </w:tc>
        <w:tc>
          <w:tcPr>
            <w:tcW w:type="dxa" w:w="1500"/>
            <w:shd w:fill="1F3864" w:val="clear"/>
          </w:tcPr>
          <w:p>
            <w:pPr>
              <w:jc w:val="center"/>
            </w:pPr>
            <w:r>
              <w:rPr>
                <w:b/>
                <w:bCs/>
                <w:color w:val="FFFFFF"/>
                <w:sz w:val="18"/>
                <w:szCs w:val="18"/>
              </w:rPr>
              <w:t xml:space="preserve">Autor</w:t>
            </w:r>
          </w:p>
        </w:tc>
        <w:tc>
          <w:tcPr>
            <w:tcW w:type="dxa" w:w="5700"/>
            <w:shd w:fill="1F3864" w:val="clear"/>
          </w:tcPr>
          <w:p>
            <w:pPr>
              <w:jc w:val="center"/>
            </w:pPr>
            <w:r>
              <w:rPr>
                <w:b/>
                <w:bCs/>
                <w:color w:val="FFFFFF"/>
                <w:sz w:val="18"/>
                <w:szCs w:val="18"/>
              </w:rPr>
              <w:t xml:space="preserve">Descripción</w:t>
            </w:r>
          </w:p>
        </w:tc>
      </w:tr>
      <w:tr>
        <w:tc>
          <w:tcPr>
            <w:tcW w:type="dxa" w:w="700"/>
            <w:shd w:fill="FFFFFF" w:val="clear"/>
          </w:tcPr>
          <w:p>
            <w:pPr>
              <w:spacing w:after="40" w:before="40"/>
            </w:pPr>
            <w:r>
              <w:rPr>
                <w:sz w:val="18"/>
                <w:szCs w:val="18"/>
              </w:rPr>
              <w:t xml:space="preserve">1.0</w:t>
            </w:r>
          </w:p>
        </w:tc>
        <w:tc>
          <w:tcPr>
            <w:tcW w:type="dxa" w:w="900"/>
            <w:shd w:fill="FFFFFF" w:val="clear"/>
          </w:tcPr>
          <w:p>
            <w:pPr>
              <w:spacing w:after="40" w:before="40"/>
            </w:pPr>
            <w:r>
              <w:rPr>
                <w:sz w:val="18"/>
                <w:szCs w:val="18"/>
              </w:rPr>
              <w:t xml:space="preserve">Abr 2026</w:t>
            </w:r>
          </w:p>
        </w:tc>
        <w:tc>
          <w:tcPr>
            <w:tcW w:type="dxa" w:w="1500"/>
            <w:shd w:fill="FFFFFF" w:val="clear"/>
          </w:tcPr>
          <w:p>
            <w:pPr>
              <w:spacing w:after="40" w:before="40"/>
            </w:pPr>
            <w:r>
              <w:rPr>
                <w:sz w:val="18"/>
                <w:szCs w:val="18"/>
              </w:rPr>
              <w:t xml:space="preserve">Equipo AE</w:t>
            </w:r>
          </w:p>
        </w:tc>
        <w:tc>
          <w:tcPr>
            <w:tcW w:type="dxa" w:w="5700"/>
            <w:shd w:fill="FFFFFF" w:val="clear"/>
          </w:tcPr>
          <w:p>
            <w:pPr>
              <w:spacing w:after="40" w:before="40"/>
            </w:pPr>
            <w:r>
              <w:rPr>
                <w:sz w:val="18"/>
                <w:szCs w:val="18"/>
              </w:rPr>
              <w:t xml:space="preserve">Versión inicial completa para Fase B.</w:t>
            </w:r>
          </w:p>
        </w:tc>
      </w:tr>
      <w:tr>
        <w:tc>
          <w:tcPr>
            <w:tcW w:type="dxa" w:w="700"/>
            <w:shd w:fill="D6E4F7" w:val="clear"/>
          </w:tcPr>
          <w:p>
            <w:pPr>
              <w:spacing w:after="40" w:before="40"/>
            </w:pPr>
            <w:r>
              <w:rPr>
                <w:sz w:val="18"/>
                <w:szCs w:val="18"/>
              </w:rPr>
              <w:t xml:space="preserve">2.0</w:t>
            </w:r>
          </w:p>
        </w:tc>
        <w:tc>
          <w:tcPr>
            <w:tcW w:type="dxa" w:w="900"/>
            <w:shd w:fill="D6E4F7" w:val="clear"/>
          </w:tcPr>
          <w:p>
            <w:pPr>
              <w:spacing w:after="40" w:before="40"/>
            </w:pPr>
            <w:r>
              <w:rPr>
                <w:sz w:val="18"/>
                <w:szCs w:val="18"/>
              </w:rPr>
              <w:t xml:space="preserve">Abr 2026</w:t>
            </w:r>
          </w:p>
        </w:tc>
        <w:tc>
          <w:tcPr>
            <w:tcW w:type="dxa" w:w="1500"/>
            <w:shd w:fill="D6E4F7" w:val="clear"/>
          </w:tcPr>
          <w:p>
            <w:pPr>
              <w:spacing w:after="40" w:before="40"/>
            </w:pPr>
            <w:r>
              <w:rPr>
                <w:sz w:val="18"/>
                <w:szCs w:val="18"/>
              </w:rPr>
              <w:t xml:space="preserve">Grupo 3</w:t>
            </w:r>
          </w:p>
        </w:tc>
        <w:tc>
          <w:tcPr>
            <w:tcW w:type="dxa" w:w="5700"/>
            <w:shd w:fill="D6E4F7" w:val="clear"/>
          </w:tcPr>
          <w:p>
            <w:pPr>
              <w:spacing w:after="40" w:before="40"/>
            </w:pPr>
            <w:r>
              <w:rPr>
                <w:sz w:val="18"/>
                <w:szCs w:val="18"/>
              </w:rPr>
              <w:t xml:space="preserve">Corrección v2: criterios de aceptación enriquecidos con trazabilidad a los 15 principios; KPIs ampliados; contratos de servicio completados; portada tailorizada.</w:t>
            </w:r>
          </w:p>
        </w:tc>
      </w:tr>
    </w:tbl>
    <w:p>
      <w:r>
        <w:t xml:space="preserve"/>
      </w:r>
    </w:p>
    <w:p>
      <w:r>
        <w:br w:type="page"/>
      </w:r>
    </w:p>
    <w:p>
      <w:pPr>
        <w:pStyle w:val="Heading1"/>
        <w:spacing w:after="120" w:before="240"/>
      </w:pPr>
      <w:r>
        <w:rPr>
          <w:b/>
          <w:bCs/>
          <w:color w:val="1F3864"/>
          <w:sz w:val="32"/>
          <w:szCs w:val="32"/>
        </w:rPr>
        <w:t xml:space="preserve">1. Propósito del Documento</w:t>
      </w:r>
    </w:p>
    <w:p>
      <w:pPr>
        <w:spacing w:after="80" w:before="80"/>
        <w:jc w:val="both"/>
      </w:pPr>
      <w:r>
        <w:rPr>
          <w:sz w:val="22"/>
          <w:szCs w:val="22"/>
        </w:rPr>
        <w:t xml:space="preserve">La Especificación de Requisitos de Arquitectura proporciona un conjunto de enunciados cuantitativos que definen lo que todo proyecto de implementación debe cumplir para ser conforme con la arquitectura de negocio de la MML.</w:t>
      </w:r>
    </w:p>
    <w:p>
      <w:pPr>
        <w:spacing w:after="80" w:before="80"/>
        <w:jc w:val="both"/>
      </w:pPr>
      <w:r>
        <w:rPr>
          <w:sz w:val="22"/>
          <w:szCs w:val="22"/>
        </w:rPr>
        <w:t xml:space="preserve">Este documento es complementario al Documento de Definición de Arquitectura V2: mientras aquel ofrece una visión cualitativa de la solución, este aporta criterios medibles y trazables a las metas (MET-01 a MET-05), objetivos (OBJ-01 a OBJ-06), principios (BP01–BP04, DP01–DP04, AP01–AP04, TP01–TP03) y brechas identificadas en las Fases Preliminar V2 y A V2.</w:t>
      </w:r>
    </w:p>
    <w:p>
      <w:pPr>
        <w:pStyle w:val="Heading1"/>
        <w:spacing w:after="120" w:before="240"/>
      </w:pPr>
      <w:r>
        <w:rPr>
          <w:b/>
          <w:bCs/>
          <w:color w:val="1F3864"/>
          <w:sz w:val="32"/>
          <w:szCs w:val="32"/>
        </w:rPr>
        <w:t xml:space="preserve">2. Requisitos de Arquitectura</w:t>
      </w:r>
    </w:p>
    <w:p>
      <w:pPr>
        <w:pStyle w:val="Heading2"/>
        <w:spacing w:after="100" w:before="200"/>
      </w:pPr>
      <w:r>
        <w:rPr>
          <w:b/>
          <w:bCs/>
          <w:color w:val="2E74B5"/>
          <w:sz w:val="26"/>
          <w:szCs w:val="26"/>
        </w:rPr>
        <w:t xml:space="preserve">2.1. Requisitos funcionales y de negocio</w:t>
      </w:r>
    </w:p>
    <w:p>
      <w:pPr>
        <w:spacing w:after="80" w:before="80"/>
        <w:jc w:val="both"/>
      </w:pPr>
      <w:r>
        <w:rPr>
          <w:sz w:val="22"/>
          <w:szCs w:val="22"/>
        </w:rPr>
        <w:t xml:space="preserve">Cada requisito incluye criterio de aceptación medible, prioridad MoSCoW, trazabilidad a objetivos y principios:</w:t>
      </w:r>
    </w:p>
    <w:p>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500"/>
        <w:gridCol w:w="2500"/>
        <w:gridCol w:w="600"/>
        <w:gridCol w:w="700"/>
        <w:gridCol w:w="1100"/>
      </w:tblGrid>
      <w:tr>
        <w:trPr>
          <w:tblHeader/>
        </w:trPr>
        <w:tc>
          <w:tcPr>
            <w:tcW w:type="dxa" w:w="600"/>
            <w:shd w:fill="1F3864" w:val="clear"/>
          </w:tcPr>
          <w:p>
            <w:pPr>
              <w:jc w:val="center"/>
            </w:pPr>
            <w:r>
              <w:rPr>
                <w:b/>
                <w:bCs/>
                <w:color w:val="FFFFFF"/>
                <w:sz w:val="18"/>
                <w:szCs w:val="18"/>
              </w:rPr>
              <w:t xml:space="preserve">ID</w:t>
            </w:r>
          </w:p>
        </w:tc>
        <w:tc>
          <w:tcPr>
            <w:tcW w:type="dxa" w:w="2500"/>
            <w:shd w:fill="1F3864" w:val="clear"/>
          </w:tcPr>
          <w:p>
            <w:pPr>
              <w:jc w:val="center"/>
            </w:pPr>
            <w:r>
              <w:rPr>
                <w:b/>
                <w:bCs/>
                <w:color w:val="FFFFFF"/>
                <w:sz w:val="18"/>
                <w:szCs w:val="18"/>
              </w:rPr>
              <w:t xml:space="preserve">Requisito de arquitectura</w:t>
            </w:r>
          </w:p>
        </w:tc>
        <w:tc>
          <w:tcPr>
            <w:tcW w:type="dxa" w:w="2500"/>
            <w:shd w:fill="1F3864" w:val="clear"/>
          </w:tcPr>
          <w:p>
            <w:pPr>
              <w:jc w:val="center"/>
            </w:pPr>
            <w:r>
              <w:rPr>
                <w:b/>
                <w:bCs/>
                <w:color w:val="FFFFFF"/>
                <w:sz w:val="18"/>
                <w:szCs w:val="18"/>
              </w:rPr>
              <w:t xml:space="preserve">Criterio de aceptación (medible)</w:t>
            </w:r>
          </w:p>
        </w:tc>
        <w:tc>
          <w:tcPr>
            <w:tcW w:type="dxa" w:w="600"/>
            <w:shd w:fill="1F3864" w:val="clear"/>
          </w:tcPr>
          <w:p>
            <w:pPr>
              <w:jc w:val="center"/>
            </w:pPr>
            <w:r>
              <w:rPr>
                <w:b/>
                <w:bCs/>
                <w:color w:val="FFFFFF"/>
                <w:sz w:val="18"/>
                <w:szCs w:val="18"/>
              </w:rPr>
              <w:t xml:space="preserve">Prior.</w:t>
            </w:r>
          </w:p>
        </w:tc>
        <w:tc>
          <w:tcPr>
            <w:tcW w:type="dxa" w:w="700"/>
            <w:shd w:fill="1F3864" w:val="clear"/>
          </w:tcPr>
          <w:p>
            <w:pPr>
              <w:jc w:val="center"/>
            </w:pPr>
            <w:r>
              <w:rPr>
                <w:b/>
                <w:bCs/>
                <w:color w:val="FFFFFF"/>
                <w:sz w:val="18"/>
                <w:szCs w:val="18"/>
              </w:rPr>
              <w:t xml:space="preserve">Obj.</w:t>
            </w:r>
          </w:p>
        </w:tc>
        <w:tc>
          <w:tcPr>
            <w:tcW w:type="dxa" w:w="1100"/>
            <w:shd w:fill="1F3864" w:val="clear"/>
          </w:tcPr>
          <w:p>
            <w:pPr>
              <w:jc w:val="center"/>
            </w:pPr>
            <w:r>
              <w:rPr>
                <w:b/>
                <w:bCs/>
                <w:color w:val="FFFFFF"/>
                <w:sz w:val="18"/>
                <w:szCs w:val="18"/>
              </w:rPr>
              <w:t xml:space="preserve">Principio</w:t>
            </w:r>
          </w:p>
        </w:tc>
      </w:tr>
      <w:tr>
        <w:tc>
          <w:tcPr>
            <w:tcW w:type="dxa" w:w="600"/>
            <w:shd w:fill="FFFFFF" w:val="clear"/>
          </w:tcPr>
          <w:p>
            <w:pPr>
              <w:spacing w:after="40" w:before="40"/>
            </w:pPr>
            <w:r>
              <w:rPr>
                <w:sz w:val="18"/>
                <w:szCs w:val="18"/>
              </w:rPr>
              <w:t xml:space="preserve">RA-01</w:t>
            </w:r>
          </w:p>
        </w:tc>
        <w:tc>
          <w:tcPr>
            <w:tcW w:type="dxa" w:w="2500"/>
            <w:shd w:fill="FFFFFF" w:val="clear"/>
          </w:tcPr>
          <w:p>
            <w:pPr>
              <w:spacing w:after="40" w:before="40"/>
            </w:pPr>
            <w:r>
              <w:rPr>
                <w:sz w:val="18"/>
                <w:szCs w:val="18"/>
              </w:rPr>
              <w:t xml:space="preserve">Habilitar una mesa de partes virtual para la recepción de documentos.</w:t>
            </w:r>
          </w:p>
        </w:tc>
        <w:tc>
          <w:tcPr>
            <w:tcW w:type="dxa" w:w="2500"/>
            <w:shd w:fill="FFFFFF" w:val="clear"/>
          </w:tcPr>
          <w:p>
            <w:pPr>
              <w:spacing w:after="40" w:before="40"/>
            </w:pPr>
            <w:r>
              <w:rPr>
                <w:sz w:val="18"/>
                <w:szCs w:val="18"/>
              </w:rPr>
              <w:t xml:space="preserve">100 % de los trámites prioritarios admiten ingreso digital con cargo electrónico.</w:t>
            </w:r>
          </w:p>
        </w:tc>
        <w:tc>
          <w:tcPr>
            <w:tcW w:type="dxa" w:w="600"/>
            <w:shd w:fill="FFFFFF" w:val="clear"/>
          </w:tcPr>
          <w:p>
            <w:pPr>
              <w:spacing w:after="40" w:before="40"/>
            </w:pPr>
            <w:r>
              <w:rPr>
                <w:sz w:val="18"/>
                <w:szCs w:val="18"/>
              </w:rPr>
              <w:t xml:space="preserve">Must</w:t>
            </w:r>
          </w:p>
        </w:tc>
        <w:tc>
          <w:tcPr>
            <w:tcW w:type="dxa" w:w="700"/>
            <w:shd w:fill="FFFFFF" w:val="clear"/>
          </w:tcPr>
          <w:p>
            <w:pPr>
              <w:spacing w:after="40" w:before="40"/>
            </w:pPr>
            <w:r>
              <w:rPr>
                <w:sz w:val="18"/>
                <w:szCs w:val="18"/>
              </w:rPr>
              <w:t xml:space="preserve">OBJ-02</w:t>
            </w:r>
          </w:p>
        </w:tc>
        <w:tc>
          <w:tcPr>
            <w:tcW w:type="dxa" w:w="1100"/>
            <w:shd w:fill="FFFFFF" w:val="clear"/>
          </w:tcPr>
          <w:p>
            <w:pPr>
              <w:spacing w:after="40" w:before="40"/>
            </w:pPr>
            <w:r>
              <w:rPr>
                <w:sz w:val="18"/>
                <w:szCs w:val="18"/>
              </w:rPr>
              <w:t xml:space="preserve">AP02, AP03</w:t>
            </w:r>
          </w:p>
        </w:tc>
      </w:tr>
      <w:tr>
        <w:tc>
          <w:tcPr>
            <w:tcW w:type="dxa" w:w="600"/>
            <w:shd w:fill="D6E4F7" w:val="clear"/>
          </w:tcPr>
          <w:p>
            <w:pPr>
              <w:spacing w:after="40" w:before="40"/>
            </w:pPr>
            <w:r>
              <w:rPr>
                <w:sz w:val="18"/>
                <w:szCs w:val="18"/>
              </w:rPr>
              <w:t xml:space="preserve">RA-02</w:t>
            </w:r>
          </w:p>
        </w:tc>
        <w:tc>
          <w:tcPr>
            <w:tcW w:type="dxa" w:w="2500"/>
            <w:shd w:fill="D6E4F7" w:val="clear"/>
          </w:tcPr>
          <w:p>
            <w:pPr>
              <w:spacing w:after="40" w:before="40"/>
            </w:pPr>
            <w:r>
              <w:rPr>
                <w:sz w:val="18"/>
                <w:szCs w:val="18"/>
              </w:rPr>
              <w:t xml:space="preserve">Digitalizar los trámites ciudadanos prioritarios.</w:t>
            </w:r>
          </w:p>
        </w:tc>
        <w:tc>
          <w:tcPr>
            <w:tcW w:type="dxa" w:w="2500"/>
            <w:shd w:fill="D6E4F7" w:val="clear"/>
          </w:tcPr>
          <w:p>
            <w:pPr>
              <w:spacing w:after="40" w:before="40"/>
            </w:pPr>
            <w:r>
              <w:rPr>
                <w:sz w:val="18"/>
                <w:szCs w:val="18"/>
              </w:rPr>
              <w:t xml:space="preserve">≥ 70 % de trámites disponibles en canal digital en 24 meses.</w:t>
            </w:r>
          </w:p>
        </w:tc>
        <w:tc>
          <w:tcPr>
            <w:tcW w:type="dxa" w:w="600"/>
            <w:shd w:fill="D6E4F7" w:val="clear"/>
          </w:tcPr>
          <w:p>
            <w:pPr>
              <w:spacing w:after="40" w:before="40"/>
            </w:pPr>
            <w:r>
              <w:rPr>
                <w:sz w:val="18"/>
                <w:szCs w:val="18"/>
              </w:rPr>
              <w:t xml:space="preserve">Must</w:t>
            </w:r>
          </w:p>
        </w:tc>
        <w:tc>
          <w:tcPr>
            <w:tcW w:type="dxa" w:w="700"/>
            <w:shd w:fill="D6E4F7" w:val="clear"/>
          </w:tcPr>
          <w:p>
            <w:pPr>
              <w:spacing w:after="40" w:before="40"/>
            </w:pPr>
            <w:r>
              <w:rPr>
                <w:sz w:val="18"/>
                <w:szCs w:val="18"/>
              </w:rPr>
              <w:t xml:space="preserve">OBJ-01</w:t>
            </w:r>
          </w:p>
        </w:tc>
        <w:tc>
          <w:tcPr>
            <w:tcW w:type="dxa" w:w="1100"/>
            <w:shd w:fill="D6E4F7" w:val="clear"/>
          </w:tcPr>
          <w:p>
            <w:pPr>
              <w:spacing w:after="40" w:before="40"/>
            </w:pPr>
            <w:r>
              <w:rPr>
                <w:sz w:val="18"/>
                <w:szCs w:val="18"/>
              </w:rPr>
              <w:t xml:space="preserve">BP02, AP01</w:t>
            </w:r>
          </w:p>
        </w:tc>
      </w:tr>
      <w:tr>
        <w:tc>
          <w:tcPr>
            <w:tcW w:type="dxa" w:w="600"/>
            <w:shd w:fill="FFFFFF" w:val="clear"/>
          </w:tcPr>
          <w:p>
            <w:pPr>
              <w:spacing w:after="40" w:before="40"/>
            </w:pPr>
            <w:r>
              <w:rPr>
                <w:sz w:val="18"/>
                <w:szCs w:val="18"/>
              </w:rPr>
              <w:t xml:space="preserve">RA-03</w:t>
            </w:r>
          </w:p>
        </w:tc>
        <w:tc>
          <w:tcPr>
            <w:tcW w:type="dxa" w:w="2500"/>
            <w:shd w:fill="FFFFFF" w:val="clear"/>
          </w:tcPr>
          <w:p>
            <w:pPr>
              <w:spacing w:after="40" w:before="40"/>
            </w:pPr>
            <w:r>
              <w:rPr>
                <w:sz w:val="18"/>
                <w:szCs w:val="18"/>
              </w:rPr>
              <w:t xml:space="preserve">Ofrecer seguimiento de expedientes de extremo a extremo.</w:t>
            </w:r>
          </w:p>
        </w:tc>
        <w:tc>
          <w:tcPr>
            <w:tcW w:type="dxa" w:w="2500"/>
            <w:shd w:fill="FFFFFF" w:val="clear"/>
          </w:tcPr>
          <w:p>
            <w:pPr>
              <w:spacing w:after="40" w:before="40"/>
            </w:pPr>
            <w:r>
              <w:rPr>
                <w:sz w:val="18"/>
                <w:szCs w:val="18"/>
              </w:rPr>
              <w:t xml:space="preserve">100 % de expedientes con estado y responsable consultables en línea.</w:t>
            </w:r>
          </w:p>
        </w:tc>
        <w:tc>
          <w:tcPr>
            <w:tcW w:type="dxa" w:w="600"/>
            <w:shd w:fill="FFFFFF" w:val="clear"/>
          </w:tcPr>
          <w:p>
            <w:pPr>
              <w:spacing w:after="40" w:before="40"/>
            </w:pPr>
            <w:r>
              <w:rPr>
                <w:sz w:val="18"/>
                <w:szCs w:val="18"/>
              </w:rPr>
              <w:t xml:space="preserve">Must</w:t>
            </w:r>
          </w:p>
        </w:tc>
        <w:tc>
          <w:tcPr>
            <w:tcW w:type="dxa" w:w="700"/>
            <w:shd w:fill="FFFFFF" w:val="clear"/>
          </w:tcPr>
          <w:p>
            <w:pPr>
              <w:spacing w:after="40" w:before="40"/>
            </w:pPr>
            <w:r>
              <w:rPr>
                <w:sz w:val="18"/>
                <w:szCs w:val="18"/>
              </w:rPr>
              <w:t xml:space="preserve">OBJ-02</w:t>
            </w:r>
          </w:p>
        </w:tc>
        <w:tc>
          <w:tcPr>
            <w:tcW w:type="dxa" w:w="1100"/>
            <w:shd w:fill="FFFFFF" w:val="clear"/>
          </w:tcPr>
          <w:p>
            <w:pPr>
              <w:spacing w:after="40" w:before="40"/>
            </w:pPr>
            <w:r>
              <w:rPr>
                <w:sz w:val="18"/>
                <w:szCs w:val="18"/>
              </w:rPr>
              <w:t xml:space="preserve">BP04</w:t>
            </w:r>
          </w:p>
        </w:tc>
      </w:tr>
      <w:tr>
        <w:tc>
          <w:tcPr>
            <w:tcW w:type="dxa" w:w="600"/>
            <w:shd w:fill="D6E4F7" w:val="clear"/>
          </w:tcPr>
          <w:p>
            <w:pPr>
              <w:spacing w:after="40" w:before="40"/>
            </w:pPr>
            <w:r>
              <w:rPr>
                <w:sz w:val="18"/>
                <w:szCs w:val="18"/>
              </w:rPr>
              <w:t xml:space="preserve">RA-04</w:t>
            </w:r>
          </w:p>
        </w:tc>
        <w:tc>
          <w:tcPr>
            <w:tcW w:type="dxa" w:w="2500"/>
            <w:shd w:fill="D6E4F7" w:val="clear"/>
          </w:tcPr>
          <w:p>
            <w:pPr>
              <w:spacing w:after="40" w:before="40"/>
            </w:pPr>
            <w:r>
              <w:rPr>
                <w:sz w:val="18"/>
                <w:szCs w:val="18"/>
              </w:rPr>
              <w:t xml:space="preserve">Permitir el pago en línea de arbitrios y tasas.</w:t>
            </w:r>
          </w:p>
        </w:tc>
        <w:tc>
          <w:tcPr>
            <w:tcW w:type="dxa" w:w="2500"/>
            <w:shd w:fill="D6E4F7" w:val="clear"/>
          </w:tcPr>
          <w:p>
            <w:pPr>
              <w:spacing w:after="40" w:before="40"/>
            </w:pPr>
            <w:r>
              <w:rPr>
                <w:sz w:val="18"/>
                <w:szCs w:val="18"/>
              </w:rPr>
              <w:t xml:space="preserve">Pago digital disponible y conciliación automática en ≤ 24 h.</w:t>
            </w:r>
          </w:p>
        </w:tc>
        <w:tc>
          <w:tcPr>
            <w:tcW w:type="dxa" w:w="600"/>
            <w:shd w:fill="D6E4F7" w:val="clear"/>
          </w:tcPr>
          <w:p>
            <w:pPr>
              <w:spacing w:after="40" w:before="40"/>
            </w:pPr>
            <w:r>
              <w:rPr>
                <w:sz w:val="18"/>
                <w:szCs w:val="18"/>
              </w:rPr>
              <w:t xml:space="preserve">Must</w:t>
            </w:r>
          </w:p>
        </w:tc>
        <w:tc>
          <w:tcPr>
            <w:tcW w:type="dxa" w:w="700"/>
            <w:shd w:fill="D6E4F7" w:val="clear"/>
          </w:tcPr>
          <w:p>
            <w:pPr>
              <w:spacing w:after="40" w:before="40"/>
            </w:pPr>
            <w:r>
              <w:rPr>
                <w:sz w:val="18"/>
                <w:szCs w:val="18"/>
              </w:rPr>
              <w:t xml:space="preserve">OBJ-05</w:t>
            </w:r>
          </w:p>
        </w:tc>
        <w:tc>
          <w:tcPr>
            <w:tcW w:type="dxa" w:w="1100"/>
            <w:shd w:fill="D6E4F7" w:val="clear"/>
          </w:tcPr>
          <w:p>
            <w:pPr>
              <w:spacing w:after="40" w:before="40"/>
            </w:pPr>
            <w:r>
              <w:rPr>
                <w:sz w:val="18"/>
                <w:szCs w:val="18"/>
              </w:rPr>
              <w:t xml:space="preserve">AP03, BP02</w:t>
            </w:r>
          </w:p>
        </w:tc>
      </w:tr>
      <w:tr>
        <w:tc>
          <w:tcPr>
            <w:tcW w:type="dxa" w:w="600"/>
            <w:shd w:fill="FFFFFF" w:val="clear"/>
          </w:tcPr>
          <w:p>
            <w:pPr>
              <w:spacing w:after="40" w:before="40"/>
            </w:pPr>
            <w:r>
              <w:rPr>
                <w:sz w:val="18"/>
                <w:szCs w:val="18"/>
              </w:rPr>
              <w:t xml:space="preserve">RA-05</w:t>
            </w:r>
          </w:p>
        </w:tc>
        <w:tc>
          <w:tcPr>
            <w:tcW w:type="dxa" w:w="2500"/>
            <w:shd w:fill="FFFFFF" w:val="clear"/>
          </w:tcPr>
          <w:p>
            <w:pPr>
              <w:spacing w:after="40" w:before="40"/>
            </w:pPr>
            <w:r>
              <w:rPr>
                <w:sz w:val="18"/>
                <w:szCs w:val="18"/>
              </w:rPr>
              <w:t xml:space="preserve">Reducir el tiempo promedio de atención de trámites prioritarios.</w:t>
            </w:r>
          </w:p>
        </w:tc>
        <w:tc>
          <w:tcPr>
            <w:tcW w:type="dxa" w:w="2500"/>
            <w:shd w:fill="FFFFFF" w:val="clear"/>
          </w:tcPr>
          <w:p>
            <w:pPr>
              <w:spacing w:after="40" w:before="40"/>
            </w:pPr>
            <w:r>
              <w:rPr>
                <w:sz w:val="18"/>
                <w:szCs w:val="18"/>
              </w:rPr>
              <w:t xml:space="preserve">Reducción ≥ 40 % respecto de la línea base.</w:t>
            </w:r>
          </w:p>
        </w:tc>
        <w:tc>
          <w:tcPr>
            <w:tcW w:type="dxa" w:w="600"/>
            <w:shd w:fill="FFFFFF" w:val="clear"/>
          </w:tcPr>
          <w:p>
            <w:pPr>
              <w:spacing w:after="40" w:before="40"/>
            </w:pPr>
            <w:r>
              <w:rPr>
                <w:sz w:val="18"/>
                <w:szCs w:val="18"/>
              </w:rPr>
              <w:t xml:space="preserve">Should</w:t>
            </w:r>
          </w:p>
        </w:tc>
        <w:tc>
          <w:tcPr>
            <w:tcW w:type="dxa" w:w="700"/>
            <w:shd w:fill="FFFFFF" w:val="clear"/>
          </w:tcPr>
          <w:p>
            <w:pPr>
              <w:spacing w:after="40" w:before="40"/>
            </w:pPr>
            <w:r>
              <w:rPr>
                <w:sz w:val="18"/>
                <w:szCs w:val="18"/>
              </w:rPr>
              <w:t xml:space="preserve">OBJ-05</w:t>
            </w:r>
          </w:p>
        </w:tc>
        <w:tc>
          <w:tcPr>
            <w:tcW w:type="dxa" w:w="1100"/>
            <w:shd w:fill="FFFFFF" w:val="clear"/>
          </w:tcPr>
          <w:p>
            <w:pPr>
              <w:spacing w:after="40" w:before="40"/>
            </w:pPr>
            <w:r>
              <w:rPr>
                <w:sz w:val="18"/>
                <w:szCs w:val="18"/>
              </w:rPr>
              <w:t xml:space="preserve">BP02, BP03</w:t>
            </w:r>
          </w:p>
        </w:tc>
      </w:tr>
      <w:tr>
        <w:tc>
          <w:tcPr>
            <w:tcW w:type="dxa" w:w="600"/>
            <w:shd w:fill="D6E4F7" w:val="clear"/>
          </w:tcPr>
          <w:p>
            <w:pPr>
              <w:spacing w:after="40" w:before="40"/>
            </w:pPr>
            <w:r>
              <w:rPr>
                <w:sz w:val="18"/>
                <w:szCs w:val="18"/>
              </w:rPr>
              <w:t xml:space="preserve">RA-06</w:t>
            </w:r>
          </w:p>
        </w:tc>
        <w:tc>
          <w:tcPr>
            <w:tcW w:type="dxa" w:w="2500"/>
            <w:shd w:fill="D6E4F7" w:val="clear"/>
          </w:tcPr>
          <w:p>
            <w:pPr>
              <w:spacing w:after="40" w:before="40"/>
            </w:pPr>
            <w:r>
              <w:rPr>
                <w:sz w:val="18"/>
                <w:szCs w:val="18"/>
              </w:rPr>
              <w:t xml:space="preserve">Establecer un registro único del ciudadano.</w:t>
            </w:r>
          </w:p>
        </w:tc>
        <w:tc>
          <w:tcPr>
            <w:tcW w:type="dxa" w:w="2500"/>
            <w:shd w:fill="D6E4F7" w:val="clear"/>
          </w:tcPr>
          <w:p>
            <w:pPr>
              <w:spacing w:after="40" w:before="40"/>
            </w:pPr>
            <w:r>
              <w:rPr>
                <w:sz w:val="18"/>
                <w:szCs w:val="18"/>
              </w:rPr>
              <w:t xml:space="preserve">Un único identificador por ciudadano usado por todos los procesos en alcance.</w:t>
            </w:r>
          </w:p>
        </w:tc>
        <w:tc>
          <w:tcPr>
            <w:tcW w:type="dxa" w:w="600"/>
            <w:shd w:fill="D6E4F7" w:val="clear"/>
          </w:tcPr>
          <w:p>
            <w:pPr>
              <w:spacing w:after="40" w:before="40"/>
            </w:pPr>
            <w:r>
              <w:rPr>
                <w:sz w:val="18"/>
                <w:szCs w:val="18"/>
              </w:rPr>
              <w:t xml:space="preserve">Must</w:t>
            </w:r>
          </w:p>
        </w:tc>
        <w:tc>
          <w:tcPr>
            <w:tcW w:type="dxa" w:w="700"/>
            <w:shd w:fill="D6E4F7" w:val="clear"/>
          </w:tcPr>
          <w:p>
            <w:pPr>
              <w:spacing w:after="40" w:before="40"/>
            </w:pPr>
            <w:r>
              <w:rPr>
                <w:sz w:val="18"/>
                <w:szCs w:val="18"/>
              </w:rPr>
              <w:t xml:space="preserve">OBJ-04</w:t>
            </w:r>
          </w:p>
        </w:tc>
        <w:tc>
          <w:tcPr>
            <w:tcW w:type="dxa" w:w="1100"/>
            <w:shd w:fill="D6E4F7" w:val="clear"/>
          </w:tcPr>
          <w:p>
            <w:pPr>
              <w:spacing w:after="40" w:before="40"/>
            </w:pPr>
            <w:r>
              <w:rPr>
                <w:sz w:val="18"/>
                <w:szCs w:val="18"/>
              </w:rPr>
              <w:t xml:space="preserve">DP01, DP02</w:t>
            </w:r>
          </w:p>
        </w:tc>
      </w:tr>
      <w:tr>
        <w:tc>
          <w:tcPr>
            <w:tcW w:type="dxa" w:w="600"/>
            <w:shd w:fill="FFFFFF" w:val="clear"/>
          </w:tcPr>
          <w:p>
            <w:pPr>
              <w:spacing w:after="40" w:before="40"/>
            </w:pPr>
            <w:r>
              <w:rPr>
                <w:sz w:val="18"/>
                <w:szCs w:val="18"/>
              </w:rPr>
              <w:t xml:space="preserve">RA-07</w:t>
            </w:r>
          </w:p>
        </w:tc>
        <w:tc>
          <w:tcPr>
            <w:tcW w:type="dxa" w:w="2500"/>
            <w:shd w:fill="FFFFFF" w:val="clear"/>
          </w:tcPr>
          <w:p>
            <w:pPr>
              <w:spacing w:after="40" w:before="40"/>
            </w:pPr>
            <w:r>
              <w:rPr>
                <w:sz w:val="18"/>
                <w:szCs w:val="18"/>
              </w:rPr>
              <w:t xml:space="preserve">Notificar electrónicamente al ciudadano los avances del trámite.</w:t>
            </w:r>
          </w:p>
        </w:tc>
        <w:tc>
          <w:tcPr>
            <w:tcW w:type="dxa" w:w="2500"/>
            <w:shd w:fill="FFFFFF" w:val="clear"/>
          </w:tcPr>
          <w:p>
            <w:pPr>
              <w:spacing w:after="40" w:before="40"/>
            </w:pPr>
            <w:r>
              <w:rPr>
                <w:sz w:val="18"/>
                <w:szCs w:val="18"/>
              </w:rPr>
              <w:t xml:space="preserve">100 % de cambios de estado generan notificación electrónica (trazable).</w:t>
            </w:r>
          </w:p>
        </w:tc>
        <w:tc>
          <w:tcPr>
            <w:tcW w:type="dxa" w:w="600"/>
            <w:shd w:fill="FFFFFF" w:val="clear"/>
          </w:tcPr>
          <w:p>
            <w:pPr>
              <w:spacing w:after="40" w:before="40"/>
            </w:pPr>
            <w:r>
              <w:rPr>
                <w:sz w:val="18"/>
                <w:szCs w:val="18"/>
              </w:rPr>
              <w:t xml:space="preserve">Should</w:t>
            </w:r>
          </w:p>
        </w:tc>
        <w:tc>
          <w:tcPr>
            <w:tcW w:type="dxa" w:w="700"/>
            <w:shd w:fill="FFFFFF" w:val="clear"/>
          </w:tcPr>
          <w:p>
            <w:pPr>
              <w:spacing w:after="40" w:before="40"/>
            </w:pPr>
            <w:r>
              <w:rPr>
                <w:sz w:val="18"/>
                <w:szCs w:val="18"/>
              </w:rPr>
              <w:t xml:space="preserve">OBJ-02</w:t>
            </w:r>
          </w:p>
        </w:tc>
        <w:tc>
          <w:tcPr>
            <w:tcW w:type="dxa" w:w="1100"/>
            <w:shd w:fill="FFFFFF" w:val="clear"/>
          </w:tcPr>
          <w:p>
            <w:pPr>
              <w:spacing w:after="40" w:before="40"/>
            </w:pPr>
            <w:r>
              <w:rPr>
                <w:sz w:val="18"/>
                <w:szCs w:val="18"/>
              </w:rPr>
              <w:t xml:space="preserve">BP04, AP03</w:t>
            </w:r>
          </w:p>
        </w:tc>
      </w:tr>
      <w:tr>
        <w:tc>
          <w:tcPr>
            <w:tcW w:type="dxa" w:w="600"/>
            <w:shd w:fill="D6E4F7" w:val="clear"/>
          </w:tcPr>
          <w:p>
            <w:pPr>
              <w:spacing w:after="40" w:before="40"/>
            </w:pPr>
            <w:r>
              <w:rPr>
                <w:sz w:val="18"/>
                <w:szCs w:val="18"/>
              </w:rPr>
              <w:t xml:space="preserve">RA-08</w:t>
            </w:r>
          </w:p>
        </w:tc>
        <w:tc>
          <w:tcPr>
            <w:tcW w:type="dxa" w:w="2500"/>
            <w:shd w:fill="D6E4F7" w:val="clear"/>
          </w:tcPr>
          <w:p>
            <w:pPr>
              <w:spacing w:after="40" w:before="40"/>
            </w:pPr>
            <w:r>
              <w:rPr>
                <w:sz w:val="18"/>
                <w:szCs w:val="18"/>
              </w:rPr>
              <w:t xml:space="preserve">Gestionar reclamos con acuerdos de nivel de servicio (SLA).</w:t>
            </w:r>
          </w:p>
        </w:tc>
        <w:tc>
          <w:tcPr>
            <w:tcW w:type="dxa" w:w="2500"/>
            <w:shd w:fill="D6E4F7" w:val="clear"/>
          </w:tcPr>
          <w:p>
            <w:pPr>
              <w:spacing w:after="40" w:before="40"/>
            </w:pPr>
            <w:r>
              <w:rPr>
                <w:sz w:val="18"/>
                <w:szCs w:val="18"/>
              </w:rPr>
              <w:t xml:space="preserve">100 % de reclamos con plazo definido y alerta automática por vencimiento.</w:t>
            </w:r>
          </w:p>
        </w:tc>
        <w:tc>
          <w:tcPr>
            <w:tcW w:type="dxa" w:w="600"/>
            <w:shd w:fill="D6E4F7" w:val="clear"/>
          </w:tcPr>
          <w:p>
            <w:pPr>
              <w:spacing w:after="40" w:before="40"/>
            </w:pPr>
            <w:r>
              <w:rPr>
                <w:sz w:val="18"/>
                <w:szCs w:val="18"/>
              </w:rPr>
              <w:t xml:space="preserve">Should</w:t>
            </w:r>
          </w:p>
        </w:tc>
        <w:tc>
          <w:tcPr>
            <w:tcW w:type="dxa" w:w="700"/>
            <w:shd w:fill="D6E4F7" w:val="clear"/>
          </w:tcPr>
          <w:p>
            <w:pPr>
              <w:spacing w:after="40" w:before="40"/>
            </w:pPr>
            <w:r>
              <w:rPr>
                <w:sz w:val="18"/>
                <w:szCs w:val="18"/>
              </w:rPr>
              <w:t xml:space="preserve">OBJ-01</w:t>
            </w:r>
          </w:p>
        </w:tc>
        <w:tc>
          <w:tcPr>
            <w:tcW w:type="dxa" w:w="1100"/>
            <w:shd w:fill="D6E4F7" w:val="clear"/>
          </w:tcPr>
          <w:p>
            <w:pPr>
              <w:spacing w:after="40" w:before="40"/>
            </w:pPr>
            <w:r>
              <w:rPr>
                <w:sz w:val="18"/>
                <w:szCs w:val="18"/>
              </w:rPr>
              <w:t xml:space="preserve">BP02, BP03</w:t>
            </w:r>
          </w:p>
        </w:tc>
      </w:tr>
      <w:tr>
        <w:tc>
          <w:tcPr>
            <w:tcW w:type="dxa" w:w="600"/>
            <w:shd w:fill="FFFFFF" w:val="clear"/>
          </w:tcPr>
          <w:p>
            <w:pPr>
              <w:spacing w:after="40" w:before="40"/>
            </w:pPr>
            <w:r>
              <w:rPr>
                <w:sz w:val="18"/>
                <w:szCs w:val="18"/>
              </w:rPr>
              <w:t xml:space="preserve">RA-09</w:t>
            </w:r>
          </w:p>
        </w:tc>
        <w:tc>
          <w:tcPr>
            <w:tcW w:type="dxa" w:w="2500"/>
            <w:shd w:fill="FFFFFF" w:val="clear"/>
          </w:tcPr>
          <w:p>
            <w:pPr>
              <w:spacing w:after="40" w:before="40"/>
            </w:pPr>
            <w:r>
              <w:rPr>
                <w:sz w:val="18"/>
                <w:szCs w:val="18"/>
              </w:rPr>
              <w:t xml:space="preserve">Integrar fiscalización con la información tributaria.</w:t>
            </w:r>
          </w:p>
        </w:tc>
        <w:tc>
          <w:tcPr>
            <w:tcW w:type="dxa" w:w="2500"/>
            <w:shd w:fill="FFFFFF" w:val="clear"/>
          </w:tcPr>
          <w:p>
            <w:pPr>
              <w:spacing w:after="40" w:before="40"/>
            </w:pPr>
            <w:r>
              <w:rPr>
                <w:sz w:val="18"/>
                <w:szCs w:val="18"/>
              </w:rPr>
              <w:t xml:space="preserve">Actas digitales vinculadas al registro del contribuyente (trazabilidad cruzada).</w:t>
            </w:r>
          </w:p>
        </w:tc>
        <w:tc>
          <w:tcPr>
            <w:tcW w:type="dxa" w:w="600"/>
            <w:shd w:fill="FFFFFF" w:val="clear"/>
          </w:tcPr>
          <w:p>
            <w:pPr>
              <w:spacing w:after="40" w:before="40"/>
            </w:pPr>
            <w:r>
              <w:rPr>
                <w:sz w:val="18"/>
                <w:szCs w:val="18"/>
              </w:rPr>
              <w:t xml:space="preserve">Could</w:t>
            </w:r>
          </w:p>
        </w:tc>
        <w:tc>
          <w:tcPr>
            <w:tcW w:type="dxa" w:w="700"/>
            <w:shd w:fill="FFFFFF" w:val="clear"/>
          </w:tcPr>
          <w:p>
            <w:pPr>
              <w:spacing w:after="40" w:before="40"/>
            </w:pPr>
            <w:r>
              <w:rPr>
                <w:sz w:val="18"/>
                <w:szCs w:val="18"/>
              </w:rPr>
              <w:t xml:space="preserve">OBJ-03</w:t>
            </w:r>
          </w:p>
        </w:tc>
        <w:tc>
          <w:tcPr>
            <w:tcW w:type="dxa" w:w="1100"/>
            <w:shd w:fill="FFFFFF" w:val="clear"/>
          </w:tcPr>
          <w:p>
            <w:pPr>
              <w:spacing w:after="40" w:before="40"/>
            </w:pPr>
            <w:r>
              <w:rPr>
                <w:sz w:val="18"/>
                <w:szCs w:val="18"/>
              </w:rPr>
              <w:t xml:space="preserve">DP04, AP04</w:t>
            </w:r>
          </w:p>
        </w:tc>
      </w:tr>
      <w:tr>
        <w:tc>
          <w:tcPr>
            <w:tcW w:type="dxa" w:w="600"/>
            <w:shd w:fill="D6E4F7" w:val="clear"/>
          </w:tcPr>
          <w:p>
            <w:pPr>
              <w:spacing w:after="40" w:before="40"/>
            </w:pPr>
            <w:r>
              <w:rPr>
                <w:sz w:val="18"/>
                <w:szCs w:val="18"/>
              </w:rPr>
              <w:t xml:space="preserve">RA-10</w:t>
            </w:r>
          </w:p>
        </w:tc>
        <w:tc>
          <w:tcPr>
            <w:tcW w:type="dxa" w:w="2500"/>
            <w:shd w:fill="D6E4F7" w:val="clear"/>
          </w:tcPr>
          <w:p>
            <w:pPr>
              <w:spacing w:after="40" w:before="40"/>
            </w:pPr>
            <w:r>
              <w:rPr>
                <w:sz w:val="18"/>
                <w:szCs w:val="18"/>
              </w:rPr>
              <w:t xml:space="preserve">Garantizar trazabilidad y registro de auditoría de los procesos.</w:t>
            </w:r>
          </w:p>
        </w:tc>
        <w:tc>
          <w:tcPr>
            <w:tcW w:type="dxa" w:w="2500"/>
            <w:shd w:fill="D6E4F7" w:val="clear"/>
          </w:tcPr>
          <w:p>
            <w:pPr>
              <w:spacing w:after="40" w:before="40"/>
            </w:pPr>
            <w:r>
              <w:rPr>
                <w:sz w:val="18"/>
                <w:szCs w:val="18"/>
              </w:rPr>
              <w:t xml:space="preserve">100 % de acciones críticas registradas con usuario, fecha y hora.</w:t>
            </w:r>
          </w:p>
        </w:tc>
        <w:tc>
          <w:tcPr>
            <w:tcW w:type="dxa" w:w="600"/>
            <w:shd w:fill="D6E4F7" w:val="clear"/>
          </w:tcPr>
          <w:p>
            <w:pPr>
              <w:spacing w:after="40" w:before="40"/>
            </w:pPr>
            <w:r>
              <w:rPr>
                <w:sz w:val="18"/>
                <w:szCs w:val="18"/>
              </w:rPr>
              <w:t xml:space="preserve">Must</w:t>
            </w:r>
          </w:p>
        </w:tc>
        <w:tc>
          <w:tcPr>
            <w:tcW w:type="dxa" w:w="700"/>
            <w:shd w:fill="D6E4F7" w:val="clear"/>
          </w:tcPr>
          <w:p>
            <w:pPr>
              <w:spacing w:after="40" w:before="40"/>
            </w:pPr>
            <w:r>
              <w:rPr>
                <w:sz w:val="18"/>
                <w:szCs w:val="18"/>
              </w:rPr>
              <w:t xml:space="preserve">OBJ-06</w:t>
            </w:r>
          </w:p>
        </w:tc>
        <w:tc>
          <w:tcPr>
            <w:tcW w:type="dxa" w:w="1100"/>
            <w:shd w:fill="D6E4F7" w:val="clear"/>
          </w:tcPr>
          <w:p>
            <w:pPr>
              <w:spacing w:after="40" w:before="40"/>
            </w:pPr>
            <w:r>
              <w:rPr>
                <w:sz w:val="18"/>
                <w:szCs w:val="18"/>
              </w:rPr>
              <w:t xml:space="preserve">BP04, DP03</w:t>
            </w:r>
          </w:p>
        </w:tc>
      </w:tr>
      <w:tr>
        <w:tc>
          <w:tcPr>
            <w:tcW w:type="dxa" w:w="600"/>
            <w:shd w:fill="FFFFFF" w:val="clear"/>
          </w:tcPr>
          <w:p>
            <w:pPr>
              <w:spacing w:after="40" w:before="40"/>
            </w:pPr>
            <w:r>
              <w:rPr>
                <w:sz w:val="18"/>
                <w:szCs w:val="18"/>
              </w:rPr>
              <w:t xml:space="preserve">RA-11</w:t>
            </w:r>
          </w:p>
        </w:tc>
        <w:tc>
          <w:tcPr>
            <w:tcW w:type="dxa" w:w="2500"/>
            <w:shd w:fill="FFFFFF" w:val="clear"/>
          </w:tcPr>
          <w:p>
            <w:pPr>
              <w:spacing w:after="40" w:before="40"/>
            </w:pPr>
            <w:r>
              <w:rPr>
                <w:sz w:val="18"/>
                <w:szCs w:val="18"/>
              </w:rPr>
              <w:t xml:space="preserve">Proteger los datos personales por diseño desde el primer incremento.</w:t>
            </w:r>
          </w:p>
        </w:tc>
        <w:tc>
          <w:tcPr>
            <w:tcW w:type="dxa" w:w="2500"/>
            <w:shd w:fill="FFFFFF" w:val="clear"/>
          </w:tcPr>
          <w:p>
            <w:pPr>
              <w:spacing w:after="40" w:before="40"/>
            </w:pPr>
            <w:r>
              <w:rPr>
                <w:sz w:val="18"/>
                <w:szCs w:val="18"/>
              </w:rPr>
              <w:t xml:space="preserve">Conformidad verificada con Ley N° 29733 e ISO/IEC 27001 antes del paso a producción.</w:t>
            </w:r>
          </w:p>
        </w:tc>
        <w:tc>
          <w:tcPr>
            <w:tcW w:type="dxa" w:w="600"/>
            <w:shd w:fill="FFFFFF" w:val="clear"/>
          </w:tcPr>
          <w:p>
            <w:pPr>
              <w:spacing w:after="40" w:before="40"/>
            </w:pPr>
            <w:r>
              <w:rPr>
                <w:sz w:val="18"/>
                <w:szCs w:val="18"/>
              </w:rPr>
              <w:t xml:space="preserve">Must</w:t>
            </w:r>
          </w:p>
        </w:tc>
        <w:tc>
          <w:tcPr>
            <w:tcW w:type="dxa" w:w="700"/>
            <w:shd w:fill="FFFFFF" w:val="clear"/>
          </w:tcPr>
          <w:p>
            <w:pPr>
              <w:spacing w:after="40" w:before="40"/>
            </w:pPr>
            <w:r>
              <w:rPr>
                <w:sz w:val="18"/>
                <w:szCs w:val="18"/>
              </w:rPr>
              <w:t xml:space="preserve">OBJ-06</w:t>
            </w:r>
          </w:p>
        </w:tc>
        <w:tc>
          <w:tcPr>
            <w:tcW w:type="dxa" w:w="1100"/>
            <w:shd w:fill="FFFFFF" w:val="clear"/>
          </w:tcPr>
          <w:p>
            <w:pPr>
              <w:spacing w:after="40" w:before="40"/>
            </w:pPr>
            <w:r>
              <w:rPr>
                <w:sz w:val="18"/>
                <w:szCs w:val="18"/>
              </w:rPr>
              <w:t xml:space="preserve">DP03, TP02</w:t>
            </w:r>
          </w:p>
        </w:tc>
      </w:tr>
      <w:tr>
        <w:tc>
          <w:tcPr>
            <w:tcW w:type="dxa" w:w="600"/>
            <w:shd w:fill="D6E4F7" w:val="clear"/>
          </w:tcPr>
          <w:p>
            <w:pPr>
              <w:spacing w:after="40" w:before="40"/>
            </w:pPr>
            <w:r>
              <w:rPr>
                <w:sz w:val="18"/>
                <w:szCs w:val="18"/>
              </w:rPr>
              <w:t xml:space="preserve">RA-12</w:t>
            </w:r>
          </w:p>
        </w:tc>
        <w:tc>
          <w:tcPr>
            <w:tcW w:type="dxa" w:w="2500"/>
            <w:shd w:fill="D6E4F7" w:val="clear"/>
          </w:tcPr>
          <w:p>
            <w:pPr>
              <w:spacing w:after="40" w:before="40"/>
            </w:pPr>
            <w:r>
              <w:rPr>
                <w:sz w:val="18"/>
                <w:szCs w:val="18"/>
              </w:rPr>
              <w:t xml:space="preserve">Gestionar la calidad de los datos institucionales.</w:t>
            </w:r>
          </w:p>
        </w:tc>
        <w:tc>
          <w:tcPr>
            <w:tcW w:type="dxa" w:w="2500"/>
            <w:shd w:fill="D6E4F7" w:val="clear"/>
          </w:tcPr>
          <w:p>
            <w:pPr>
              <w:spacing w:after="40" w:before="40"/>
            </w:pPr>
            <w:r>
              <w:rPr>
                <w:sz w:val="18"/>
                <w:szCs w:val="18"/>
              </w:rPr>
              <w:t xml:space="preserve">≥ 95 % de registros sin inconsistencias o duplicados en 18 meses.</w:t>
            </w:r>
          </w:p>
        </w:tc>
        <w:tc>
          <w:tcPr>
            <w:tcW w:type="dxa" w:w="600"/>
            <w:shd w:fill="D6E4F7" w:val="clear"/>
          </w:tcPr>
          <w:p>
            <w:pPr>
              <w:spacing w:after="40" w:before="40"/>
            </w:pPr>
            <w:r>
              <w:rPr>
                <w:sz w:val="18"/>
                <w:szCs w:val="18"/>
              </w:rPr>
              <w:t xml:space="preserve">Should</w:t>
            </w:r>
          </w:p>
        </w:tc>
        <w:tc>
          <w:tcPr>
            <w:tcW w:type="dxa" w:w="700"/>
            <w:shd w:fill="D6E4F7" w:val="clear"/>
          </w:tcPr>
          <w:p>
            <w:pPr>
              <w:spacing w:after="40" w:before="40"/>
            </w:pPr>
            <w:r>
              <w:rPr>
                <w:sz w:val="18"/>
                <w:szCs w:val="18"/>
              </w:rPr>
              <w:t xml:space="preserve">OBJ-04</w:t>
            </w:r>
          </w:p>
        </w:tc>
        <w:tc>
          <w:tcPr>
            <w:tcW w:type="dxa" w:w="1100"/>
            <w:shd w:fill="D6E4F7" w:val="clear"/>
          </w:tcPr>
          <w:p>
            <w:pPr>
              <w:spacing w:after="40" w:before="40"/>
            </w:pPr>
            <w:r>
              <w:rPr>
                <w:sz w:val="18"/>
                <w:szCs w:val="18"/>
              </w:rPr>
              <w:t xml:space="preserve">DP01, DP02</w:t>
            </w:r>
          </w:p>
        </w:tc>
      </w:tr>
    </w:tbl>
    <w:p>
      <w:r>
        <w:t xml:space="preserve"/>
      </w:r>
    </w:p>
    <w:p>
      <w:pPr>
        <w:pStyle w:val="Heading2"/>
        <w:spacing w:after="100" w:before="200"/>
      </w:pPr>
      <w:r>
        <w:rPr>
          <w:b/>
          <w:bCs/>
          <w:color w:val="2E74B5"/>
          <w:sz w:val="26"/>
          <w:szCs w:val="26"/>
        </w:rPr>
        <w:t xml:space="preserve">2.2. Requisitos de interoperabilidad</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800"/>
        <w:gridCol w:w="2800"/>
        <w:gridCol w:w="1700"/>
      </w:tblGrid>
      <w:tr>
        <w:trPr>
          <w:tblHeader/>
        </w:trPr>
        <w:tc>
          <w:tcPr>
            <w:tcW w:type="dxa" w:w="600"/>
            <w:shd w:fill="1F3864" w:val="clear"/>
          </w:tcPr>
          <w:p>
            <w:pPr>
              <w:jc w:val="center"/>
            </w:pPr>
            <w:r>
              <w:rPr>
                <w:b/>
                <w:bCs/>
                <w:color w:val="FFFFFF"/>
                <w:sz w:val="18"/>
                <w:szCs w:val="18"/>
              </w:rPr>
              <w:t xml:space="preserve">ID</w:t>
            </w:r>
          </w:p>
        </w:tc>
        <w:tc>
          <w:tcPr>
            <w:tcW w:type="dxa" w:w="2800"/>
            <w:shd w:fill="1F3864" w:val="clear"/>
          </w:tcPr>
          <w:p>
            <w:pPr>
              <w:jc w:val="center"/>
            </w:pPr>
            <w:r>
              <w:rPr>
                <w:b/>
                <w:bCs/>
                <w:color w:val="FFFFFF"/>
                <w:sz w:val="18"/>
                <w:szCs w:val="18"/>
              </w:rPr>
              <w:t xml:space="preserve">Requisito de interoperabilidad</w:t>
            </w:r>
          </w:p>
        </w:tc>
        <w:tc>
          <w:tcPr>
            <w:tcW w:type="dxa" w:w="2800"/>
            <w:shd w:fill="1F3864" w:val="clear"/>
          </w:tcPr>
          <w:p>
            <w:pPr>
              <w:jc w:val="center"/>
            </w:pPr>
            <w:r>
              <w:rPr>
                <w:b/>
                <w:bCs/>
                <w:color w:val="FFFFFF"/>
                <w:sz w:val="18"/>
                <w:szCs w:val="18"/>
              </w:rPr>
              <w:t xml:space="preserve">Criterio de aceptación</w:t>
            </w:r>
          </w:p>
        </w:tc>
        <w:tc>
          <w:tcPr>
            <w:tcW w:type="dxa" w:w="1700"/>
            <w:shd w:fill="1F3864" w:val="clear"/>
          </w:tcPr>
          <w:p>
            <w:pPr>
              <w:jc w:val="center"/>
            </w:pPr>
            <w:r>
              <w:rPr>
                <w:b/>
                <w:bCs/>
                <w:color w:val="FFFFFF"/>
                <w:sz w:val="18"/>
                <w:szCs w:val="18"/>
              </w:rPr>
              <w:t xml:space="preserve">Principio</w:t>
            </w:r>
          </w:p>
        </w:tc>
      </w:tr>
      <w:tr>
        <w:tc>
          <w:tcPr>
            <w:tcW w:type="dxa" w:w="600"/>
            <w:shd w:fill="FFFFFF" w:val="clear"/>
          </w:tcPr>
          <w:p>
            <w:pPr>
              <w:spacing w:after="40" w:before="40"/>
            </w:pPr>
            <w:r>
              <w:rPr>
                <w:sz w:val="18"/>
                <w:szCs w:val="18"/>
              </w:rPr>
              <w:t xml:space="preserve">RI-01</w:t>
            </w:r>
          </w:p>
        </w:tc>
        <w:tc>
          <w:tcPr>
            <w:tcW w:type="dxa" w:w="2800"/>
            <w:shd w:fill="FFFFFF" w:val="clear"/>
          </w:tcPr>
          <w:p>
            <w:pPr>
              <w:spacing w:after="40" w:before="40"/>
            </w:pPr>
            <w:r>
              <w:rPr>
                <w:sz w:val="18"/>
                <w:szCs w:val="18"/>
              </w:rPr>
              <w:t xml:space="preserve">Integración con la PIDE (Plataforma de Interoperabilidad del Estado).</w:t>
            </w:r>
          </w:p>
        </w:tc>
        <w:tc>
          <w:tcPr>
            <w:tcW w:type="dxa" w:w="2800"/>
            <w:shd w:fill="FFFFFF" w:val="clear"/>
          </w:tcPr>
          <w:p>
            <w:pPr>
              <w:spacing w:after="40" w:before="40"/>
            </w:pPr>
            <w:r>
              <w:rPr>
                <w:sz w:val="18"/>
                <w:szCs w:val="18"/>
              </w:rPr>
              <w:t xml:space="preserve">Los servicios en alcance intercambian datos vía PIDE conforme a la SGTD–PCM.</w:t>
            </w:r>
          </w:p>
        </w:tc>
        <w:tc>
          <w:tcPr>
            <w:tcW w:type="dxa" w:w="1700"/>
            <w:shd w:fill="FFFFFF" w:val="clear"/>
          </w:tcPr>
          <w:p>
            <w:pPr>
              <w:spacing w:after="40" w:before="40"/>
            </w:pPr>
            <w:r>
              <w:rPr>
                <w:sz w:val="18"/>
                <w:szCs w:val="18"/>
              </w:rPr>
              <w:t xml:space="preserve">AP04, DP04</w:t>
            </w:r>
          </w:p>
        </w:tc>
      </w:tr>
      <w:tr>
        <w:tc>
          <w:tcPr>
            <w:tcW w:type="dxa" w:w="600"/>
            <w:shd w:fill="D6E4F7" w:val="clear"/>
          </w:tcPr>
          <w:p>
            <w:pPr>
              <w:spacing w:after="40" w:before="40"/>
            </w:pPr>
            <w:r>
              <w:rPr>
                <w:sz w:val="18"/>
                <w:szCs w:val="18"/>
              </w:rPr>
              <w:t xml:space="preserve">RI-02</w:t>
            </w:r>
          </w:p>
        </w:tc>
        <w:tc>
          <w:tcPr>
            <w:tcW w:type="dxa" w:w="2800"/>
            <w:shd w:fill="D6E4F7" w:val="clear"/>
          </w:tcPr>
          <w:p>
            <w:pPr>
              <w:spacing w:after="40" w:before="40"/>
            </w:pPr>
            <w:r>
              <w:rPr>
                <w:sz w:val="18"/>
                <w:szCs w:val="18"/>
              </w:rPr>
              <w:t xml:space="preserve">Validación de identidad con RENIEC.</w:t>
            </w:r>
          </w:p>
        </w:tc>
        <w:tc>
          <w:tcPr>
            <w:tcW w:type="dxa" w:w="2800"/>
            <w:shd w:fill="D6E4F7" w:val="clear"/>
          </w:tcPr>
          <w:p>
            <w:pPr>
              <w:spacing w:after="40" w:before="40"/>
            </w:pPr>
            <w:r>
              <w:rPr>
                <w:sz w:val="18"/>
                <w:szCs w:val="18"/>
              </w:rPr>
              <w:t xml:space="preserve">La autenticación del ciudadano se valida contra RENIEC en línea.</w:t>
            </w:r>
          </w:p>
        </w:tc>
        <w:tc>
          <w:tcPr>
            <w:tcW w:type="dxa" w:w="1700"/>
            <w:shd w:fill="D6E4F7" w:val="clear"/>
          </w:tcPr>
          <w:p>
            <w:pPr>
              <w:spacing w:after="40" w:before="40"/>
            </w:pPr>
            <w:r>
              <w:rPr>
                <w:sz w:val="18"/>
                <w:szCs w:val="18"/>
              </w:rPr>
              <w:t xml:space="preserve">AP04, DP01</w:t>
            </w:r>
          </w:p>
        </w:tc>
      </w:tr>
      <w:tr>
        <w:tc>
          <w:tcPr>
            <w:tcW w:type="dxa" w:w="600"/>
            <w:shd w:fill="FFFFFF" w:val="clear"/>
          </w:tcPr>
          <w:p>
            <w:pPr>
              <w:spacing w:after="40" w:before="40"/>
            </w:pPr>
            <w:r>
              <w:rPr>
                <w:sz w:val="18"/>
                <w:szCs w:val="18"/>
              </w:rPr>
              <w:t xml:space="preserve">RI-03</w:t>
            </w:r>
          </w:p>
        </w:tc>
        <w:tc>
          <w:tcPr>
            <w:tcW w:type="dxa" w:w="2800"/>
            <w:shd w:fill="FFFFFF" w:val="clear"/>
          </w:tcPr>
          <w:p>
            <w:pPr>
              <w:spacing w:after="40" w:before="40"/>
            </w:pPr>
            <w:r>
              <w:rPr>
                <w:sz w:val="18"/>
                <w:szCs w:val="18"/>
              </w:rPr>
              <w:t xml:space="preserve">Integración con la pasarela de pagos del Estado / Gob.pe.</w:t>
            </w:r>
          </w:p>
        </w:tc>
        <w:tc>
          <w:tcPr>
            <w:tcW w:type="dxa" w:w="2800"/>
            <w:shd w:fill="FFFFFF" w:val="clear"/>
          </w:tcPr>
          <w:p>
            <w:pPr>
              <w:spacing w:after="40" w:before="40"/>
            </w:pPr>
            <w:r>
              <w:rPr>
                <w:sz w:val="18"/>
                <w:szCs w:val="18"/>
              </w:rPr>
              <w:t xml:space="preserve">Los pagos digitales se procesan por el servicio estatal habilitado.</w:t>
            </w:r>
          </w:p>
        </w:tc>
        <w:tc>
          <w:tcPr>
            <w:tcW w:type="dxa" w:w="1700"/>
            <w:shd w:fill="FFFFFF" w:val="clear"/>
          </w:tcPr>
          <w:p>
            <w:pPr>
              <w:spacing w:after="40" w:before="40"/>
            </w:pPr>
            <w:r>
              <w:rPr>
                <w:sz w:val="18"/>
                <w:szCs w:val="18"/>
              </w:rPr>
              <w:t xml:space="preserve">AP03, AP04</w:t>
            </w:r>
          </w:p>
        </w:tc>
      </w:tr>
      <w:tr>
        <w:tc>
          <w:tcPr>
            <w:tcW w:type="dxa" w:w="600"/>
            <w:shd w:fill="D6E4F7" w:val="clear"/>
          </w:tcPr>
          <w:p>
            <w:pPr>
              <w:spacing w:after="40" w:before="40"/>
            </w:pPr>
            <w:r>
              <w:rPr>
                <w:sz w:val="18"/>
                <w:szCs w:val="18"/>
              </w:rPr>
              <w:t xml:space="preserve">RI-04</w:t>
            </w:r>
          </w:p>
        </w:tc>
        <w:tc>
          <w:tcPr>
            <w:tcW w:type="dxa" w:w="2800"/>
            <w:shd w:fill="D6E4F7" w:val="clear"/>
          </w:tcPr>
          <w:p>
            <w:pPr>
              <w:spacing w:after="40" w:before="40"/>
            </w:pPr>
            <w:r>
              <w:rPr>
                <w:sz w:val="18"/>
                <w:szCs w:val="18"/>
              </w:rPr>
              <w:t xml:space="preserve">Uso de firma digital del Estado.</w:t>
            </w:r>
          </w:p>
        </w:tc>
        <w:tc>
          <w:tcPr>
            <w:tcW w:type="dxa" w:w="2800"/>
            <w:shd w:fill="D6E4F7" w:val="clear"/>
          </w:tcPr>
          <w:p>
            <w:pPr>
              <w:spacing w:after="40" w:before="40"/>
            </w:pPr>
            <w:r>
              <w:rPr>
                <w:sz w:val="18"/>
                <w:szCs w:val="18"/>
              </w:rPr>
              <w:t xml:space="preserve">Las resoluciones y certificados se emiten con firma digital válida.</w:t>
            </w:r>
          </w:p>
        </w:tc>
        <w:tc>
          <w:tcPr>
            <w:tcW w:type="dxa" w:w="1700"/>
            <w:shd w:fill="D6E4F7" w:val="clear"/>
          </w:tcPr>
          <w:p>
            <w:pPr>
              <w:spacing w:after="40" w:before="40"/>
            </w:pPr>
            <w:r>
              <w:rPr>
                <w:sz w:val="18"/>
                <w:szCs w:val="18"/>
              </w:rPr>
              <w:t xml:space="preserve">BP04, TP02</w:t>
            </w:r>
          </w:p>
        </w:tc>
      </w:tr>
      <w:tr>
        <w:tc>
          <w:tcPr>
            <w:tcW w:type="dxa" w:w="600"/>
            <w:shd w:fill="FFFFFF" w:val="clear"/>
          </w:tcPr>
          <w:p>
            <w:pPr>
              <w:spacing w:after="40" w:before="40"/>
            </w:pPr>
            <w:r>
              <w:rPr>
                <w:sz w:val="18"/>
                <w:szCs w:val="18"/>
              </w:rPr>
              <w:t xml:space="preserve">RI-05</w:t>
            </w:r>
          </w:p>
        </w:tc>
        <w:tc>
          <w:tcPr>
            <w:tcW w:type="dxa" w:w="2800"/>
            <w:shd w:fill="FFFFFF" w:val="clear"/>
          </w:tcPr>
          <w:p>
            <w:pPr>
              <w:spacing w:after="40" w:before="40"/>
            </w:pPr>
            <w:r>
              <w:rPr>
                <w:sz w:val="18"/>
                <w:szCs w:val="18"/>
              </w:rPr>
              <w:t xml:space="preserve">Exposición de servicios internos como APIs documentadas.</w:t>
            </w:r>
          </w:p>
        </w:tc>
        <w:tc>
          <w:tcPr>
            <w:tcW w:type="dxa" w:w="2800"/>
            <w:shd w:fill="FFFFFF" w:val="clear"/>
          </w:tcPr>
          <w:p>
            <w:pPr>
              <w:spacing w:after="40" w:before="40"/>
            </w:pPr>
            <w:r>
              <w:rPr>
                <w:sz w:val="18"/>
                <w:szCs w:val="18"/>
              </w:rPr>
              <w:t xml:space="preserve">Los sistemas en alcance publican/consumen servicios mediante APIs REST/OpenAPI.</w:t>
            </w:r>
          </w:p>
        </w:tc>
        <w:tc>
          <w:tcPr>
            <w:tcW w:type="dxa" w:w="1700"/>
            <w:shd w:fill="FFFFFF" w:val="clear"/>
          </w:tcPr>
          <w:p>
            <w:pPr>
              <w:spacing w:after="40" w:before="40"/>
            </w:pPr>
            <w:r>
              <w:rPr>
                <w:sz w:val="18"/>
                <w:szCs w:val="18"/>
              </w:rPr>
              <w:t xml:space="preserve">AP03, AP04, DP04</w:t>
            </w:r>
          </w:p>
        </w:tc>
      </w:tr>
      <w:tr>
        <w:tc>
          <w:tcPr>
            <w:tcW w:type="dxa" w:w="600"/>
            <w:shd w:fill="D6E4F7" w:val="clear"/>
          </w:tcPr>
          <w:p>
            <w:pPr>
              <w:spacing w:after="40" w:before="40"/>
            </w:pPr>
            <w:r>
              <w:rPr>
                <w:sz w:val="18"/>
                <w:szCs w:val="18"/>
              </w:rPr>
              <w:t xml:space="preserve">RI-06</w:t>
            </w:r>
          </w:p>
        </w:tc>
        <w:tc>
          <w:tcPr>
            <w:tcW w:type="dxa" w:w="2800"/>
            <w:shd w:fill="D6E4F7" w:val="clear"/>
          </w:tcPr>
          <w:p>
            <w:pPr>
              <w:spacing w:after="40" w:before="40"/>
            </w:pPr>
            <w:r>
              <w:rPr>
                <w:sz w:val="18"/>
                <w:szCs w:val="18"/>
              </w:rPr>
              <w:t xml:space="preserve">Estándares de modelado comunes.</w:t>
            </w:r>
          </w:p>
        </w:tc>
        <w:tc>
          <w:tcPr>
            <w:tcW w:type="dxa" w:w="2800"/>
            <w:shd w:fill="D6E4F7" w:val="clear"/>
          </w:tcPr>
          <w:p>
            <w:pPr>
              <w:spacing w:after="40" w:before="40"/>
            </w:pPr>
            <w:r>
              <w:rPr>
                <w:sz w:val="18"/>
                <w:szCs w:val="18"/>
              </w:rPr>
              <w:t xml:space="preserve">Arquitectura modelada en ArchiMate 3.1; procesos en BPMN 2.0.</w:t>
            </w:r>
          </w:p>
        </w:tc>
        <w:tc>
          <w:tcPr>
            <w:tcW w:type="dxa" w:w="1700"/>
            <w:shd w:fill="D6E4F7" w:val="clear"/>
          </w:tcPr>
          <w:p>
            <w:pPr>
              <w:spacing w:after="40" w:before="40"/>
            </w:pPr>
            <w:r>
              <w:rPr>
                <w:sz w:val="18"/>
                <w:szCs w:val="18"/>
              </w:rPr>
              <w:t xml:space="preserve">DP04, AP01</w:t>
            </w:r>
          </w:p>
        </w:tc>
      </w:tr>
    </w:tbl>
    <w:p>
      <w:r>
        <w:t xml:space="preserve"/>
      </w:r>
    </w:p>
    <w:p>
      <w:pPr>
        <w:pStyle w:val="Heading2"/>
        <w:spacing w:after="100" w:before="200"/>
      </w:pPr>
      <w:r>
        <w:rPr>
          <w:b/>
          <w:bCs/>
          <w:color w:val="2E74B5"/>
          <w:sz w:val="26"/>
          <w:szCs w:val="26"/>
        </w:rPr>
        <w:t xml:space="preserve">2.3. Restricciones</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800"/>
        <w:gridCol w:w="1200"/>
        <w:gridCol w:w="2300"/>
      </w:tblGrid>
      <w:tr>
        <w:trPr>
          <w:tblHeader/>
        </w:trPr>
        <w:tc>
          <w:tcPr>
            <w:tcW w:type="dxa" w:w="600"/>
            <w:shd w:fill="1F3864" w:val="clear"/>
          </w:tcPr>
          <w:p>
            <w:pPr>
              <w:jc w:val="center"/>
            </w:pPr>
            <w:r>
              <w:rPr>
                <w:b/>
                <w:bCs/>
                <w:color w:val="FFFFFF"/>
                <w:sz w:val="18"/>
                <w:szCs w:val="18"/>
              </w:rPr>
              <w:t xml:space="preserve">ID</w:t>
            </w:r>
          </w:p>
        </w:tc>
        <w:tc>
          <w:tcPr>
            <w:tcW w:type="dxa" w:w="3800"/>
            <w:shd w:fill="1F3864" w:val="clear"/>
          </w:tcPr>
          <w:p>
            <w:pPr>
              <w:jc w:val="center"/>
            </w:pPr>
            <w:r>
              <w:rPr>
                <w:b/>
                <w:bCs/>
                <w:color w:val="FFFFFF"/>
                <w:sz w:val="18"/>
                <w:szCs w:val="18"/>
              </w:rPr>
              <w:t xml:space="preserve">Restricción</w:t>
            </w:r>
          </w:p>
        </w:tc>
        <w:tc>
          <w:tcPr>
            <w:tcW w:type="dxa" w:w="1200"/>
            <w:shd w:fill="1F3864" w:val="clear"/>
          </w:tcPr>
          <w:p>
            <w:pPr>
              <w:jc w:val="center"/>
            </w:pPr>
            <w:r>
              <w:rPr>
                <w:b/>
                <w:bCs/>
                <w:color w:val="FFFFFF"/>
                <w:sz w:val="18"/>
                <w:szCs w:val="18"/>
              </w:rPr>
              <w:t xml:space="preserve">Tipo</w:t>
            </w:r>
          </w:p>
        </w:tc>
        <w:tc>
          <w:tcPr>
            <w:tcW w:type="dxa" w:w="2300"/>
            <w:shd w:fill="1F3864" w:val="clear"/>
          </w:tcPr>
          <w:p>
            <w:pPr>
              <w:jc w:val="center"/>
            </w:pPr>
            <w:r>
              <w:rPr>
                <w:b/>
                <w:bCs/>
                <w:color w:val="FFFFFF"/>
                <w:sz w:val="18"/>
                <w:szCs w:val="18"/>
              </w:rPr>
              <w:t xml:space="preserve">Principio relacionado</w:t>
            </w:r>
          </w:p>
        </w:tc>
      </w:tr>
      <w:tr>
        <w:tc>
          <w:tcPr>
            <w:tcW w:type="dxa" w:w="600"/>
            <w:shd w:fill="FFFFFF" w:val="clear"/>
          </w:tcPr>
          <w:p>
            <w:pPr>
              <w:spacing w:after="40" w:before="40"/>
            </w:pPr>
            <w:r>
              <w:rPr>
                <w:sz w:val="18"/>
                <w:szCs w:val="18"/>
              </w:rPr>
              <w:t xml:space="preserve">RC-01</w:t>
            </w:r>
          </w:p>
        </w:tc>
        <w:tc>
          <w:tcPr>
            <w:tcW w:type="dxa" w:w="3800"/>
            <w:shd w:fill="FFFFFF" w:val="clear"/>
          </w:tcPr>
          <w:p>
            <w:pPr>
              <w:spacing w:after="40" w:before="40"/>
            </w:pPr>
            <w:r>
              <w:rPr>
                <w:sz w:val="18"/>
                <w:szCs w:val="18"/>
              </w:rPr>
              <w:t xml:space="preserve">Presupuesto público limitado y sujeto a aprobación anual.</w:t>
            </w:r>
          </w:p>
        </w:tc>
        <w:tc>
          <w:tcPr>
            <w:tcW w:type="dxa" w:w="1200"/>
            <w:shd w:fill="FFFFFF" w:val="clear"/>
          </w:tcPr>
          <w:p>
            <w:pPr>
              <w:spacing w:after="40" w:before="40"/>
            </w:pPr>
            <w:r>
              <w:rPr>
                <w:sz w:val="18"/>
                <w:szCs w:val="18"/>
              </w:rPr>
              <w:t xml:space="preserve">Económica</w:t>
            </w:r>
          </w:p>
        </w:tc>
        <w:tc>
          <w:tcPr>
            <w:tcW w:type="dxa" w:w="2300"/>
            <w:shd w:fill="FFFFFF" w:val="clear"/>
          </w:tcPr>
          <w:p>
            <w:pPr>
              <w:spacing w:after="40" w:before="40"/>
            </w:pPr>
            <w:r>
              <w:rPr>
                <w:sz w:val="18"/>
                <w:szCs w:val="18"/>
              </w:rPr>
              <w:t xml:space="preserve">BP03</w:t>
            </w:r>
          </w:p>
        </w:tc>
      </w:tr>
      <w:tr>
        <w:tc>
          <w:tcPr>
            <w:tcW w:type="dxa" w:w="600"/>
            <w:shd w:fill="D6E4F7" w:val="clear"/>
          </w:tcPr>
          <w:p>
            <w:pPr>
              <w:spacing w:after="40" w:before="40"/>
            </w:pPr>
            <w:r>
              <w:rPr>
                <w:sz w:val="18"/>
                <w:szCs w:val="18"/>
              </w:rPr>
              <w:t xml:space="preserve">RC-02</w:t>
            </w:r>
          </w:p>
        </w:tc>
        <w:tc>
          <w:tcPr>
            <w:tcW w:type="dxa" w:w="3800"/>
            <w:shd w:fill="D6E4F7" w:val="clear"/>
          </w:tcPr>
          <w:p>
            <w:pPr>
              <w:spacing w:after="40" w:before="40"/>
            </w:pPr>
            <w:r>
              <w:rPr>
                <w:sz w:val="18"/>
                <w:szCs w:val="18"/>
              </w:rPr>
              <w:t xml:space="preserve">Cumplimiento obligatorio del D. L. N° 1412 y D. S. N° 029-2021-PCM.</w:t>
            </w:r>
          </w:p>
        </w:tc>
        <w:tc>
          <w:tcPr>
            <w:tcW w:type="dxa" w:w="1200"/>
            <w:shd w:fill="D6E4F7" w:val="clear"/>
          </w:tcPr>
          <w:p>
            <w:pPr>
              <w:spacing w:after="40" w:before="40"/>
            </w:pPr>
            <w:r>
              <w:rPr>
                <w:sz w:val="18"/>
                <w:szCs w:val="18"/>
              </w:rPr>
              <w:t xml:space="preserve">Normativa</w:t>
            </w:r>
          </w:p>
        </w:tc>
        <w:tc>
          <w:tcPr>
            <w:tcW w:type="dxa" w:w="2300"/>
            <w:shd w:fill="D6E4F7" w:val="clear"/>
          </w:tcPr>
          <w:p>
            <w:pPr>
              <w:spacing w:after="40" w:before="40"/>
            </w:pPr>
            <w:r>
              <w:rPr>
                <w:sz w:val="18"/>
                <w:szCs w:val="18"/>
              </w:rPr>
              <w:t xml:space="preserve">BP01</w:t>
            </w:r>
          </w:p>
        </w:tc>
      </w:tr>
      <w:tr>
        <w:tc>
          <w:tcPr>
            <w:tcW w:type="dxa" w:w="600"/>
            <w:shd w:fill="FFFFFF" w:val="clear"/>
          </w:tcPr>
          <w:p>
            <w:pPr>
              <w:spacing w:after="40" w:before="40"/>
            </w:pPr>
            <w:r>
              <w:rPr>
                <w:sz w:val="18"/>
                <w:szCs w:val="18"/>
              </w:rPr>
              <w:t xml:space="preserve">RC-03</w:t>
            </w:r>
          </w:p>
        </w:tc>
        <w:tc>
          <w:tcPr>
            <w:tcW w:type="dxa" w:w="3800"/>
            <w:shd w:fill="FFFFFF" w:val="clear"/>
          </w:tcPr>
          <w:p>
            <w:pPr>
              <w:spacing w:after="40" w:before="40"/>
            </w:pPr>
            <w:r>
              <w:rPr>
                <w:sz w:val="18"/>
                <w:szCs w:val="18"/>
              </w:rPr>
              <w:t xml:space="preserve">Protección de datos personales conforme a la Ley N° 29733.</w:t>
            </w:r>
          </w:p>
        </w:tc>
        <w:tc>
          <w:tcPr>
            <w:tcW w:type="dxa" w:w="1200"/>
            <w:shd w:fill="FFFFFF" w:val="clear"/>
          </w:tcPr>
          <w:p>
            <w:pPr>
              <w:spacing w:after="40" w:before="40"/>
            </w:pPr>
            <w:r>
              <w:rPr>
                <w:sz w:val="18"/>
                <w:szCs w:val="18"/>
              </w:rPr>
              <w:t xml:space="preserve">Normativa</w:t>
            </w:r>
          </w:p>
        </w:tc>
        <w:tc>
          <w:tcPr>
            <w:tcW w:type="dxa" w:w="2300"/>
            <w:shd w:fill="FFFFFF" w:val="clear"/>
          </w:tcPr>
          <w:p>
            <w:pPr>
              <w:spacing w:after="40" w:before="40"/>
            </w:pPr>
            <w:r>
              <w:rPr>
                <w:sz w:val="18"/>
                <w:szCs w:val="18"/>
              </w:rPr>
              <w:t xml:space="preserve">DP03, TP02</w:t>
            </w:r>
          </w:p>
        </w:tc>
      </w:tr>
      <w:tr>
        <w:tc>
          <w:tcPr>
            <w:tcW w:type="dxa" w:w="600"/>
            <w:shd w:fill="D6E4F7" w:val="clear"/>
          </w:tcPr>
          <w:p>
            <w:pPr>
              <w:spacing w:after="40" w:before="40"/>
            </w:pPr>
            <w:r>
              <w:rPr>
                <w:sz w:val="18"/>
                <w:szCs w:val="18"/>
              </w:rPr>
              <w:t xml:space="preserve">RC-04</w:t>
            </w:r>
          </w:p>
        </w:tc>
        <w:tc>
          <w:tcPr>
            <w:tcW w:type="dxa" w:w="3800"/>
            <w:shd w:fill="D6E4F7" w:val="clear"/>
          </w:tcPr>
          <w:p>
            <w:pPr>
              <w:spacing w:after="40" w:before="40"/>
            </w:pPr>
            <w:r>
              <w:rPr>
                <w:sz w:val="18"/>
                <w:szCs w:val="18"/>
              </w:rPr>
              <w:t xml:space="preserve">Integración técnica obligatoria con la PIDE.</w:t>
            </w:r>
          </w:p>
        </w:tc>
        <w:tc>
          <w:tcPr>
            <w:tcW w:type="dxa" w:w="1200"/>
            <w:shd w:fill="D6E4F7" w:val="clear"/>
          </w:tcPr>
          <w:p>
            <w:pPr>
              <w:spacing w:after="40" w:before="40"/>
            </w:pPr>
            <w:r>
              <w:rPr>
                <w:sz w:val="18"/>
                <w:szCs w:val="18"/>
              </w:rPr>
              <w:t xml:space="preserve">Técnica</w:t>
            </w:r>
          </w:p>
        </w:tc>
        <w:tc>
          <w:tcPr>
            <w:tcW w:type="dxa" w:w="2300"/>
            <w:shd w:fill="D6E4F7" w:val="clear"/>
          </w:tcPr>
          <w:p>
            <w:pPr>
              <w:spacing w:after="40" w:before="40"/>
            </w:pPr>
            <w:r>
              <w:rPr>
                <w:sz w:val="18"/>
                <w:szCs w:val="18"/>
              </w:rPr>
              <w:t xml:space="preserve">AP04, DP04</w:t>
            </w:r>
          </w:p>
        </w:tc>
      </w:tr>
      <w:tr>
        <w:tc>
          <w:tcPr>
            <w:tcW w:type="dxa" w:w="600"/>
            <w:shd w:fill="FFFFFF" w:val="clear"/>
          </w:tcPr>
          <w:p>
            <w:pPr>
              <w:spacing w:after="40" w:before="40"/>
            </w:pPr>
            <w:r>
              <w:rPr>
                <w:sz w:val="18"/>
                <w:szCs w:val="18"/>
              </w:rPr>
              <w:t xml:space="preserve">RC-05</w:t>
            </w:r>
          </w:p>
        </w:tc>
        <w:tc>
          <w:tcPr>
            <w:tcW w:type="dxa" w:w="3800"/>
            <w:shd w:fill="FFFFFF" w:val="clear"/>
          </w:tcPr>
          <w:p>
            <w:pPr>
              <w:spacing w:after="40" w:before="40"/>
            </w:pPr>
            <w:r>
              <w:rPr>
                <w:sz w:val="18"/>
                <w:szCs w:val="18"/>
              </w:rPr>
              <w:t xml:space="preserve">Sistemas heredados poco documentados.</w:t>
            </w:r>
          </w:p>
        </w:tc>
        <w:tc>
          <w:tcPr>
            <w:tcW w:type="dxa" w:w="1200"/>
            <w:shd w:fill="FFFFFF" w:val="clear"/>
          </w:tcPr>
          <w:p>
            <w:pPr>
              <w:spacing w:after="40" w:before="40"/>
            </w:pPr>
            <w:r>
              <w:rPr>
                <w:sz w:val="18"/>
                <w:szCs w:val="18"/>
              </w:rPr>
              <w:t xml:space="preserve">Tecnológica</w:t>
            </w:r>
          </w:p>
        </w:tc>
        <w:tc>
          <w:tcPr>
            <w:tcW w:type="dxa" w:w="2300"/>
            <w:shd w:fill="FFFFFF" w:val="clear"/>
          </w:tcPr>
          <w:p>
            <w:pPr>
              <w:spacing w:after="40" w:before="40"/>
            </w:pPr>
            <w:r>
              <w:rPr>
                <w:sz w:val="18"/>
                <w:szCs w:val="18"/>
              </w:rPr>
              <w:t xml:space="preserve">AP03</w:t>
            </w:r>
          </w:p>
        </w:tc>
      </w:tr>
      <w:tr>
        <w:tc>
          <w:tcPr>
            <w:tcW w:type="dxa" w:w="600"/>
            <w:shd w:fill="D6E4F7" w:val="clear"/>
          </w:tcPr>
          <w:p>
            <w:pPr>
              <w:spacing w:after="40" w:before="40"/>
            </w:pPr>
            <w:r>
              <w:rPr>
                <w:sz w:val="18"/>
                <w:szCs w:val="18"/>
              </w:rPr>
              <w:t xml:space="preserve">RC-06</w:t>
            </w:r>
          </w:p>
        </w:tc>
        <w:tc>
          <w:tcPr>
            <w:tcW w:type="dxa" w:w="3800"/>
            <w:shd w:fill="D6E4F7" w:val="clear"/>
          </w:tcPr>
          <w:p>
            <w:pPr>
              <w:spacing w:after="40" w:before="40"/>
            </w:pPr>
            <w:r>
              <w:rPr>
                <w:sz w:val="18"/>
                <w:szCs w:val="18"/>
              </w:rPr>
              <w:t xml:space="preserve">Alta rotación política y de autoridades.</w:t>
            </w:r>
          </w:p>
        </w:tc>
        <w:tc>
          <w:tcPr>
            <w:tcW w:type="dxa" w:w="1200"/>
            <w:shd w:fill="D6E4F7" w:val="clear"/>
          </w:tcPr>
          <w:p>
            <w:pPr>
              <w:spacing w:after="40" w:before="40"/>
            </w:pPr>
            <w:r>
              <w:rPr>
                <w:sz w:val="18"/>
                <w:szCs w:val="18"/>
              </w:rPr>
              <w:t xml:space="preserve">Organizacional</w:t>
            </w:r>
          </w:p>
        </w:tc>
        <w:tc>
          <w:tcPr>
            <w:tcW w:type="dxa" w:w="2300"/>
            <w:shd w:fill="D6E4F7" w:val="clear"/>
          </w:tcPr>
          <w:p>
            <w:pPr>
              <w:spacing w:after="40" w:before="40"/>
            </w:pPr>
            <w:r>
              <w:rPr>
                <w:sz w:val="18"/>
                <w:szCs w:val="18"/>
              </w:rPr>
              <w:t xml:space="preserve">BP01</w:t>
            </w:r>
          </w:p>
        </w:tc>
      </w:tr>
    </w:tbl>
    <w:p>
      <w:r>
        <w:t xml:space="preserve"/>
      </w:r>
    </w:p>
    <w:p>
      <w:pPr>
        <w:pStyle w:val="Heading2"/>
        <w:spacing w:after="100" w:before="200"/>
      </w:pPr>
      <w:r>
        <w:rPr>
          <w:b/>
          <w:bCs/>
          <w:color w:val="2E74B5"/>
          <w:sz w:val="26"/>
          <w:szCs w:val="26"/>
        </w:rPr>
        <w:t xml:space="preserve">2.4. Supuestos</w:t>
      </w:r>
    </w:p>
    <w:p>
      <w:pPr>
        <w:spacing w:after="40" w:before="40"/>
        <w:ind w:left="576"/>
      </w:pPr>
      <w:r>
        <w:rPr>
          <w:sz w:val="22"/>
          <w:szCs w:val="22"/>
        </w:rPr>
        <w:t xml:space="preserve">•  La Gerencia Municipal mantiene el patrocinio ejecutivo y la estructura de AE se formaliza por resolución gerencial.</w:t>
      </w:r>
    </w:p>
    <w:p>
      <w:pPr>
        <w:spacing w:after="40" w:before="40"/>
        <w:ind w:left="576"/>
      </w:pPr>
      <w:r>
        <w:rPr>
          <w:sz w:val="22"/>
          <w:szCs w:val="22"/>
        </w:rPr>
        <w:t xml:space="preserve">•  Los servicios del Estado (PIDE, RENIEC, pagos, firma digital) están disponibles para la integración.</w:t>
      </w:r>
    </w:p>
    <w:p>
      <w:pPr>
        <w:spacing w:after="40" w:before="40"/>
        <w:ind w:left="576"/>
      </w:pPr>
      <w:r>
        <w:rPr>
          <w:sz w:val="22"/>
          <w:szCs w:val="22"/>
        </w:rPr>
        <w:t xml:space="preserve">•  Se cuenta con disponibilidad presupuestal mínima para iniciar la Hoja de Ruta.</w:t>
      </w:r>
    </w:p>
    <w:p>
      <w:pPr>
        <w:spacing w:after="40" w:before="40"/>
        <w:ind w:left="576"/>
      </w:pPr>
      <w:r>
        <w:rPr>
          <w:sz w:val="22"/>
          <w:szCs w:val="22"/>
        </w:rPr>
        <w:t xml:space="preserve">•  El SoAW fue firmado el 05/03/2026 y las Fases Preliminar V2 y A V2 están aprobadas y vigentes.</w:t>
      </w:r>
    </w:p>
    <w:p>
      <w:r>
        <w:t xml:space="preserve"/>
      </w:r>
    </w:p>
    <w:p>
      <w:pPr>
        <w:pStyle w:val="Heading2"/>
        <w:spacing w:after="100" w:before="200"/>
      </w:pPr>
      <w:r>
        <w:rPr>
          <w:b/>
          <w:bCs/>
          <w:color w:val="2E74B5"/>
          <w:sz w:val="26"/>
          <w:szCs w:val="26"/>
        </w:rPr>
        <w:t xml:space="preserve">2.5. Medidas de éxito (KPI)</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800"/>
        <w:gridCol w:w="1200"/>
        <w:gridCol w:w="1400"/>
        <w:gridCol w:w="2700"/>
      </w:tblGrid>
      <w:tr>
        <w:trPr>
          <w:tblHeader/>
        </w:trPr>
        <w:tc>
          <w:tcPr>
            <w:tcW w:type="dxa" w:w="700"/>
            <w:shd w:fill="1F3864" w:val="clear"/>
          </w:tcPr>
          <w:p>
            <w:pPr>
              <w:jc w:val="center"/>
            </w:pPr>
            <w:r>
              <w:rPr>
                <w:b/>
                <w:bCs/>
                <w:color w:val="FFFFFF"/>
                <w:sz w:val="18"/>
                <w:szCs w:val="18"/>
              </w:rPr>
              <w:t xml:space="preserve">ID</w:t>
            </w:r>
          </w:p>
        </w:tc>
        <w:tc>
          <w:tcPr>
            <w:tcW w:type="dxa" w:w="2800"/>
            <w:shd w:fill="1F3864" w:val="clear"/>
          </w:tcPr>
          <w:p>
            <w:pPr>
              <w:jc w:val="center"/>
            </w:pPr>
            <w:r>
              <w:rPr>
                <w:b/>
                <w:bCs/>
                <w:color w:val="FFFFFF"/>
                <w:sz w:val="18"/>
                <w:szCs w:val="18"/>
              </w:rPr>
              <w:t xml:space="preserve">Indicador (KPI)</w:t>
            </w:r>
          </w:p>
        </w:tc>
        <w:tc>
          <w:tcPr>
            <w:tcW w:type="dxa" w:w="1200"/>
            <w:shd w:fill="1F3864" w:val="clear"/>
          </w:tcPr>
          <w:p>
            <w:pPr>
              <w:jc w:val="center"/>
            </w:pPr>
            <w:r>
              <w:rPr>
                <w:b/>
                <w:bCs/>
                <w:color w:val="FFFFFF"/>
                <w:sz w:val="18"/>
                <w:szCs w:val="18"/>
              </w:rPr>
              <w:t xml:space="preserve">Línea base</w:t>
            </w:r>
          </w:p>
        </w:tc>
        <w:tc>
          <w:tcPr>
            <w:tcW w:type="dxa" w:w="1400"/>
            <w:shd w:fill="1F3864" w:val="clear"/>
          </w:tcPr>
          <w:p>
            <w:pPr>
              <w:jc w:val="center"/>
            </w:pPr>
            <w:r>
              <w:rPr>
                <w:b/>
                <w:bCs/>
                <w:color w:val="FFFFFF"/>
                <w:sz w:val="18"/>
                <w:szCs w:val="18"/>
              </w:rPr>
              <w:t xml:space="preserve">Meta</w:t>
            </w:r>
          </w:p>
        </w:tc>
        <w:tc>
          <w:tcPr>
            <w:tcW w:type="dxa" w:w="2700"/>
            <w:shd w:fill="1F3864" w:val="clear"/>
          </w:tcPr>
          <w:p>
            <w:pPr>
              <w:jc w:val="center"/>
            </w:pPr>
            <w:r>
              <w:rPr>
                <w:b/>
                <w:bCs/>
                <w:color w:val="FFFFFF"/>
                <w:sz w:val="18"/>
                <w:szCs w:val="18"/>
              </w:rPr>
              <w:t xml:space="preserve">Principio que respalda</w:t>
            </w:r>
          </w:p>
        </w:tc>
      </w:tr>
      <w:tr>
        <w:tc>
          <w:tcPr>
            <w:tcW w:type="dxa" w:w="700"/>
            <w:shd w:fill="FFFFFF" w:val="clear"/>
          </w:tcPr>
          <w:p>
            <w:pPr>
              <w:spacing w:after="40" w:before="40"/>
            </w:pPr>
            <w:r>
              <w:rPr>
                <w:sz w:val="18"/>
                <w:szCs w:val="18"/>
              </w:rPr>
              <w:t xml:space="preserve">KPI-01</w:t>
            </w:r>
          </w:p>
        </w:tc>
        <w:tc>
          <w:tcPr>
            <w:tcW w:type="dxa" w:w="2800"/>
            <w:shd w:fill="FFFFFF" w:val="clear"/>
          </w:tcPr>
          <w:p>
            <w:pPr>
              <w:spacing w:after="40" w:before="40"/>
            </w:pPr>
            <w:r>
              <w:rPr>
                <w:sz w:val="18"/>
                <w:szCs w:val="18"/>
              </w:rPr>
              <w:t xml:space="preserve">Trámites disponibles en canal digital</w:t>
            </w:r>
          </w:p>
        </w:tc>
        <w:tc>
          <w:tcPr>
            <w:tcW w:type="dxa" w:w="1200"/>
            <w:shd w:fill="FFFFFF" w:val="clear"/>
          </w:tcPr>
          <w:p>
            <w:pPr>
              <w:spacing w:after="40" w:before="40"/>
            </w:pPr>
            <w:r>
              <w:rPr>
                <w:sz w:val="18"/>
                <w:szCs w:val="18"/>
              </w:rPr>
              <w:t xml:space="preserve">Bajo (&lt; 10 %)</w:t>
            </w:r>
          </w:p>
        </w:tc>
        <w:tc>
          <w:tcPr>
            <w:tcW w:type="dxa" w:w="1400"/>
            <w:shd w:fill="FFFFFF" w:val="clear"/>
          </w:tcPr>
          <w:p>
            <w:pPr>
              <w:spacing w:after="40" w:before="40"/>
            </w:pPr>
            <w:r>
              <w:rPr>
                <w:sz w:val="18"/>
                <w:szCs w:val="18"/>
              </w:rPr>
              <w:t xml:space="preserve">≥ 70 % en 24 meses</w:t>
            </w:r>
          </w:p>
        </w:tc>
        <w:tc>
          <w:tcPr>
            <w:tcW w:type="dxa" w:w="2700"/>
            <w:shd w:fill="FFFFFF" w:val="clear"/>
          </w:tcPr>
          <w:p>
            <w:pPr>
              <w:spacing w:after="40" w:before="40"/>
            </w:pPr>
            <w:r>
              <w:rPr>
                <w:sz w:val="18"/>
                <w:szCs w:val="18"/>
              </w:rPr>
              <w:t xml:space="preserve">BP02, AP02</w:t>
            </w:r>
          </w:p>
        </w:tc>
      </w:tr>
      <w:tr>
        <w:tc>
          <w:tcPr>
            <w:tcW w:type="dxa" w:w="700"/>
            <w:shd w:fill="D6E4F7" w:val="clear"/>
          </w:tcPr>
          <w:p>
            <w:pPr>
              <w:spacing w:after="40" w:before="40"/>
            </w:pPr>
            <w:r>
              <w:rPr>
                <w:sz w:val="18"/>
                <w:szCs w:val="18"/>
              </w:rPr>
              <w:t xml:space="preserve">KPI-02</w:t>
            </w:r>
          </w:p>
        </w:tc>
        <w:tc>
          <w:tcPr>
            <w:tcW w:type="dxa" w:w="2800"/>
            <w:shd w:fill="D6E4F7" w:val="clear"/>
          </w:tcPr>
          <w:p>
            <w:pPr>
              <w:spacing w:after="40" w:before="40"/>
            </w:pPr>
            <w:r>
              <w:rPr>
                <w:sz w:val="18"/>
                <w:szCs w:val="18"/>
              </w:rPr>
              <w:t xml:space="preserve">Reducción del tiempo promedio de atención</w:t>
            </w:r>
          </w:p>
        </w:tc>
        <w:tc>
          <w:tcPr>
            <w:tcW w:type="dxa" w:w="1200"/>
            <w:shd w:fill="D6E4F7" w:val="clear"/>
          </w:tcPr>
          <w:p>
            <w:pPr>
              <w:spacing w:after="40" w:before="40"/>
            </w:pPr>
            <w:r>
              <w:rPr>
                <w:sz w:val="18"/>
                <w:szCs w:val="18"/>
              </w:rPr>
              <w:t xml:space="preserve">—</w:t>
            </w:r>
          </w:p>
        </w:tc>
        <w:tc>
          <w:tcPr>
            <w:tcW w:type="dxa" w:w="1400"/>
            <w:shd w:fill="D6E4F7" w:val="clear"/>
          </w:tcPr>
          <w:p>
            <w:pPr>
              <w:spacing w:after="40" w:before="40"/>
            </w:pPr>
            <w:r>
              <w:rPr>
                <w:sz w:val="18"/>
                <w:szCs w:val="18"/>
              </w:rPr>
              <w:t xml:space="preserve">−40 %</w:t>
            </w:r>
          </w:p>
        </w:tc>
        <w:tc>
          <w:tcPr>
            <w:tcW w:type="dxa" w:w="2700"/>
            <w:shd w:fill="D6E4F7" w:val="clear"/>
          </w:tcPr>
          <w:p>
            <w:pPr>
              <w:spacing w:after="40" w:before="40"/>
            </w:pPr>
            <w:r>
              <w:rPr>
                <w:sz w:val="18"/>
                <w:szCs w:val="18"/>
              </w:rPr>
              <w:t xml:space="preserve">BP02, BP03</w:t>
            </w:r>
          </w:p>
        </w:tc>
      </w:tr>
      <w:tr>
        <w:tc>
          <w:tcPr>
            <w:tcW w:type="dxa" w:w="700"/>
            <w:shd w:fill="FFFFFF" w:val="clear"/>
          </w:tcPr>
          <w:p>
            <w:pPr>
              <w:spacing w:after="40" w:before="40"/>
            </w:pPr>
            <w:r>
              <w:rPr>
                <w:sz w:val="18"/>
                <w:szCs w:val="18"/>
              </w:rPr>
              <w:t xml:space="preserve">KPI-03</w:t>
            </w:r>
          </w:p>
        </w:tc>
        <w:tc>
          <w:tcPr>
            <w:tcW w:type="dxa" w:w="2800"/>
            <w:shd w:fill="FFFFFF" w:val="clear"/>
          </w:tcPr>
          <w:p>
            <w:pPr>
              <w:spacing w:after="40" w:before="40"/>
            </w:pPr>
            <w:r>
              <w:rPr>
                <w:sz w:val="18"/>
                <w:szCs w:val="18"/>
              </w:rPr>
              <w:t xml:space="preserve">Sistemas integrados vía interoperabilidad (PIDE/RENIEC)</w:t>
            </w:r>
          </w:p>
        </w:tc>
        <w:tc>
          <w:tcPr>
            <w:tcW w:type="dxa" w:w="1200"/>
            <w:shd w:fill="FFFFFF" w:val="clear"/>
          </w:tcPr>
          <w:p>
            <w:pPr>
              <w:spacing w:after="40" w:before="40"/>
            </w:pPr>
            <w:r>
              <w:rPr>
                <w:sz w:val="18"/>
                <w:szCs w:val="18"/>
              </w:rPr>
              <w:t xml:space="preserve">Mínimo</w:t>
            </w:r>
          </w:p>
        </w:tc>
        <w:tc>
          <w:tcPr>
            <w:tcW w:type="dxa" w:w="1400"/>
            <w:shd w:fill="FFFFFF" w:val="clear"/>
          </w:tcPr>
          <w:p>
            <w:pPr>
              <w:spacing w:after="40" w:before="40"/>
            </w:pPr>
            <w:r>
              <w:rPr>
                <w:sz w:val="18"/>
                <w:szCs w:val="18"/>
              </w:rPr>
              <w:t xml:space="preserve">≥ 60 % en 18 meses</w:t>
            </w:r>
          </w:p>
        </w:tc>
        <w:tc>
          <w:tcPr>
            <w:tcW w:type="dxa" w:w="2700"/>
            <w:shd w:fill="FFFFFF" w:val="clear"/>
          </w:tcPr>
          <w:p>
            <w:pPr>
              <w:spacing w:after="40" w:before="40"/>
            </w:pPr>
            <w:r>
              <w:rPr>
                <w:sz w:val="18"/>
                <w:szCs w:val="18"/>
              </w:rPr>
              <w:t xml:space="preserve">AP04, DP04</w:t>
            </w:r>
          </w:p>
        </w:tc>
      </w:tr>
      <w:tr>
        <w:tc>
          <w:tcPr>
            <w:tcW w:type="dxa" w:w="700"/>
            <w:shd w:fill="D6E4F7" w:val="clear"/>
          </w:tcPr>
          <w:p>
            <w:pPr>
              <w:spacing w:after="40" w:before="40"/>
            </w:pPr>
            <w:r>
              <w:rPr>
                <w:sz w:val="18"/>
                <w:szCs w:val="18"/>
              </w:rPr>
              <w:t xml:space="preserve">KPI-04</w:t>
            </w:r>
          </w:p>
        </w:tc>
        <w:tc>
          <w:tcPr>
            <w:tcW w:type="dxa" w:w="2800"/>
            <w:shd w:fill="D6E4F7" w:val="clear"/>
          </w:tcPr>
          <w:p>
            <w:pPr>
              <w:spacing w:after="40" w:before="40"/>
            </w:pPr>
            <w:r>
              <w:rPr>
                <w:sz w:val="18"/>
                <w:szCs w:val="18"/>
              </w:rPr>
              <w:t xml:space="preserve">Satisfacción ciudadana con la atención digital</w:t>
            </w:r>
          </w:p>
        </w:tc>
        <w:tc>
          <w:tcPr>
            <w:tcW w:type="dxa" w:w="1200"/>
            <w:shd w:fill="D6E4F7" w:val="clear"/>
          </w:tcPr>
          <w:p>
            <w:pPr>
              <w:spacing w:after="40" w:before="40"/>
            </w:pPr>
            <w:r>
              <w:rPr>
                <w:sz w:val="18"/>
                <w:szCs w:val="18"/>
              </w:rPr>
              <w:t xml:space="preserve">—</w:t>
            </w:r>
          </w:p>
        </w:tc>
        <w:tc>
          <w:tcPr>
            <w:tcW w:type="dxa" w:w="1400"/>
            <w:shd w:fill="D6E4F7" w:val="clear"/>
          </w:tcPr>
          <w:p>
            <w:pPr>
              <w:spacing w:after="40" w:before="40"/>
            </w:pPr>
            <w:r>
              <w:rPr>
                <w:sz w:val="18"/>
                <w:szCs w:val="18"/>
              </w:rPr>
              <w:t xml:space="preserve">≥ 80 %</w:t>
            </w:r>
          </w:p>
        </w:tc>
        <w:tc>
          <w:tcPr>
            <w:tcW w:type="dxa" w:w="2700"/>
            <w:shd w:fill="D6E4F7" w:val="clear"/>
          </w:tcPr>
          <w:p>
            <w:pPr>
              <w:spacing w:after="40" w:before="40"/>
            </w:pPr>
            <w:r>
              <w:rPr>
                <w:sz w:val="18"/>
                <w:szCs w:val="18"/>
              </w:rPr>
              <w:t xml:space="preserve">BP02</w:t>
            </w:r>
          </w:p>
        </w:tc>
      </w:tr>
      <w:tr>
        <w:tc>
          <w:tcPr>
            <w:tcW w:type="dxa" w:w="700"/>
            <w:shd w:fill="FFFFFF" w:val="clear"/>
          </w:tcPr>
          <w:p>
            <w:pPr>
              <w:spacing w:after="40" w:before="40"/>
            </w:pPr>
            <w:r>
              <w:rPr>
                <w:sz w:val="18"/>
                <w:szCs w:val="18"/>
              </w:rPr>
              <w:t xml:space="preserve">KPI-05</w:t>
            </w:r>
          </w:p>
        </w:tc>
        <w:tc>
          <w:tcPr>
            <w:tcW w:type="dxa" w:w="2800"/>
            <w:shd w:fill="FFFFFF" w:val="clear"/>
          </w:tcPr>
          <w:p>
            <w:pPr>
              <w:spacing w:after="40" w:before="40"/>
            </w:pPr>
            <w:r>
              <w:rPr>
                <w:sz w:val="18"/>
                <w:szCs w:val="18"/>
              </w:rPr>
              <w:t xml:space="preserve">Trámites con trazabilidad E2E</w:t>
            </w:r>
          </w:p>
        </w:tc>
        <w:tc>
          <w:tcPr>
            <w:tcW w:type="dxa" w:w="1200"/>
            <w:shd w:fill="FFFFFF" w:val="clear"/>
          </w:tcPr>
          <w:p>
            <w:pPr>
              <w:spacing w:after="40" w:before="40"/>
            </w:pPr>
            <w:r>
              <w:rPr>
                <w:sz w:val="18"/>
                <w:szCs w:val="18"/>
              </w:rPr>
              <w:t xml:space="preserve">Parcial</w:t>
            </w:r>
          </w:p>
        </w:tc>
        <w:tc>
          <w:tcPr>
            <w:tcW w:type="dxa" w:w="1400"/>
            <w:shd w:fill="FFFFFF" w:val="clear"/>
          </w:tcPr>
          <w:p>
            <w:pPr>
              <w:spacing w:after="40" w:before="40"/>
            </w:pPr>
            <w:r>
              <w:rPr>
                <w:sz w:val="18"/>
                <w:szCs w:val="18"/>
              </w:rPr>
              <w:t xml:space="preserve">100 %</w:t>
            </w:r>
          </w:p>
        </w:tc>
        <w:tc>
          <w:tcPr>
            <w:tcW w:type="dxa" w:w="2700"/>
            <w:shd w:fill="FFFFFF" w:val="clear"/>
          </w:tcPr>
          <w:p>
            <w:pPr>
              <w:spacing w:after="40" w:before="40"/>
            </w:pPr>
            <w:r>
              <w:rPr>
                <w:sz w:val="18"/>
                <w:szCs w:val="18"/>
              </w:rPr>
              <w:t xml:space="preserve">BP04</w:t>
            </w:r>
          </w:p>
        </w:tc>
      </w:tr>
      <w:tr>
        <w:tc>
          <w:tcPr>
            <w:tcW w:type="dxa" w:w="700"/>
            <w:shd w:fill="D6E4F7" w:val="clear"/>
          </w:tcPr>
          <w:p>
            <w:pPr>
              <w:spacing w:after="40" w:before="40"/>
            </w:pPr>
            <w:r>
              <w:rPr>
                <w:sz w:val="18"/>
                <w:szCs w:val="18"/>
              </w:rPr>
              <w:t xml:space="preserve">KPI-06</w:t>
            </w:r>
          </w:p>
        </w:tc>
        <w:tc>
          <w:tcPr>
            <w:tcW w:type="dxa" w:w="2800"/>
            <w:shd w:fill="D6E4F7" w:val="clear"/>
          </w:tcPr>
          <w:p>
            <w:pPr>
              <w:spacing w:after="40" w:before="40"/>
            </w:pPr>
            <w:r>
              <w:rPr>
                <w:sz w:val="18"/>
                <w:szCs w:val="18"/>
              </w:rPr>
              <w:t xml:space="preserve">Registros de ciudadano sin duplicados</w:t>
            </w:r>
          </w:p>
        </w:tc>
        <w:tc>
          <w:tcPr>
            <w:tcW w:type="dxa" w:w="1200"/>
            <w:shd w:fill="D6E4F7" w:val="clear"/>
          </w:tcPr>
          <w:p>
            <w:pPr>
              <w:spacing w:after="40" w:before="40"/>
            </w:pPr>
            <w:r>
              <w:rPr>
                <w:sz w:val="18"/>
                <w:szCs w:val="18"/>
              </w:rPr>
              <w:t xml:space="preserve">Alto duplicado</w:t>
            </w:r>
          </w:p>
        </w:tc>
        <w:tc>
          <w:tcPr>
            <w:tcW w:type="dxa" w:w="1400"/>
            <w:shd w:fill="D6E4F7" w:val="clear"/>
          </w:tcPr>
          <w:p>
            <w:pPr>
              <w:spacing w:after="40" w:before="40"/>
            </w:pPr>
            <w:r>
              <w:rPr>
                <w:sz w:val="18"/>
                <w:szCs w:val="18"/>
              </w:rPr>
              <w:t xml:space="preserve">≥ 95 % sin inconsistencias</w:t>
            </w:r>
          </w:p>
        </w:tc>
        <w:tc>
          <w:tcPr>
            <w:tcW w:type="dxa" w:w="2700"/>
            <w:shd w:fill="D6E4F7" w:val="clear"/>
          </w:tcPr>
          <w:p>
            <w:pPr>
              <w:spacing w:after="40" w:before="40"/>
            </w:pPr>
            <w:r>
              <w:rPr>
                <w:sz w:val="18"/>
                <w:szCs w:val="18"/>
              </w:rPr>
              <w:t xml:space="preserve">DP01, DP02</w:t>
            </w:r>
          </w:p>
        </w:tc>
      </w:tr>
      <w:tr>
        <w:tc>
          <w:tcPr>
            <w:tcW w:type="dxa" w:w="700"/>
            <w:shd w:fill="FFFFFF" w:val="clear"/>
          </w:tcPr>
          <w:p>
            <w:pPr>
              <w:spacing w:after="40" w:before="40"/>
            </w:pPr>
            <w:r>
              <w:rPr>
                <w:sz w:val="18"/>
                <w:szCs w:val="18"/>
              </w:rPr>
              <w:t xml:space="preserve">KPI-07</w:t>
            </w:r>
          </w:p>
        </w:tc>
        <w:tc>
          <w:tcPr>
            <w:tcW w:type="dxa" w:w="2800"/>
            <w:shd w:fill="FFFFFF" w:val="clear"/>
          </w:tcPr>
          <w:p>
            <w:pPr>
              <w:spacing w:after="40" w:before="40"/>
            </w:pPr>
            <w:r>
              <w:rPr>
                <w:sz w:val="18"/>
                <w:szCs w:val="18"/>
              </w:rPr>
              <w:t xml:space="preserve">Incidentes críticos de seguridad de datos</w:t>
            </w:r>
          </w:p>
        </w:tc>
        <w:tc>
          <w:tcPr>
            <w:tcW w:type="dxa" w:w="1200"/>
            <w:shd w:fill="FFFFFF" w:val="clear"/>
          </w:tcPr>
          <w:p>
            <w:pPr>
              <w:spacing w:after="40" w:before="40"/>
            </w:pPr>
            <w:r>
              <w:rPr>
                <w:sz w:val="18"/>
                <w:szCs w:val="18"/>
              </w:rPr>
              <w:t xml:space="preserve">—</w:t>
            </w:r>
          </w:p>
        </w:tc>
        <w:tc>
          <w:tcPr>
            <w:tcW w:type="dxa" w:w="1400"/>
            <w:shd w:fill="FFFFFF" w:val="clear"/>
          </w:tcPr>
          <w:p>
            <w:pPr>
              <w:spacing w:after="40" w:before="40"/>
            </w:pPr>
            <w:r>
              <w:rPr>
                <w:sz w:val="18"/>
                <w:szCs w:val="18"/>
              </w:rPr>
              <w:t xml:space="preserve">0 en producción</w:t>
            </w:r>
          </w:p>
        </w:tc>
        <w:tc>
          <w:tcPr>
            <w:tcW w:type="dxa" w:w="2700"/>
            <w:shd w:fill="FFFFFF" w:val="clear"/>
          </w:tcPr>
          <w:p>
            <w:pPr>
              <w:spacing w:after="40" w:before="40"/>
            </w:pPr>
            <w:r>
              <w:rPr>
                <w:sz w:val="18"/>
                <w:szCs w:val="18"/>
              </w:rPr>
              <w:t xml:space="preserve">DP03, TP02</w:t>
            </w:r>
          </w:p>
        </w:tc>
      </w:tr>
    </w:tbl>
    <w:p>
      <w:pPr>
        <w:pStyle w:val="Heading1"/>
        <w:spacing w:after="120" w:before="240"/>
      </w:pPr>
      <w:r>
        <w:rPr>
          <w:b/>
          <w:bCs/>
          <w:color w:val="1F3864"/>
          <w:sz w:val="32"/>
          <w:szCs w:val="32"/>
        </w:rPr>
        <w:t xml:space="preserve">3. Contratos de Servicio</w:t>
      </w:r>
    </w:p>
    <w:p>
      <w:pPr>
        <w:pStyle w:val="Heading2"/>
        <w:spacing w:after="100" w:before="200"/>
      </w:pPr>
      <w:r>
        <w:rPr>
          <w:b/>
          <w:bCs/>
          <w:color w:val="2E74B5"/>
          <w:sz w:val="26"/>
          <w:szCs w:val="26"/>
        </w:rPr>
        <w:t xml:space="preserve">3.1. Contratos de servicio de negocio</w:t>
      </w:r>
    </w:p>
    <w:p>
      <w:pPr>
        <w:spacing w:after="80" w:before="80"/>
        <w:jc w:val="both"/>
      </w:pPr>
      <w:r>
        <w:rPr>
          <w:sz w:val="22"/>
          <w:szCs w:val="22"/>
        </w:rPr>
        <w:t xml:space="preserve">Definen el acuerdo entre el servicio de negocio y sus consumidores, con niveles de servicio comprometidos:</w:t>
      </w:r>
    </w:p>
    <w:tbl>
      <w:tblPr>
        <w:tblW w:type="dxa" w:w="7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3600"/>
        <w:gridCol w:w="700"/>
      </w:tblGrid>
      <w:tr>
        <w:trPr>
          <w:tblHeader/>
        </w:trPr>
        <w:tc>
          <w:tcPr>
            <w:tcW w:type="dxa" w:w="1800"/>
            <w:shd w:fill="1F3864" w:val="clear"/>
          </w:tcPr>
          <w:p>
            <w:pPr>
              <w:jc w:val="center"/>
            </w:pPr>
            <w:r>
              <w:rPr>
                <w:b/>
                <w:bCs/>
                <w:color w:val="FFFFFF"/>
                <w:sz w:val="18"/>
                <w:szCs w:val="18"/>
              </w:rPr>
              <w:t xml:space="preserve">Servicio (ref.)</w:t>
            </w:r>
          </w:p>
        </w:tc>
        <w:tc>
          <w:tcPr>
            <w:tcW w:type="dxa" w:w="1800"/>
            <w:shd w:fill="1F3864" w:val="clear"/>
          </w:tcPr>
          <w:p>
            <w:pPr>
              <w:jc w:val="center"/>
            </w:pPr>
            <w:r>
              <w:rPr>
                <w:b/>
                <w:bCs/>
                <w:color w:val="FFFFFF"/>
                <w:sz w:val="18"/>
                <w:szCs w:val="18"/>
              </w:rPr>
              <w:t xml:space="preserve">Consumidor</w:t>
            </w:r>
          </w:p>
        </w:tc>
        <w:tc>
          <w:tcPr>
            <w:tcW w:type="dxa" w:w="3600"/>
            <w:shd w:fill="1F3864" w:val="clear"/>
          </w:tcPr>
          <w:p>
            <w:pPr>
              <w:jc w:val="center"/>
            </w:pPr>
            <w:r>
              <w:rPr>
                <w:b/>
                <w:bCs/>
                <w:color w:val="FFFFFF"/>
                <w:sz w:val="18"/>
                <w:szCs w:val="18"/>
              </w:rPr>
              <w:t xml:space="preserve">Nivel de servicio comprometido</w:t>
            </w:r>
          </w:p>
        </w:tc>
        <w:tc>
          <w:tcPr>
            <w:tcW w:type="dxa" w:w="700"/>
            <w:shd w:fill="1F3864" w:val="clear"/>
          </w:tcPr>
          <w:p>
            <w:pPr>
              <w:jc w:val="center"/>
            </w:pPr>
            <w:r>
              <w:rPr>
                <w:b/>
                <w:bCs/>
                <w:color w:val="FFFFFF"/>
                <w:sz w:val="18"/>
                <w:szCs w:val="18"/>
              </w:rPr>
              <w:t xml:space="preserve">Disponib.</w:t>
            </w:r>
          </w:p>
        </w:tc>
      </w:tr>
      <w:tr>
        <w:tc>
          <w:tcPr>
            <w:tcW w:type="dxa" w:w="1800"/>
            <w:shd w:fill="FFFFFF" w:val="clear"/>
          </w:tcPr>
          <w:p>
            <w:pPr>
              <w:spacing w:after="40" w:before="40"/>
            </w:pPr>
            <w:r>
              <w:rPr>
                <w:sz w:val="18"/>
                <w:szCs w:val="18"/>
              </w:rPr>
              <w:t xml:space="preserve">SRV-01 Mesa de partes virtual</w:t>
            </w:r>
          </w:p>
        </w:tc>
        <w:tc>
          <w:tcPr>
            <w:tcW w:type="dxa" w:w="1800"/>
            <w:shd w:fill="FFFFFF" w:val="clear"/>
          </w:tcPr>
          <w:p>
            <w:pPr>
              <w:spacing w:after="40" w:before="40"/>
            </w:pPr>
            <w:r>
              <w:rPr>
                <w:sz w:val="18"/>
                <w:szCs w:val="18"/>
              </w:rPr>
              <w:t xml:space="preserve">Ciudadano / Empresa</w:t>
            </w:r>
          </w:p>
        </w:tc>
        <w:tc>
          <w:tcPr>
            <w:tcW w:type="dxa" w:w="3600"/>
            <w:shd w:fill="FFFFFF" w:val="clear"/>
          </w:tcPr>
          <w:p>
            <w:pPr>
              <w:spacing w:after="40" w:before="40"/>
            </w:pPr>
            <w:r>
              <w:rPr>
                <w:sz w:val="18"/>
                <w:szCs w:val="18"/>
              </w:rPr>
              <w:t xml:space="preserve">Cargo electrónico inmediato al ingresar documento; confirmación por email/SMS.</w:t>
            </w:r>
          </w:p>
        </w:tc>
        <w:tc>
          <w:tcPr>
            <w:tcW w:type="dxa" w:w="700"/>
            <w:shd w:fill="FFFFFF" w:val="clear"/>
          </w:tcPr>
          <w:p>
            <w:pPr>
              <w:spacing w:after="40" w:before="40"/>
            </w:pPr>
            <w:r>
              <w:rPr>
                <w:sz w:val="18"/>
                <w:szCs w:val="18"/>
              </w:rPr>
              <w:t xml:space="preserve">24/7</w:t>
            </w:r>
          </w:p>
        </w:tc>
      </w:tr>
      <w:tr>
        <w:tc>
          <w:tcPr>
            <w:tcW w:type="dxa" w:w="1800"/>
            <w:shd w:fill="D6E4F7" w:val="clear"/>
          </w:tcPr>
          <w:p>
            <w:pPr>
              <w:spacing w:after="40" w:before="40"/>
            </w:pPr>
            <w:r>
              <w:rPr>
                <w:sz w:val="18"/>
                <w:szCs w:val="18"/>
              </w:rPr>
              <w:t xml:space="preserve">SRV-02 Licencia en línea</w:t>
            </w:r>
          </w:p>
        </w:tc>
        <w:tc>
          <w:tcPr>
            <w:tcW w:type="dxa" w:w="1800"/>
            <w:shd w:fill="D6E4F7" w:val="clear"/>
          </w:tcPr>
          <w:p>
            <w:pPr>
              <w:spacing w:after="40" w:before="40"/>
            </w:pPr>
            <w:r>
              <w:rPr>
                <w:sz w:val="18"/>
                <w:szCs w:val="18"/>
              </w:rPr>
              <w:t xml:space="preserve">Empresa / Comercio</w:t>
            </w:r>
          </w:p>
        </w:tc>
        <w:tc>
          <w:tcPr>
            <w:tcW w:type="dxa" w:w="3600"/>
            <w:shd w:fill="D6E4F7" w:val="clear"/>
          </w:tcPr>
          <w:p>
            <w:pPr>
              <w:spacing w:after="40" w:before="40"/>
            </w:pPr>
            <w:r>
              <w:rPr>
                <w:sz w:val="18"/>
                <w:szCs w:val="18"/>
              </w:rPr>
              <w:t xml:space="preserve">Resolución dentro del plazo legal; estado consultable en tiempo real.</w:t>
            </w:r>
          </w:p>
        </w:tc>
        <w:tc>
          <w:tcPr>
            <w:tcW w:type="dxa" w:w="700"/>
            <w:shd w:fill="D6E4F7" w:val="clear"/>
          </w:tcPr>
          <w:p>
            <w:pPr>
              <w:spacing w:after="40" w:before="40"/>
            </w:pPr>
            <w:r>
              <w:rPr>
                <w:sz w:val="18"/>
                <w:szCs w:val="18"/>
              </w:rPr>
              <w:t xml:space="preserve">24/7 (solicitud)</w:t>
            </w:r>
          </w:p>
        </w:tc>
      </w:tr>
      <w:tr>
        <w:tc>
          <w:tcPr>
            <w:tcW w:type="dxa" w:w="1800"/>
            <w:shd w:fill="FFFFFF" w:val="clear"/>
          </w:tcPr>
          <w:p>
            <w:pPr>
              <w:spacing w:after="40" w:before="40"/>
            </w:pPr>
            <w:r>
              <w:rPr>
                <w:sz w:val="18"/>
                <w:szCs w:val="18"/>
              </w:rPr>
              <w:t xml:space="preserve">SRV-03 Pago de arbitrios en línea</w:t>
            </w:r>
          </w:p>
        </w:tc>
        <w:tc>
          <w:tcPr>
            <w:tcW w:type="dxa" w:w="1800"/>
            <w:shd w:fill="FFFFFF" w:val="clear"/>
          </w:tcPr>
          <w:p>
            <w:pPr>
              <w:spacing w:after="40" w:before="40"/>
            </w:pPr>
            <w:r>
              <w:rPr>
                <w:sz w:val="18"/>
                <w:szCs w:val="18"/>
              </w:rPr>
              <w:t xml:space="preserve">Ciudadano / Empresa</w:t>
            </w:r>
          </w:p>
        </w:tc>
        <w:tc>
          <w:tcPr>
            <w:tcW w:type="dxa" w:w="3600"/>
            <w:shd w:fill="FFFFFF" w:val="clear"/>
          </w:tcPr>
          <w:p>
            <w:pPr>
              <w:spacing w:after="40" w:before="40"/>
            </w:pPr>
            <w:r>
              <w:rPr>
                <w:sz w:val="18"/>
                <w:szCs w:val="18"/>
              </w:rPr>
              <w:t xml:space="preserve">Confirmación de pago y conciliación ≤ 24 h; comprobante electrónico.</w:t>
            </w:r>
          </w:p>
        </w:tc>
        <w:tc>
          <w:tcPr>
            <w:tcW w:type="dxa" w:w="700"/>
            <w:shd w:fill="FFFFFF" w:val="clear"/>
          </w:tcPr>
          <w:p>
            <w:pPr>
              <w:spacing w:after="40" w:before="40"/>
            </w:pPr>
            <w:r>
              <w:rPr>
                <w:sz w:val="18"/>
                <w:szCs w:val="18"/>
              </w:rPr>
              <w:t xml:space="preserve">24/7</w:t>
            </w:r>
          </w:p>
        </w:tc>
      </w:tr>
      <w:tr>
        <w:tc>
          <w:tcPr>
            <w:tcW w:type="dxa" w:w="1800"/>
            <w:shd w:fill="D6E4F7" w:val="clear"/>
          </w:tcPr>
          <w:p>
            <w:pPr>
              <w:spacing w:after="40" w:before="40"/>
            </w:pPr>
            <w:r>
              <w:rPr>
                <w:sz w:val="18"/>
                <w:szCs w:val="18"/>
              </w:rPr>
              <w:t xml:space="preserve">SRV-04 Consulta de expedientes</w:t>
            </w:r>
          </w:p>
        </w:tc>
        <w:tc>
          <w:tcPr>
            <w:tcW w:type="dxa" w:w="1800"/>
            <w:shd w:fill="D6E4F7" w:val="clear"/>
          </w:tcPr>
          <w:p>
            <w:pPr>
              <w:spacing w:after="40" w:before="40"/>
            </w:pPr>
            <w:r>
              <w:rPr>
                <w:sz w:val="18"/>
                <w:szCs w:val="18"/>
              </w:rPr>
              <w:t xml:space="preserve">Ciudadano / Empresa</w:t>
            </w:r>
          </w:p>
        </w:tc>
        <w:tc>
          <w:tcPr>
            <w:tcW w:type="dxa" w:w="3600"/>
            <w:shd w:fill="D6E4F7" w:val="clear"/>
          </w:tcPr>
          <w:p>
            <w:pPr>
              <w:spacing w:after="40" w:before="40"/>
            </w:pPr>
            <w:r>
              <w:rPr>
                <w:sz w:val="18"/>
                <w:szCs w:val="18"/>
              </w:rPr>
              <w:t xml:space="preserve">Estado actualizado del expediente en tiempo real (trazabilidad E2E).</w:t>
            </w:r>
          </w:p>
        </w:tc>
        <w:tc>
          <w:tcPr>
            <w:tcW w:type="dxa" w:w="700"/>
            <w:shd w:fill="D6E4F7" w:val="clear"/>
          </w:tcPr>
          <w:p>
            <w:pPr>
              <w:spacing w:after="40" w:before="40"/>
            </w:pPr>
            <w:r>
              <w:rPr>
                <w:sz w:val="18"/>
                <w:szCs w:val="18"/>
              </w:rPr>
              <w:t xml:space="preserve">24/7</w:t>
            </w:r>
          </w:p>
        </w:tc>
      </w:tr>
      <w:tr>
        <w:tc>
          <w:tcPr>
            <w:tcW w:type="dxa" w:w="1800"/>
            <w:shd w:fill="FFFFFF" w:val="clear"/>
          </w:tcPr>
          <w:p>
            <w:pPr>
              <w:spacing w:after="40" w:before="40"/>
            </w:pPr>
            <w:r>
              <w:rPr>
                <w:sz w:val="18"/>
                <w:szCs w:val="18"/>
              </w:rPr>
              <w:t xml:space="preserve">SRV-05 Atención de reclamos</w:t>
            </w:r>
          </w:p>
        </w:tc>
        <w:tc>
          <w:tcPr>
            <w:tcW w:type="dxa" w:w="1800"/>
            <w:shd w:fill="FFFFFF" w:val="clear"/>
          </w:tcPr>
          <w:p>
            <w:pPr>
              <w:spacing w:after="40" w:before="40"/>
            </w:pPr>
            <w:r>
              <w:rPr>
                <w:sz w:val="18"/>
                <w:szCs w:val="18"/>
              </w:rPr>
              <w:t xml:space="preserve">Ciudadano</w:t>
            </w:r>
          </w:p>
        </w:tc>
        <w:tc>
          <w:tcPr>
            <w:tcW w:type="dxa" w:w="3600"/>
            <w:shd w:fill="FFFFFF" w:val="clear"/>
          </w:tcPr>
          <w:p>
            <w:pPr>
              <w:spacing w:after="40" w:before="40"/>
            </w:pPr>
            <w:r>
              <w:rPr>
                <w:sz w:val="18"/>
                <w:szCs w:val="18"/>
              </w:rPr>
              <w:t xml:space="preserve">Respuesta dentro del SLA definido por tipo de reclamo; notificación electrónica.</w:t>
            </w:r>
          </w:p>
        </w:tc>
        <w:tc>
          <w:tcPr>
            <w:tcW w:type="dxa" w:w="700"/>
            <w:shd w:fill="FFFFFF" w:val="clear"/>
          </w:tcPr>
          <w:p>
            <w:pPr>
              <w:spacing w:after="40" w:before="40"/>
            </w:pPr>
            <w:r>
              <w:rPr>
                <w:sz w:val="18"/>
                <w:szCs w:val="18"/>
              </w:rPr>
              <w:t xml:space="preserve">24/7 (registro)</w:t>
            </w:r>
          </w:p>
        </w:tc>
      </w:tr>
      <w:tr>
        <w:tc>
          <w:tcPr>
            <w:tcW w:type="dxa" w:w="1800"/>
            <w:shd w:fill="D6E4F7" w:val="clear"/>
          </w:tcPr>
          <w:p>
            <w:pPr>
              <w:spacing w:after="40" w:before="40"/>
            </w:pPr>
            <w:r>
              <w:rPr>
                <w:sz w:val="18"/>
                <w:szCs w:val="18"/>
              </w:rPr>
              <w:t xml:space="preserve">SRV-06 Notificación electrónica</w:t>
            </w:r>
          </w:p>
        </w:tc>
        <w:tc>
          <w:tcPr>
            <w:tcW w:type="dxa" w:w="1800"/>
            <w:shd w:fill="D6E4F7" w:val="clear"/>
          </w:tcPr>
          <w:p>
            <w:pPr>
              <w:spacing w:after="40" w:before="40"/>
            </w:pPr>
            <w:r>
              <w:rPr>
                <w:sz w:val="18"/>
                <w:szCs w:val="18"/>
              </w:rPr>
              <w:t xml:space="preserve">Ciudadano / Empresa</w:t>
            </w:r>
          </w:p>
        </w:tc>
        <w:tc>
          <w:tcPr>
            <w:tcW w:type="dxa" w:w="3600"/>
            <w:shd w:fill="D6E4F7" w:val="clear"/>
          </w:tcPr>
          <w:p>
            <w:pPr>
              <w:spacing w:after="40" w:before="40"/>
            </w:pPr>
            <w:r>
              <w:rPr>
                <w:sz w:val="18"/>
                <w:szCs w:val="18"/>
              </w:rPr>
              <w:t xml:space="preserve">Entrega registrada y trazable (email / SMS / canal oficial).</w:t>
            </w:r>
          </w:p>
        </w:tc>
        <w:tc>
          <w:tcPr>
            <w:tcW w:type="dxa" w:w="700"/>
            <w:shd w:fill="D6E4F7" w:val="clear"/>
          </w:tcPr>
          <w:p>
            <w:pPr>
              <w:spacing w:after="40" w:before="40"/>
            </w:pPr>
            <w:r>
              <w:rPr>
                <w:sz w:val="18"/>
                <w:szCs w:val="18"/>
              </w:rPr>
              <w:t xml:space="preserve">24/7</w:t>
            </w:r>
          </w:p>
        </w:tc>
      </w:tr>
    </w:tbl>
    <w:p>
      <w:r>
        <w:t xml:space="preserve"/>
      </w:r>
    </w:p>
    <w:p>
      <w:pPr>
        <w:pStyle w:val="Heading2"/>
        <w:spacing w:after="100" w:before="200"/>
      </w:pPr>
      <w:r>
        <w:rPr>
          <w:b/>
          <w:bCs/>
          <w:color w:val="2E74B5"/>
          <w:sz w:val="26"/>
          <w:szCs w:val="26"/>
        </w:rPr>
        <w:t xml:space="preserve">3.2. Contratos de servicio de aplicación (alto nivel)</w:t>
      </w:r>
    </w:p>
    <w:p>
      <w:pPr>
        <w:spacing w:after="80" w:before="80"/>
        <w:jc w:val="both"/>
      </w:pPr>
      <w:r>
        <w:rPr>
          <w:sz w:val="22"/>
          <w:szCs w:val="22"/>
        </w:rPr>
        <w:t xml:space="preserve">El detalle de contratos de aplicación (APIs) se completará en la Fase C. En esta fase se establecen los compromisos a alto nivel:</w:t>
      </w:r>
    </w:p>
    <w:tbl>
      <w:tblPr>
        <w:tblW w:type="dxa" w:w="8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1800"/>
        <w:gridCol w:w="3300"/>
      </w:tblGrid>
      <w:tr>
        <w:trPr>
          <w:tblHeader/>
        </w:trPr>
        <w:tc>
          <w:tcPr>
            <w:tcW w:type="dxa" w:w="2000"/>
            <w:shd w:fill="1F3864" w:val="clear"/>
          </w:tcPr>
          <w:p>
            <w:pPr>
              <w:jc w:val="center"/>
            </w:pPr>
            <w:r>
              <w:rPr>
                <w:b/>
                <w:bCs/>
                <w:color w:val="FFFFFF"/>
                <w:sz w:val="18"/>
                <w:szCs w:val="18"/>
              </w:rPr>
              <w:t xml:space="preserve">Servicio de aplicación</w:t>
            </w:r>
          </w:p>
        </w:tc>
        <w:tc>
          <w:tcPr>
            <w:tcW w:type="dxa" w:w="1800"/>
            <w:shd w:fill="1F3864" w:val="clear"/>
          </w:tcPr>
          <w:p>
            <w:pPr>
              <w:jc w:val="center"/>
            </w:pPr>
            <w:r>
              <w:rPr>
                <w:b/>
                <w:bCs/>
                <w:color w:val="FFFFFF"/>
                <w:sz w:val="18"/>
                <w:szCs w:val="18"/>
              </w:rPr>
              <w:t xml:space="preserve">Provee</w:t>
            </w:r>
          </w:p>
        </w:tc>
        <w:tc>
          <w:tcPr>
            <w:tcW w:type="dxa" w:w="1800"/>
            <w:shd w:fill="1F3864" w:val="clear"/>
          </w:tcPr>
          <w:p>
            <w:pPr>
              <w:jc w:val="center"/>
            </w:pPr>
            <w:r>
              <w:rPr>
                <w:b/>
                <w:bCs/>
                <w:color w:val="FFFFFF"/>
                <w:sz w:val="18"/>
                <w:szCs w:val="18"/>
              </w:rPr>
              <w:t xml:space="preserve">Consume</w:t>
            </w:r>
          </w:p>
        </w:tc>
        <w:tc>
          <w:tcPr>
            <w:tcW w:type="dxa" w:w="3300"/>
            <w:shd w:fill="1F3864" w:val="clear"/>
          </w:tcPr>
          <w:p>
            <w:pPr>
              <w:jc w:val="center"/>
            </w:pPr>
            <w:r>
              <w:rPr>
                <w:b/>
                <w:bCs/>
                <w:color w:val="FFFFFF"/>
                <w:sz w:val="18"/>
                <w:szCs w:val="18"/>
              </w:rPr>
              <w:t xml:space="preserve">Compromiso</w:t>
            </w:r>
          </w:p>
        </w:tc>
      </w:tr>
      <w:tr>
        <w:tc>
          <w:tcPr>
            <w:tcW w:type="dxa" w:w="2000"/>
            <w:shd w:fill="FFFFFF" w:val="clear"/>
          </w:tcPr>
          <w:p>
            <w:pPr>
              <w:spacing w:after="40" w:before="40"/>
            </w:pPr>
            <w:r>
              <w:rPr>
                <w:sz w:val="18"/>
                <w:szCs w:val="18"/>
              </w:rPr>
              <w:t xml:space="preserve">API de autenticación (RENIEC)</w:t>
            </w:r>
          </w:p>
        </w:tc>
        <w:tc>
          <w:tcPr>
            <w:tcW w:type="dxa" w:w="1800"/>
            <w:shd w:fill="FFFFFF" w:val="clear"/>
          </w:tcPr>
          <w:p>
            <w:pPr>
              <w:spacing w:after="40" w:before="40"/>
            </w:pPr>
            <w:r>
              <w:rPr>
                <w:sz w:val="18"/>
                <w:szCs w:val="18"/>
              </w:rPr>
              <w:t xml:space="preserve">Identidad validada</w:t>
            </w:r>
          </w:p>
        </w:tc>
        <w:tc>
          <w:tcPr>
            <w:tcW w:type="dxa" w:w="1800"/>
            <w:shd w:fill="FFFFFF" w:val="clear"/>
          </w:tcPr>
          <w:p>
            <w:pPr>
              <w:spacing w:after="40" w:before="40"/>
            </w:pPr>
            <w:r>
              <w:rPr>
                <w:sz w:val="18"/>
                <w:szCs w:val="18"/>
              </w:rPr>
              <w:t xml:space="preserve">Trámites en línea</w:t>
            </w:r>
          </w:p>
        </w:tc>
        <w:tc>
          <w:tcPr>
            <w:tcW w:type="dxa" w:w="3300"/>
            <w:shd w:fill="FFFFFF" w:val="clear"/>
          </w:tcPr>
          <w:p>
            <w:pPr>
              <w:spacing w:after="40" w:before="40"/>
            </w:pPr>
            <w:r>
              <w:rPr>
                <w:sz w:val="18"/>
                <w:szCs w:val="18"/>
              </w:rPr>
              <w:t xml:space="preserve">Respuesta en línea; alta disponibilidad; conforme RI-02.</w:t>
            </w:r>
          </w:p>
        </w:tc>
      </w:tr>
      <w:tr>
        <w:tc>
          <w:tcPr>
            <w:tcW w:type="dxa" w:w="2000"/>
            <w:shd w:fill="D6E4F7" w:val="clear"/>
          </w:tcPr>
          <w:p>
            <w:pPr>
              <w:spacing w:after="40" w:before="40"/>
            </w:pPr>
            <w:r>
              <w:rPr>
                <w:sz w:val="18"/>
                <w:szCs w:val="18"/>
              </w:rPr>
              <w:t xml:space="preserve">API de notificación</w:t>
            </w:r>
          </w:p>
        </w:tc>
        <w:tc>
          <w:tcPr>
            <w:tcW w:type="dxa" w:w="1800"/>
            <w:shd w:fill="D6E4F7" w:val="clear"/>
          </w:tcPr>
          <w:p>
            <w:pPr>
              <w:spacing w:after="40" w:before="40"/>
            </w:pPr>
            <w:r>
              <w:rPr>
                <w:sz w:val="18"/>
                <w:szCs w:val="18"/>
              </w:rPr>
              <w:t xml:space="preserve">Envío de notificaciones electrónicas</w:t>
            </w:r>
          </w:p>
        </w:tc>
        <w:tc>
          <w:tcPr>
            <w:tcW w:type="dxa" w:w="1800"/>
            <w:shd w:fill="D6E4F7" w:val="clear"/>
          </w:tcPr>
          <w:p>
            <w:pPr>
              <w:spacing w:after="40" w:before="40"/>
            </w:pPr>
            <w:r>
              <w:rPr>
                <w:sz w:val="18"/>
                <w:szCs w:val="18"/>
              </w:rPr>
              <w:t xml:space="preserve">Todos los procesos</w:t>
            </w:r>
          </w:p>
        </w:tc>
        <w:tc>
          <w:tcPr>
            <w:tcW w:type="dxa" w:w="3300"/>
            <w:shd w:fill="D6E4F7" w:val="clear"/>
          </w:tcPr>
          <w:p>
            <w:pPr>
              <w:spacing w:after="40" w:before="40"/>
            </w:pPr>
            <w:r>
              <w:rPr>
                <w:sz w:val="18"/>
                <w:szCs w:val="18"/>
              </w:rPr>
              <w:t xml:space="preserve">Entrega registrada y trazable (RA-07).</w:t>
            </w:r>
          </w:p>
        </w:tc>
      </w:tr>
      <w:tr>
        <w:tc>
          <w:tcPr>
            <w:tcW w:type="dxa" w:w="2000"/>
            <w:shd w:fill="FFFFFF" w:val="clear"/>
          </w:tcPr>
          <w:p>
            <w:pPr>
              <w:spacing w:after="40" w:before="40"/>
            </w:pPr>
            <w:r>
              <w:rPr>
                <w:sz w:val="18"/>
                <w:szCs w:val="18"/>
              </w:rPr>
              <w:t xml:space="preserve">API de pagos (Estado)</w:t>
            </w:r>
          </w:p>
        </w:tc>
        <w:tc>
          <w:tcPr>
            <w:tcW w:type="dxa" w:w="1800"/>
            <w:shd w:fill="FFFFFF" w:val="clear"/>
          </w:tcPr>
          <w:p>
            <w:pPr>
              <w:spacing w:after="40" w:before="40"/>
            </w:pPr>
            <w:r>
              <w:rPr>
                <w:sz w:val="18"/>
                <w:szCs w:val="18"/>
              </w:rPr>
              <w:t xml:space="preserve">Procesamiento de pagos digitales</w:t>
            </w:r>
          </w:p>
        </w:tc>
        <w:tc>
          <w:tcPr>
            <w:tcW w:type="dxa" w:w="1800"/>
            <w:shd w:fill="FFFFFF" w:val="clear"/>
          </w:tcPr>
          <w:p>
            <w:pPr>
              <w:spacing w:after="40" w:before="40"/>
            </w:pPr>
            <w:r>
              <w:rPr>
                <w:sz w:val="18"/>
                <w:szCs w:val="18"/>
              </w:rPr>
              <w:t xml:space="preserve">Recaudación / licencias</w:t>
            </w:r>
          </w:p>
        </w:tc>
        <w:tc>
          <w:tcPr>
            <w:tcW w:type="dxa" w:w="3300"/>
            <w:shd w:fill="FFFFFF" w:val="clear"/>
          </w:tcPr>
          <w:p>
            <w:pPr>
              <w:spacing w:after="40" w:before="40"/>
            </w:pPr>
            <w:r>
              <w:rPr>
                <w:sz w:val="18"/>
                <w:szCs w:val="18"/>
              </w:rPr>
              <w:t xml:space="preserve">Confirmación y conciliación automática ≤ 24 h (RA-04).</w:t>
            </w:r>
          </w:p>
        </w:tc>
      </w:tr>
      <w:tr>
        <w:tc>
          <w:tcPr>
            <w:tcW w:type="dxa" w:w="2000"/>
            <w:shd w:fill="D6E4F7" w:val="clear"/>
          </w:tcPr>
          <w:p>
            <w:pPr>
              <w:spacing w:after="40" w:before="40"/>
            </w:pPr>
            <w:r>
              <w:rPr>
                <w:sz w:val="18"/>
                <w:szCs w:val="18"/>
              </w:rPr>
              <w:t xml:space="preserve">API de expedientes</w:t>
            </w:r>
          </w:p>
        </w:tc>
        <w:tc>
          <w:tcPr>
            <w:tcW w:type="dxa" w:w="1800"/>
            <w:shd w:fill="D6E4F7" w:val="clear"/>
          </w:tcPr>
          <w:p>
            <w:pPr>
              <w:spacing w:after="40" w:before="40"/>
            </w:pPr>
            <w:r>
              <w:rPr>
                <w:sz w:val="18"/>
                <w:szCs w:val="18"/>
              </w:rPr>
              <w:t xml:space="preserve">Estado y trazabilidad del expediente</w:t>
            </w:r>
          </w:p>
        </w:tc>
        <w:tc>
          <w:tcPr>
            <w:tcW w:type="dxa" w:w="1800"/>
            <w:shd w:fill="D6E4F7" w:val="clear"/>
          </w:tcPr>
          <w:p>
            <w:pPr>
              <w:spacing w:after="40" w:before="40"/>
            </w:pPr>
            <w:r>
              <w:rPr>
                <w:sz w:val="18"/>
                <w:szCs w:val="18"/>
              </w:rPr>
              <w:t xml:space="preserve">Consulta / seguimiento</w:t>
            </w:r>
          </w:p>
        </w:tc>
        <w:tc>
          <w:tcPr>
            <w:tcW w:type="dxa" w:w="3300"/>
            <w:shd w:fill="D6E4F7" w:val="clear"/>
          </w:tcPr>
          <w:p>
            <w:pPr>
              <w:spacing w:after="40" w:before="40"/>
            </w:pPr>
            <w:r>
              <w:rPr>
                <w:sz w:val="18"/>
                <w:szCs w:val="18"/>
              </w:rPr>
              <w:t xml:space="preserve">Estado consistente en tiempo real (RA-03).</w:t>
            </w:r>
          </w:p>
        </w:tc>
      </w:tr>
      <w:tr>
        <w:tc>
          <w:tcPr>
            <w:tcW w:type="dxa" w:w="2000"/>
            <w:shd w:fill="FFFFFF" w:val="clear"/>
          </w:tcPr>
          <w:p>
            <w:pPr>
              <w:spacing w:after="40" w:before="40"/>
            </w:pPr>
            <w:r>
              <w:rPr>
                <w:sz w:val="18"/>
                <w:szCs w:val="18"/>
              </w:rPr>
              <w:t xml:space="preserve">Servicios PIDE</w:t>
            </w:r>
          </w:p>
        </w:tc>
        <w:tc>
          <w:tcPr>
            <w:tcW w:type="dxa" w:w="1800"/>
            <w:shd w:fill="FFFFFF" w:val="clear"/>
          </w:tcPr>
          <w:p>
            <w:pPr>
              <w:spacing w:after="40" w:before="40"/>
            </w:pPr>
            <w:r>
              <w:rPr>
                <w:sz w:val="18"/>
                <w:szCs w:val="18"/>
              </w:rPr>
              <w:t xml:space="preserve">Intercambio interinstitucional</w:t>
            </w:r>
          </w:p>
        </w:tc>
        <w:tc>
          <w:tcPr>
            <w:tcW w:type="dxa" w:w="1800"/>
            <w:shd w:fill="FFFFFF" w:val="clear"/>
          </w:tcPr>
          <w:p>
            <w:pPr>
              <w:spacing w:after="40" w:before="40"/>
            </w:pPr>
            <w:r>
              <w:rPr>
                <w:sz w:val="18"/>
                <w:szCs w:val="18"/>
              </w:rPr>
              <w:t xml:space="preserve">Procesos integrados</w:t>
            </w:r>
          </w:p>
        </w:tc>
        <w:tc>
          <w:tcPr>
            <w:tcW w:type="dxa" w:w="3300"/>
            <w:shd w:fill="FFFFFF" w:val="clear"/>
          </w:tcPr>
          <w:p>
            <w:pPr>
              <w:spacing w:after="40" w:before="40"/>
            </w:pPr>
            <w:r>
              <w:rPr>
                <w:sz w:val="18"/>
                <w:szCs w:val="18"/>
              </w:rPr>
              <w:t xml:space="preserve">Conforme a estándares SGTD–PCM (RI-01).</w:t>
            </w:r>
          </w:p>
        </w:tc>
      </w:tr>
    </w:tbl>
    <w:p>
      <w:pPr>
        <w:pStyle w:val="Heading1"/>
        <w:spacing w:after="120" w:before="240"/>
      </w:pPr>
      <w:r>
        <w:rPr>
          <w:b/>
          <w:bCs/>
          <w:color w:val="1F3864"/>
          <w:sz w:val="32"/>
          <w:szCs w:val="32"/>
        </w:rPr>
        <w:t xml:space="preserve">4. Implementación</w:t>
      </w:r>
    </w:p>
    <w:p>
      <w:pPr>
        <w:pStyle w:val="Heading2"/>
        <w:spacing w:after="100" w:before="200"/>
      </w:pPr>
      <w:r>
        <w:rPr>
          <w:b/>
          <w:bCs/>
          <w:color w:val="2E74B5"/>
          <w:sz w:val="26"/>
          <w:szCs w:val="26"/>
        </w:rPr>
        <w:t xml:space="preserve">4.1. Directrices de implementación</w:t>
      </w:r>
    </w:p>
    <w:p>
      <w:pPr>
        <w:spacing w:after="40" w:before="40"/>
        <w:ind w:left="576"/>
      </w:pPr>
      <w:r>
        <w:rPr>
          <w:sz w:val="22"/>
          <w:szCs w:val="22"/>
        </w:rPr>
        <w:t xml:space="preserve">•  Priorizar los procesos de mayor valor ciudadano (licencias, arbitrios, mesa de partes) en las primeras entregas.</w:t>
      </w:r>
    </w:p>
    <w:p>
      <w:pPr>
        <w:spacing w:after="40" w:before="40"/>
        <w:ind w:left="576"/>
      </w:pPr>
      <w:r>
        <w:rPr>
          <w:sz w:val="22"/>
          <w:szCs w:val="22"/>
        </w:rPr>
        <w:t xml:space="preserve">•  Rediseñar los procesos en BPMN 2.0 antes de su automatización; no automatizar procesos ineficientes.</w:t>
      </w:r>
    </w:p>
    <w:p>
      <w:pPr>
        <w:spacing w:after="40" w:before="40"/>
        <w:ind w:left="576"/>
      </w:pPr>
      <w:r>
        <w:rPr>
          <w:sz w:val="22"/>
          <w:szCs w:val="22"/>
        </w:rPr>
        <w:t xml:space="preserve">•  Reutilizar servicios comunes del Estado (PIDE, RENIEC, pagos, firma digital) en lugar de construir capacidades redundantes (principio AP03).</w:t>
      </w:r>
    </w:p>
    <w:p>
      <w:pPr>
        <w:spacing w:after="40" w:before="40"/>
        <w:ind w:left="576"/>
      </w:pPr>
      <w:r>
        <w:rPr>
          <w:sz w:val="22"/>
          <w:szCs w:val="22"/>
        </w:rPr>
        <w:t xml:space="preserve">•  Aplicar entregas incrementales por arquitecturas de transición, validando valor con KPI en cada paso.</w:t>
      </w:r>
    </w:p>
    <w:p>
      <w:pPr>
        <w:spacing w:after="40" w:before="40"/>
        <w:ind w:left="576"/>
      </w:pPr>
      <w:r>
        <w:rPr>
          <w:sz w:val="22"/>
          <w:szCs w:val="22"/>
        </w:rPr>
        <w:t xml:space="preserve">•  Incorporar seguridad y protección de datos por diseño desde el primer incremento (principios DP03, TP02).</w:t>
      </w:r>
    </w:p>
    <w:p>
      <w:pPr>
        <w:spacing w:after="40" w:before="40"/>
        <w:ind w:left="576"/>
      </w:pPr>
      <w:r>
        <w:rPr>
          <w:sz w:val="22"/>
          <w:szCs w:val="22"/>
        </w:rPr>
        <w:t xml:space="preserve">•  Gestionar el cambio y capacitar al personal en paralelo a la implementación técnica.</w:t>
      </w:r>
    </w:p>
    <w:p>
      <w:r>
        <w:t xml:space="preserve"/>
      </w:r>
    </w:p>
    <w:p>
      <w:pPr>
        <w:pStyle w:val="Heading2"/>
        <w:spacing w:after="100" w:before="200"/>
      </w:pPr>
      <w:r>
        <w:rPr>
          <w:b/>
          <w:bCs/>
          <w:color w:val="2E74B5"/>
          <w:sz w:val="26"/>
          <w:szCs w:val="26"/>
        </w:rPr>
        <w:t xml:space="preserve">4.2. Especificaciones de implementación</w:t>
      </w:r>
    </w:p>
    <w:tbl>
      <w:tblPr>
        <w:tblW w:type="dxa" w:w="6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600"/>
        <w:gridCol w:w="1400"/>
        <w:gridCol w:w="1500"/>
      </w:tblGrid>
      <w:tr>
        <w:trPr>
          <w:tblHeader/>
        </w:trPr>
        <w:tc>
          <w:tcPr>
            <w:tcW w:type="dxa" w:w="600"/>
            <w:shd w:fill="1F3864" w:val="clear"/>
          </w:tcPr>
          <w:p>
            <w:pPr>
              <w:jc w:val="center"/>
            </w:pPr>
            <w:r>
              <w:rPr>
                <w:b/>
                <w:bCs/>
                <w:color w:val="FFFFFF"/>
                <w:sz w:val="18"/>
                <w:szCs w:val="18"/>
              </w:rPr>
              <w:t xml:space="preserve">ID</w:t>
            </w:r>
          </w:p>
        </w:tc>
        <w:tc>
          <w:tcPr>
            <w:tcW w:type="dxa" w:w="2600"/>
            <w:shd w:fill="1F3864" w:val="clear"/>
          </w:tcPr>
          <w:p>
            <w:pPr>
              <w:jc w:val="center"/>
            </w:pPr>
            <w:r>
              <w:rPr>
                <w:b/>
                <w:bCs/>
                <w:color w:val="FFFFFF"/>
                <w:sz w:val="18"/>
                <w:szCs w:val="18"/>
              </w:rPr>
              <w:t xml:space="preserve">Especificación</w:t>
            </w:r>
          </w:p>
        </w:tc>
        <w:tc>
          <w:tcPr>
            <w:tcW w:type="dxa" w:w="1400"/>
            <w:shd w:fill="1F3864" w:val="clear"/>
          </w:tcPr>
          <w:p>
            <w:pPr>
              <w:jc w:val="center"/>
            </w:pPr>
            <w:r>
              <w:rPr>
                <w:b/>
                <w:bCs/>
                <w:color w:val="FFFFFF"/>
                <w:sz w:val="18"/>
                <w:szCs w:val="18"/>
              </w:rPr>
              <w:t xml:space="preserve">Requisito asociado</w:t>
            </w:r>
          </w:p>
        </w:tc>
        <w:tc>
          <w:tcPr>
            <w:tcW w:type="dxa" w:w="1500"/>
            <w:shd w:fill="1F3864" w:val="clear"/>
          </w:tcPr>
          <w:p>
            <w:pPr>
              <w:jc w:val="center"/>
            </w:pPr>
            <w:r>
              <w:rPr>
                <w:b/>
                <w:bCs/>
                <w:color w:val="FFFFFF"/>
                <w:sz w:val="18"/>
                <w:szCs w:val="18"/>
              </w:rPr>
              <w:t xml:space="preserve">Principio</w:t>
            </w:r>
          </w:p>
        </w:tc>
      </w:tr>
      <w:tr>
        <w:tc>
          <w:tcPr>
            <w:tcW w:type="dxa" w:w="600"/>
            <w:shd w:fill="FFFFFF" w:val="clear"/>
          </w:tcPr>
          <w:p>
            <w:pPr>
              <w:spacing w:after="40" w:before="40"/>
            </w:pPr>
            <w:r>
              <w:rPr>
                <w:sz w:val="18"/>
                <w:szCs w:val="18"/>
              </w:rPr>
              <w:t xml:space="preserve">ESP-01</w:t>
            </w:r>
          </w:p>
        </w:tc>
        <w:tc>
          <w:tcPr>
            <w:tcW w:type="dxa" w:w="2600"/>
            <w:shd w:fill="FFFFFF" w:val="clear"/>
          </w:tcPr>
          <w:p>
            <w:pPr>
              <w:spacing w:after="40" w:before="40"/>
            </w:pPr>
            <w:r>
              <w:rPr>
                <w:sz w:val="18"/>
                <w:szCs w:val="18"/>
              </w:rPr>
              <w:t xml:space="preserve">Plataforma de trámites en línea con catálogo de servicios configurable.</w:t>
            </w:r>
          </w:p>
        </w:tc>
        <w:tc>
          <w:tcPr>
            <w:tcW w:type="dxa" w:w="1400"/>
            <w:shd w:fill="FFFFFF" w:val="clear"/>
          </w:tcPr>
          <w:p>
            <w:pPr>
              <w:spacing w:after="40" w:before="40"/>
            </w:pPr>
            <w:r>
              <w:rPr>
                <w:sz w:val="18"/>
                <w:szCs w:val="18"/>
              </w:rPr>
              <w:t xml:space="preserve">RA-01, RA-02</w:t>
            </w:r>
          </w:p>
        </w:tc>
        <w:tc>
          <w:tcPr>
            <w:tcW w:type="dxa" w:w="1500"/>
            <w:shd w:fill="FFFFFF" w:val="clear"/>
          </w:tcPr>
          <w:p>
            <w:pPr>
              <w:spacing w:after="40" w:before="40"/>
            </w:pPr>
            <w:r>
              <w:rPr>
                <w:sz w:val="18"/>
                <w:szCs w:val="18"/>
              </w:rPr>
              <w:t xml:space="preserve">BP02, AP02</w:t>
            </w:r>
          </w:p>
        </w:tc>
      </w:tr>
      <w:tr>
        <w:tc>
          <w:tcPr>
            <w:tcW w:type="dxa" w:w="600"/>
            <w:shd w:fill="D6E4F7" w:val="clear"/>
          </w:tcPr>
          <w:p>
            <w:pPr>
              <w:spacing w:after="40" w:before="40"/>
            </w:pPr>
            <w:r>
              <w:rPr>
                <w:sz w:val="18"/>
                <w:szCs w:val="18"/>
              </w:rPr>
              <w:t xml:space="preserve">ESP-02</w:t>
            </w:r>
          </w:p>
        </w:tc>
        <w:tc>
          <w:tcPr>
            <w:tcW w:type="dxa" w:w="2600"/>
            <w:shd w:fill="D6E4F7" w:val="clear"/>
          </w:tcPr>
          <w:p>
            <w:pPr>
              <w:spacing w:after="40" w:before="40"/>
            </w:pPr>
            <w:r>
              <w:rPr>
                <w:sz w:val="18"/>
                <w:szCs w:val="18"/>
              </w:rPr>
              <w:t xml:space="preserve">Motor de flujos de trabajo (BPM) para los procesos rediseñados.</w:t>
            </w:r>
          </w:p>
        </w:tc>
        <w:tc>
          <w:tcPr>
            <w:tcW w:type="dxa" w:w="1400"/>
            <w:shd w:fill="D6E4F7" w:val="clear"/>
          </w:tcPr>
          <w:p>
            <w:pPr>
              <w:spacing w:after="40" w:before="40"/>
            </w:pPr>
            <w:r>
              <w:rPr>
                <w:sz w:val="18"/>
                <w:szCs w:val="18"/>
              </w:rPr>
              <w:t xml:space="preserve">RA-03, RA-08</w:t>
            </w:r>
          </w:p>
        </w:tc>
        <w:tc>
          <w:tcPr>
            <w:tcW w:type="dxa" w:w="1500"/>
            <w:shd w:fill="D6E4F7" w:val="clear"/>
          </w:tcPr>
          <w:p>
            <w:pPr>
              <w:spacing w:after="40" w:before="40"/>
            </w:pPr>
            <w:r>
              <w:rPr>
                <w:sz w:val="18"/>
                <w:szCs w:val="18"/>
              </w:rPr>
              <w:t xml:space="preserve">BP04</w:t>
            </w:r>
          </w:p>
        </w:tc>
      </w:tr>
      <w:tr>
        <w:tc>
          <w:tcPr>
            <w:tcW w:type="dxa" w:w="600"/>
            <w:shd w:fill="FFFFFF" w:val="clear"/>
          </w:tcPr>
          <w:p>
            <w:pPr>
              <w:spacing w:after="40" w:before="40"/>
            </w:pPr>
            <w:r>
              <w:rPr>
                <w:sz w:val="18"/>
                <w:szCs w:val="18"/>
              </w:rPr>
              <w:t xml:space="preserve">ESP-03</w:t>
            </w:r>
          </w:p>
        </w:tc>
        <w:tc>
          <w:tcPr>
            <w:tcW w:type="dxa" w:w="2600"/>
            <w:shd w:fill="FFFFFF" w:val="clear"/>
          </w:tcPr>
          <w:p>
            <w:pPr>
              <w:spacing w:after="40" w:before="40"/>
            </w:pPr>
            <w:r>
              <w:rPr>
                <w:sz w:val="18"/>
                <w:szCs w:val="18"/>
              </w:rPr>
              <w:t xml:space="preserve">Registro único del ciudadano con identificador unívoco.</w:t>
            </w:r>
          </w:p>
        </w:tc>
        <w:tc>
          <w:tcPr>
            <w:tcW w:type="dxa" w:w="1400"/>
            <w:shd w:fill="FFFFFF" w:val="clear"/>
          </w:tcPr>
          <w:p>
            <w:pPr>
              <w:spacing w:after="40" w:before="40"/>
            </w:pPr>
            <w:r>
              <w:rPr>
                <w:sz w:val="18"/>
                <w:szCs w:val="18"/>
              </w:rPr>
              <w:t xml:space="preserve">RA-06, RA-12</w:t>
            </w:r>
          </w:p>
        </w:tc>
        <w:tc>
          <w:tcPr>
            <w:tcW w:type="dxa" w:w="1500"/>
            <w:shd w:fill="FFFFFF" w:val="clear"/>
          </w:tcPr>
          <w:p>
            <w:pPr>
              <w:spacing w:after="40" w:before="40"/>
            </w:pPr>
            <w:r>
              <w:rPr>
                <w:sz w:val="18"/>
                <w:szCs w:val="18"/>
              </w:rPr>
              <w:t xml:space="preserve">DP01, DP02</w:t>
            </w:r>
          </w:p>
        </w:tc>
      </w:tr>
      <w:tr>
        <w:tc>
          <w:tcPr>
            <w:tcW w:type="dxa" w:w="600"/>
            <w:shd w:fill="D6E4F7" w:val="clear"/>
          </w:tcPr>
          <w:p>
            <w:pPr>
              <w:spacing w:after="40" w:before="40"/>
            </w:pPr>
            <w:r>
              <w:rPr>
                <w:sz w:val="18"/>
                <w:szCs w:val="18"/>
              </w:rPr>
              <w:t xml:space="preserve">ESP-04</w:t>
            </w:r>
          </w:p>
        </w:tc>
        <w:tc>
          <w:tcPr>
            <w:tcW w:type="dxa" w:w="2600"/>
            <w:shd w:fill="D6E4F7" w:val="clear"/>
          </w:tcPr>
          <w:p>
            <w:pPr>
              <w:spacing w:after="40" w:before="40"/>
            </w:pPr>
            <w:r>
              <w:rPr>
                <w:sz w:val="18"/>
                <w:szCs w:val="18"/>
              </w:rPr>
              <w:t xml:space="preserve">Servicio de notificación electrónica integrado a todos los trámites.</w:t>
            </w:r>
          </w:p>
        </w:tc>
        <w:tc>
          <w:tcPr>
            <w:tcW w:type="dxa" w:w="1400"/>
            <w:shd w:fill="D6E4F7" w:val="clear"/>
          </w:tcPr>
          <w:p>
            <w:pPr>
              <w:spacing w:after="40" w:before="40"/>
            </w:pPr>
            <w:r>
              <w:rPr>
                <w:sz w:val="18"/>
                <w:szCs w:val="18"/>
              </w:rPr>
              <w:t xml:space="preserve">RA-07</w:t>
            </w:r>
          </w:p>
        </w:tc>
        <w:tc>
          <w:tcPr>
            <w:tcW w:type="dxa" w:w="1500"/>
            <w:shd w:fill="D6E4F7" w:val="clear"/>
          </w:tcPr>
          <w:p>
            <w:pPr>
              <w:spacing w:after="40" w:before="40"/>
            </w:pPr>
            <w:r>
              <w:rPr>
                <w:sz w:val="18"/>
                <w:szCs w:val="18"/>
              </w:rPr>
              <w:t xml:space="preserve">AP03, BP04</w:t>
            </w:r>
          </w:p>
        </w:tc>
      </w:tr>
      <w:tr>
        <w:tc>
          <w:tcPr>
            <w:tcW w:type="dxa" w:w="600"/>
            <w:shd w:fill="FFFFFF" w:val="clear"/>
          </w:tcPr>
          <w:p>
            <w:pPr>
              <w:spacing w:after="40" w:before="40"/>
            </w:pPr>
            <w:r>
              <w:rPr>
                <w:sz w:val="18"/>
                <w:szCs w:val="18"/>
              </w:rPr>
              <w:t xml:space="preserve">ESP-05</w:t>
            </w:r>
          </w:p>
        </w:tc>
        <w:tc>
          <w:tcPr>
            <w:tcW w:type="dxa" w:w="2600"/>
            <w:shd w:fill="FFFFFF" w:val="clear"/>
          </w:tcPr>
          <w:p>
            <w:pPr>
              <w:spacing w:after="40" w:before="40"/>
            </w:pPr>
            <w:r>
              <w:rPr>
                <w:sz w:val="18"/>
                <w:szCs w:val="18"/>
              </w:rPr>
              <w:t xml:space="preserve">Pasarela de pagos con conciliación automática.</w:t>
            </w:r>
          </w:p>
        </w:tc>
        <w:tc>
          <w:tcPr>
            <w:tcW w:type="dxa" w:w="1400"/>
            <w:shd w:fill="FFFFFF" w:val="clear"/>
          </w:tcPr>
          <w:p>
            <w:pPr>
              <w:spacing w:after="40" w:before="40"/>
            </w:pPr>
            <w:r>
              <w:rPr>
                <w:sz w:val="18"/>
                <w:szCs w:val="18"/>
              </w:rPr>
              <w:t xml:space="preserve">RA-04</w:t>
            </w:r>
          </w:p>
        </w:tc>
        <w:tc>
          <w:tcPr>
            <w:tcW w:type="dxa" w:w="1500"/>
            <w:shd w:fill="FFFFFF" w:val="clear"/>
          </w:tcPr>
          <w:p>
            <w:pPr>
              <w:spacing w:after="40" w:before="40"/>
            </w:pPr>
            <w:r>
              <w:rPr>
                <w:sz w:val="18"/>
                <w:szCs w:val="18"/>
              </w:rPr>
              <w:t xml:space="preserve">AP03, AP04</w:t>
            </w:r>
          </w:p>
        </w:tc>
      </w:tr>
      <w:tr>
        <w:tc>
          <w:tcPr>
            <w:tcW w:type="dxa" w:w="600"/>
            <w:shd w:fill="D6E4F7" w:val="clear"/>
          </w:tcPr>
          <w:p>
            <w:pPr>
              <w:spacing w:after="40" w:before="40"/>
            </w:pPr>
            <w:r>
              <w:rPr>
                <w:sz w:val="18"/>
                <w:szCs w:val="18"/>
              </w:rPr>
              <w:t xml:space="preserve">ESP-06</w:t>
            </w:r>
          </w:p>
        </w:tc>
        <w:tc>
          <w:tcPr>
            <w:tcW w:type="dxa" w:w="2600"/>
            <w:shd w:fill="D6E4F7" w:val="clear"/>
          </w:tcPr>
          <w:p>
            <w:pPr>
              <w:spacing w:after="40" w:before="40"/>
            </w:pPr>
            <w:r>
              <w:rPr>
                <w:sz w:val="18"/>
                <w:szCs w:val="18"/>
              </w:rPr>
              <w:t xml:space="preserve">Bus/servicios de interoperabilidad para integración con PIDE y RENIEC.</w:t>
            </w:r>
          </w:p>
        </w:tc>
        <w:tc>
          <w:tcPr>
            <w:tcW w:type="dxa" w:w="1400"/>
            <w:shd w:fill="D6E4F7" w:val="clear"/>
          </w:tcPr>
          <w:p>
            <w:pPr>
              <w:spacing w:after="40" w:before="40"/>
            </w:pPr>
            <w:r>
              <w:rPr>
                <w:sz w:val="18"/>
                <w:szCs w:val="18"/>
              </w:rPr>
              <w:t xml:space="preserve">RI-01, RI-02</w:t>
            </w:r>
          </w:p>
        </w:tc>
        <w:tc>
          <w:tcPr>
            <w:tcW w:type="dxa" w:w="1500"/>
            <w:shd w:fill="D6E4F7" w:val="clear"/>
          </w:tcPr>
          <w:p>
            <w:pPr>
              <w:spacing w:after="40" w:before="40"/>
            </w:pPr>
            <w:r>
              <w:rPr>
                <w:sz w:val="18"/>
                <w:szCs w:val="18"/>
              </w:rPr>
              <w:t xml:space="preserve">AP04, DP04</w:t>
            </w:r>
          </w:p>
        </w:tc>
      </w:tr>
      <w:tr>
        <w:tc>
          <w:tcPr>
            <w:tcW w:type="dxa" w:w="600"/>
            <w:shd w:fill="FFFFFF" w:val="clear"/>
          </w:tcPr>
          <w:p>
            <w:pPr>
              <w:spacing w:after="40" w:before="40"/>
            </w:pPr>
            <w:r>
              <w:rPr>
                <w:sz w:val="18"/>
                <w:szCs w:val="18"/>
              </w:rPr>
              <w:t xml:space="preserve">ESP-07</w:t>
            </w:r>
          </w:p>
        </w:tc>
        <w:tc>
          <w:tcPr>
            <w:tcW w:type="dxa" w:w="2600"/>
            <w:shd w:fill="FFFFFF" w:val="clear"/>
          </w:tcPr>
          <w:p>
            <w:pPr>
              <w:spacing w:after="40" w:before="40"/>
            </w:pPr>
            <w:r>
              <w:rPr>
                <w:sz w:val="18"/>
                <w:szCs w:val="18"/>
              </w:rPr>
              <w:t xml:space="preserve">Registro de auditoría centralizado de acciones críticas.</w:t>
            </w:r>
          </w:p>
        </w:tc>
        <w:tc>
          <w:tcPr>
            <w:tcW w:type="dxa" w:w="1400"/>
            <w:shd w:fill="FFFFFF" w:val="clear"/>
          </w:tcPr>
          <w:p>
            <w:pPr>
              <w:spacing w:after="40" w:before="40"/>
            </w:pPr>
            <w:r>
              <w:rPr>
                <w:sz w:val="18"/>
                <w:szCs w:val="18"/>
              </w:rPr>
              <w:t xml:space="preserve">RA-10, RA-11</w:t>
            </w:r>
          </w:p>
        </w:tc>
        <w:tc>
          <w:tcPr>
            <w:tcW w:type="dxa" w:w="1500"/>
            <w:shd w:fill="FFFFFF" w:val="clear"/>
          </w:tcPr>
          <w:p>
            <w:pPr>
              <w:spacing w:after="40" w:before="40"/>
            </w:pPr>
            <w:r>
              <w:rPr>
                <w:sz w:val="18"/>
                <w:szCs w:val="18"/>
              </w:rPr>
              <w:t xml:space="preserve">BP04, DP03, TP02</w:t>
            </w:r>
          </w:p>
        </w:tc>
      </w:tr>
      <w:tr>
        <w:tc>
          <w:tcPr>
            <w:tcW w:type="dxa" w:w="600"/>
            <w:shd w:fill="D6E4F7" w:val="clear"/>
          </w:tcPr>
          <w:p>
            <w:pPr>
              <w:spacing w:after="40" w:before="40"/>
            </w:pPr>
            <w:r>
              <w:rPr>
                <w:sz w:val="18"/>
                <w:szCs w:val="18"/>
              </w:rPr>
              <w:t xml:space="preserve">ESP-08</w:t>
            </w:r>
          </w:p>
        </w:tc>
        <w:tc>
          <w:tcPr>
            <w:tcW w:type="dxa" w:w="2600"/>
            <w:shd w:fill="D6E4F7" w:val="clear"/>
          </w:tcPr>
          <w:p>
            <w:pPr>
              <w:spacing w:after="40" w:before="40"/>
            </w:pPr>
            <w:r>
              <w:rPr>
                <w:sz w:val="18"/>
                <w:szCs w:val="18"/>
              </w:rPr>
              <w:t xml:space="preserve">Catálogo de datos y gobierno de datos institucional.</w:t>
            </w:r>
          </w:p>
        </w:tc>
        <w:tc>
          <w:tcPr>
            <w:tcW w:type="dxa" w:w="1400"/>
            <w:shd w:fill="D6E4F7" w:val="clear"/>
          </w:tcPr>
          <w:p>
            <w:pPr>
              <w:spacing w:after="40" w:before="40"/>
            </w:pPr>
            <w:r>
              <w:rPr>
                <w:sz w:val="18"/>
                <w:szCs w:val="18"/>
              </w:rPr>
              <w:t xml:space="preserve">RA-12</w:t>
            </w:r>
          </w:p>
        </w:tc>
        <w:tc>
          <w:tcPr>
            <w:tcW w:type="dxa" w:w="1500"/>
            <w:shd w:fill="D6E4F7" w:val="clear"/>
          </w:tcPr>
          <w:p>
            <w:pPr>
              <w:spacing w:after="40" w:before="40"/>
            </w:pPr>
            <w:r>
              <w:rPr>
                <w:sz w:val="18"/>
                <w:szCs w:val="18"/>
              </w:rPr>
              <w:t xml:space="preserve">DP01, DP02</w:t>
            </w:r>
          </w:p>
        </w:tc>
      </w:tr>
    </w:tbl>
    <w:p>
      <w:r>
        <w:t xml:space="preserve"/>
      </w:r>
    </w:p>
    <w:p>
      <w:pPr>
        <w:pStyle w:val="Heading2"/>
        <w:spacing w:after="100" w:before="200"/>
      </w:pPr>
      <w:r>
        <w:rPr>
          <w:b/>
          <w:bCs/>
          <w:color w:val="2E74B5"/>
          <w:sz w:val="26"/>
          <w:szCs w:val="26"/>
        </w:rPr>
        <w:t xml:space="preserve">4.3. Estándares de implementación</w:t>
      </w:r>
    </w:p>
    <w:p>
      <w:pPr>
        <w:spacing w:after="40" w:before="40"/>
        <w:ind w:left="576"/>
      </w:pPr>
      <w:r>
        <w:rPr>
          <w:sz w:val="22"/>
          <w:szCs w:val="22"/>
        </w:rPr>
        <w:t xml:space="preserve">•  Método y modelado: TOGAF ADM, ArchiMate 3.1, BPMN 2.0.</w:t>
      </w:r>
    </w:p>
    <w:p>
      <w:pPr>
        <w:spacing w:after="40" w:before="40"/>
        <w:ind w:left="576"/>
      </w:pPr>
      <w:r>
        <w:rPr>
          <w:sz w:val="22"/>
          <w:szCs w:val="22"/>
        </w:rPr>
        <w:t xml:space="preserve">•  Gobierno digital: D. L. N° 1412, D. S. N° 029-2021-PCM, MADE y lineamientos SGTD–PCM.</w:t>
      </w:r>
    </w:p>
    <w:p>
      <w:pPr>
        <w:spacing w:after="40" w:before="40"/>
        <w:ind w:left="576"/>
      </w:pPr>
      <w:r>
        <w:rPr>
          <w:sz w:val="22"/>
          <w:szCs w:val="22"/>
        </w:rPr>
        <w:t xml:space="preserve">•  Seguridad y datos: ISO/IEC 27001, ISO/IEC 25012 y Ley N° 29733 (protección de datos personales).</w:t>
      </w:r>
    </w:p>
    <w:p>
      <w:pPr>
        <w:spacing w:after="40" w:before="40"/>
        <w:ind w:left="576"/>
      </w:pPr>
      <w:r>
        <w:rPr>
          <w:sz w:val="22"/>
          <w:szCs w:val="22"/>
        </w:rPr>
        <w:t xml:space="preserve">•  Gestión de servicios y proyectos: ITIL 4 y PMI/PMBOK.</w:t>
      </w:r>
    </w:p>
    <w:p>
      <w:pPr>
        <w:spacing w:after="40" w:before="40"/>
        <w:ind w:left="576"/>
      </w:pPr>
      <w:r>
        <w:rPr>
          <w:sz w:val="22"/>
          <w:szCs w:val="22"/>
        </w:rPr>
        <w:t xml:space="preserve">•  Interoperabilidad: estándares de la PIDE y servicios del Estado (RENIEC, Gob.pe, pagos, firma digital).</w:t>
      </w:r>
    </w:p>
    <w:p>
      <w:pPr>
        <w:spacing w:after="40" w:before="40"/>
        <w:ind w:left="576"/>
      </w:pPr>
      <w:r>
        <w:rPr>
          <w:sz w:val="22"/>
          <w:szCs w:val="22"/>
        </w:rPr>
        <w:t xml:space="preserve">•  APIs: REST/OpenAPI 3.0; seguridad en tránsito: HTTPS/TLS 1.3.</w:t>
      </w:r>
    </w:p>
    <w:p>
      <w:r>
        <w:t xml:space="preserve"/>
      </w:r>
    </w:p>
    <w:p>
      <w:pPr>
        <w:jc w:val="center"/>
      </w:pPr>
      <w:r>
        <w:rPr>
          <w:color w:val="404040"/>
          <w:sz w:val="18"/>
          <w:szCs w:val="18"/>
        </w:rPr>
        <w:t xml:space="preserve">Fase B – Arquitectura de Negocio · MML · Especificación de Requisitos V2 ·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2026-07-03T15:45:59.869Z</dcterms:created>
  <dcterms:modified xsi:type="dcterms:W3CDTF">2026-07-03T15:45:59.869Z</dcterms:modified>
</cp:coreProperties>
</file>

<file path=docProps/custom.xml><?xml version="1.0" encoding="utf-8"?>
<Properties xmlns="http://schemas.openxmlformats.org/officeDocument/2006/custom-properties" xmlns:vt="http://schemas.openxmlformats.org/officeDocument/2006/docPropsVTypes"/>
</file>