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3864"/>
          <w:sz w:val="30"/>
          <w:szCs w:val="30"/>
        </w:rPr>
        <w:t xml:space="preserve">UNIVERSIDAD NACIONAL DE INGENIERÍA</w:t>
      </w:r>
    </w:p>
    <w:p>
      <w:pPr>
        <w:spacing w:after="500"/>
        <w:jc w:val="center"/>
      </w:pPr>
      <w:r>
        <w:rPr>
          <w:color w:val="2E5496"/>
          <w:sz w:val="24"/>
          <w:szCs w:val="24"/>
        </w:rPr>
        <w:t xml:space="preserve">FACULTAD DE INGENIERÍA INDUSTRIAL Y SISTEMAS</w:t>
      </w:r>
    </w:p>
    <w:p>
      <w:pPr>
        <w:spacing w:after="60"/>
        <w:jc w:val="center"/>
      </w:pPr>
      <w:r>
        <w:rPr>
          <w:b/>
          <w:bCs/>
          <w:sz w:val="28"/>
          <w:szCs w:val="28"/>
        </w:rPr>
        <w:t xml:space="preserve">APLICACIÓN DE TOGAF A LA MUNICIPALIDAD DE LIMA</w:t>
      </w:r>
    </w:p>
    <w:p>
      <w:pPr>
        <w:spacing w:after="360"/>
        <w:jc w:val="center"/>
      </w:pPr>
      <w:r>
        <w:rPr>
          <w:b/>
          <w:bCs/>
          <w:color w:val="C00000"/>
          <w:sz w:val="26"/>
          <w:szCs w:val="26"/>
        </w:rPr>
        <w:t xml:space="preserve">FASE B: ARQUITECTURA DE NEGOCIO</w:t>
      </w:r>
    </w:p>
    <w:p>
      <w:pPr>
        <w:spacing w:after="40"/>
        <w:jc w:val="center"/>
      </w:pPr>
      <w:r>
        <w:rPr>
          <w:b/>
          <w:bCs/>
          <w:color w:val="1F3864"/>
          <w:sz w:val="24"/>
          <w:szCs w:val="24"/>
        </w:rPr>
        <w:t xml:space="preserve">Especificación de Requisitos de Arquitectura</w:t>
      </w:r>
    </w:p>
    <w:p>
      <w:pPr>
        <w:spacing w:after="500"/>
        <w:jc w:val="center"/>
      </w:pPr>
      <w:r>
        <w:rPr>
          <w:i/>
          <w:iCs/>
          <w:color w:val="808080"/>
          <w:sz w:val="20"/>
          <w:szCs w:val="20"/>
        </w:rPr>
        <w:t xml:space="preserve">Entregable TOGAF — Fase B: Arquitectura de Negocio</w:t>
      </w:r>
    </w:p>
    <w:p>
      <w:pPr>
        <w:spacing w:after="100"/>
        <w:jc w:val="center"/>
      </w:pPr>
      <w:r>
        <w:rPr>
          <w:b/>
          <w:bCs/>
          <w:sz w:val="22"/>
          <w:szCs w:val="22"/>
        </w:rPr>
        <w:t xml:space="preserve">Integrantes:</w:t>
      </w:r>
    </w:p>
    <w:p>
      <w:pPr>
        <w:spacing w:after="40"/>
        <w:jc w:val="center"/>
      </w:pPr>
      <w:r>
        <w:rPr>
          <w:sz w:val="20"/>
          <w:szCs w:val="20"/>
        </w:rPr>
        <w:t xml:space="preserve">Chirinos Paredes, Fernando Angel — 20221247C</w:t>
      </w:r>
    </w:p>
    <w:p>
      <w:pPr>
        <w:spacing w:after="40"/>
        <w:jc w:val="center"/>
      </w:pPr>
      <w:r>
        <w:rPr>
          <w:sz w:val="20"/>
          <w:szCs w:val="20"/>
        </w:rPr>
        <w:t xml:space="preserve">Ruiz Luna, Dair Aldrin — 20212141A</w:t>
      </w:r>
    </w:p>
    <w:p>
      <w:pPr>
        <w:spacing w:after="40"/>
        <w:jc w:val="center"/>
      </w:pPr>
      <w:r>
        <w:rPr>
          <w:sz w:val="20"/>
          <w:szCs w:val="20"/>
        </w:rPr>
        <w:t xml:space="preserve">Garcia Retuerto, Jholvis Juan — 20221013B</w:t>
      </w:r>
    </w:p>
    <w:p>
      <w:pPr>
        <w:spacing w:after="40"/>
        <w:jc w:val="center"/>
      </w:pPr>
      <w:r>
        <w:rPr>
          <w:sz w:val="20"/>
          <w:szCs w:val="20"/>
        </w:rPr>
        <w:t xml:space="preserve">Jaramillo Blanco, Lenin Anderson — 20212632E</w:t>
      </w:r>
    </w:p>
    <w:p>
      <w:pPr>
        <w:spacing w:after="40"/>
        <w:jc w:val="center"/>
      </w:pPr>
      <w:r>
        <w:rPr>
          <w:sz w:val="20"/>
          <w:szCs w:val="20"/>
        </w:rPr>
        <w:t xml:space="preserve">Ramos Lopez, Denilson David Giovanni — 20191240F</w:t>
      </w:r>
    </w:p>
    <w:p>
      <w:pPr>
        <w:spacing w:after="40"/>
        <w:jc w:val="center"/>
      </w:pPr>
      <w:r>
        <w:rPr>
          <w:sz w:val="20"/>
          <w:szCs w:val="20"/>
        </w:rPr>
        <w:t xml:space="preserve">Vila Chahua, Jean Paul — 20170035D</w:t>
      </w:r>
    </w:p>
    <w:p>
      <w:pPr>
        <w:spacing w:after="40"/>
        <w:jc w:val="center"/>
      </w:pPr>
      <w:r>
        <w:rPr>
          <w:sz w:val="20"/>
          <w:szCs w:val="20"/>
        </w:rPr>
        <w:t xml:space="preserve">Chauvet, Loriano Celso Gaby — II2026102</w:t>
      </w:r>
    </w:p>
    <w:p>
      <w:pPr>
        <w:spacing w:after="300"/>
      </w:pPr>
    </w:p>
    <w:p>
      <w:pPr>
        <w:spacing w:after="40"/>
        <w:jc w:val="center"/>
      </w:pPr>
      <w:r>
        <w:rPr>
          <w:sz w:val="20"/>
          <w:szCs w:val="20"/>
        </w:rPr>
        <w:t xml:space="preserve">Docente: Tobías Enrique Aliaga Vilchez</w:t>
      </w:r>
    </w:p>
    <w:p>
      <w:pPr>
        <w:spacing w:after="200"/>
        <w:jc w:val="center"/>
      </w:pPr>
      <w:r>
        <w:rPr>
          <w:sz w:val="20"/>
          <w:szCs w:val="20"/>
        </w:rPr>
        <w:t xml:space="preserve">SI605U: Arquitectura Empresarial</w:t>
      </w:r>
    </w:p>
    <w:p>
      <w:pPr>
        <w:spacing w:after="80"/>
        <w:jc w:val="center"/>
      </w:pPr>
      <w:r>
        <w:rPr>
          <w:color w:val="808080"/>
          <w:sz w:val="20"/>
          <w:szCs w:val="20"/>
        </w:rPr>
        <w:t xml:space="preserve">Lima – Perú · 2026</w:t>
      </w:r>
    </w:p>
    <w:p>
      <w:r>
        <w:br w:type="page"/>
      </w:r>
    </w:p>
    <w:p>
      <w:pPr>
        <w:pStyle w:val="Heading1"/>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spacing w:after="80"/>
      </w:pPr>
      <w:r>
        <w:rPr>
          <w:b/>
          <w:bCs/>
          <w:color w:val="1F3864"/>
          <w:sz w:val="22"/>
          <w:szCs w:val="22"/>
        </w:rPr>
        <w:t xml:space="preserve">Información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Campo</w:t>
            </w:r>
          </w:p>
        </w:tc>
        <w:tc>
          <w:tcPr>
            <w:tcW w:type="dxa" w:w="67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Detalle</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Proyecto</w:t>
            </w:r>
          </w:p>
        </w:tc>
        <w:tc>
          <w:tcPr>
            <w:tcW w:type="dxa" w:w="67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Aplicación de TOGAF — Municipalidad Metropolitana de Lima</w:t>
            </w:r>
          </w:p>
        </w:tc>
      </w:tr>
      <w:tr>
        <w:tc>
          <w:tcPr>
            <w:tcW w:type="dxa" w:w="26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Título del documento</w:t>
            </w:r>
          </w:p>
        </w:tc>
        <w:tc>
          <w:tcPr>
            <w:tcW w:type="dxa" w:w="67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Especificación de Requisitos de Arquitectura</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Fase ADM</w:t>
            </w:r>
          </w:p>
        </w:tc>
        <w:tc>
          <w:tcPr>
            <w:tcW w:type="dxa" w:w="67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Fase B — Arquitectura de Negocio (Business Architecture)</w:t>
            </w:r>
          </w:p>
        </w:tc>
      </w:tr>
      <w:tr>
        <w:tc>
          <w:tcPr>
            <w:tcW w:type="dxa" w:w="26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Versión</w:t>
            </w:r>
          </w:p>
        </w:tc>
        <w:tc>
          <w:tcPr>
            <w:tcW w:type="dxa" w:w="67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1.0</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Estado</w:t>
            </w:r>
          </w:p>
        </w:tc>
        <w:tc>
          <w:tcPr>
            <w:tcW w:type="dxa" w:w="67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Para revisión y aprobación del Comité de Arquitectura Empresarial</w:t>
            </w:r>
          </w:p>
        </w:tc>
      </w:tr>
      <w:tr>
        <w:tc>
          <w:tcPr>
            <w:tcW w:type="dxa" w:w="26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Elaborado por</w:t>
            </w:r>
          </w:p>
        </w:tc>
        <w:tc>
          <w:tcPr>
            <w:tcW w:type="dxa" w:w="67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Equipo de Arquitectura Empresarial — FIIS-UNI</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Revisado por</w:t>
            </w:r>
          </w:p>
        </w:tc>
        <w:tc>
          <w:tcPr>
            <w:tcW w:type="dxa" w:w="67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Arquitecto Empresarial Principal</w:t>
            </w:r>
          </w:p>
        </w:tc>
      </w:tr>
      <w:tr>
        <w:tc>
          <w:tcPr>
            <w:tcW w:type="dxa" w:w="26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Aprobado por</w:t>
            </w:r>
          </w:p>
        </w:tc>
        <w:tc>
          <w:tcPr>
            <w:tcW w:type="dxa" w:w="67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Comité de Arquitectura Empresarial (Gerencia Municipal · Planificación · GTI)</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Fecha</w:t>
            </w:r>
          </w:p>
        </w:tc>
        <w:tc>
          <w:tcPr>
            <w:tcW w:type="dxa" w:w="67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2026</w:t>
            </w:r>
          </w:p>
        </w:tc>
      </w:tr>
    </w:tbl>
    <w:p>
      <w:pPr>
        <w:spacing w:after="120"/>
      </w:pPr>
    </w:p>
    <w:p>
      <w:pPr>
        <w:spacing w:after="80"/>
      </w:pPr>
      <w:r>
        <w:rPr>
          <w:b/>
          <w:bCs/>
          <w:color w:val="1F3864"/>
          <w:sz w:val="22"/>
          <w:szCs w:val="22"/>
        </w:rP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200"/>
        <w:gridCol w:w="4560"/>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Versión</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Fecha</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Autor</w:t>
            </w:r>
          </w:p>
        </w:tc>
        <w:tc>
          <w:tcPr>
            <w:tcW w:type="dxa" w:w="4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Descripción</w:t>
            </w:r>
          </w:p>
        </w:tc>
      </w:tr>
      <w:tr>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0.1</w:t>
            </w:r>
          </w:p>
        </w:tc>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2026</w:t>
            </w:r>
          </w:p>
        </w:tc>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Equipo AE</w:t>
            </w:r>
          </w:p>
        </w:tc>
        <w:tc>
          <w:tcPr>
            <w:tcW w:type="dxa" w:w="4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Estructura inicial a partir de la plantilla TOGAF 9.</w:t>
            </w:r>
          </w:p>
        </w:tc>
      </w:tr>
      <w:tr>
        <w:tc>
          <w:tcPr>
            <w:tcW w:type="dxa" w:w="13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0.5</w:t>
            </w:r>
          </w:p>
        </w:tc>
        <w:tc>
          <w:tcPr>
            <w:tcW w:type="dxa" w:w="13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2026</w:t>
            </w:r>
          </w:p>
        </w:tc>
        <w:tc>
          <w:tcPr>
            <w:tcW w:type="dxa" w:w="22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Equipo AE</w:t>
            </w:r>
          </w:p>
        </w:tc>
        <w:tc>
          <w:tcPr>
            <w:tcW w:type="dxa" w:w="45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Incorporación de contenido de las fases Preliminar y A.</w:t>
            </w:r>
          </w:p>
        </w:tc>
      </w:tr>
      <w:tr>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1.0</w:t>
            </w:r>
          </w:p>
        </w:tc>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2026</w:t>
            </w:r>
          </w:p>
        </w:tc>
        <w:tc>
          <w:tcPr>
            <w:tcW w:type="dxa" w:w="22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Equipo AE</w:t>
            </w:r>
          </w:p>
        </w:tc>
        <w:tc>
          <w:tcPr>
            <w:tcW w:type="dxa" w:w="4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Versión completa adaptada a la MML para Fase B.</w:t>
            </w:r>
          </w:p>
        </w:tc>
      </w:tr>
    </w:tbl>
    <w:p>
      <w:r>
        <w:br w:type="page"/>
      </w:r>
    </w:p>
    <w:p>
      <w:pPr>
        <w:pStyle w:val="Heading1"/>
      </w:pPr>
      <w:r>
        <w:t xml:space="preserve">1. Propósito del documento</w:t>
      </w:r>
    </w:p>
    <w:p>
      <w:pPr>
        <w:spacing w:after="120" w:line="276"/>
        <w:jc w:val="both"/>
      </w:pPr>
      <w:r>
        <w:t xml:space="preserve">La Especificación de Requisitos de Arquitectura proporciona un conjunto de enunciados cuantitativos que definen lo que todo proyecto de implementación debe cumplir para ser conforme con la arquitectura de negocio de la Municipalidad Metropolitana de Lima (MML).</w:t>
      </w:r>
    </w:p>
    <w:p>
      <w:pPr>
        <w:spacing w:after="120" w:line="276"/>
        <w:jc w:val="both"/>
      </w:pPr>
      <w:r>
        <w:t xml:space="preserve">Este documento es complementario al Documento de Definición de Arquitectura: mientras aquel ofrece una visión cualitativa de la solución, esta especificación aporta una visión cuantitativa, con criterios medibles que deben verificarse durante la implementación. Sus requisitos son trazables a las metas (MET-01 a MET-05), objetivos (OBJ-01 a OBJ-06) y brechas identificadas en las fases Preliminar y A y en el Documento de Definición.</w:t>
      </w:r>
    </w:p>
    <w:p>
      <w:pPr>
        <w:pStyle w:val="Heading1"/>
      </w:pPr>
      <w:r>
        <w:t xml:space="preserve">2. Requisitos de arquitectura</w:t>
      </w:r>
    </w:p>
    <w:p>
      <w:pPr>
        <w:pStyle w:val="Heading2"/>
      </w:pPr>
      <w:r>
        <w:t xml:space="preserve">2.1. Requisitos de arquitectura</w:t>
      </w:r>
    </w:p>
    <w:p>
      <w:pPr>
        <w:spacing w:after="120" w:line="276"/>
        <w:jc w:val="both"/>
      </w:pPr>
      <w:r>
        <w:t xml:space="preserve">Requisitos funcionales y de negocio de la Fase B. Cada requisito incluye criterio de aceptación medible, prioridad (MoSCoW) y trazabilidad a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360"/>
        <w:gridCol w:w="900"/>
        <w:gridCol w:w="13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ID</w:t>
            </w:r>
          </w:p>
        </w:tc>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Requisito de arquitectura</w:t>
            </w:r>
          </w:p>
        </w:tc>
        <w:tc>
          <w:tcPr>
            <w:tcW w:type="dxa" w:w="33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Criterio de aceptación (medible)</w:t>
            </w:r>
          </w:p>
        </w:tc>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Prior.</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Traza</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RA-01</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Habilitar una mesa de partes virtual para la recepción de documentos.</w:t>
            </w:r>
          </w:p>
        </w:tc>
        <w:tc>
          <w:tcPr>
            <w:tcW w:type="dxa" w:w="3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100 % de los trámites prioritarios admiten ingreso digital con cargo electrónico.</w:t>
            </w:r>
          </w:p>
        </w:tc>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Must</w:t>
            </w:r>
          </w:p>
        </w:tc>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OBJ-02</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RA-02</w:t>
            </w:r>
          </w:p>
        </w:tc>
        <w:tc>
          <w:tcPr>
            <w:tcW w:type="dxa" w:w="3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Digitalizar los trámites ciudadanos prioritarios.</w:t>
            </w:r>
          </w:p>
        </w:tc>
        <w:tc>
          <w:tcPr>
            <w:tcW w:type="dxa" w:w="33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 70 % de los trámites prioritarios disponibles en canal digital.</w:t>
            </w:r>
          </w:p>
        </w:tc>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Must</w:t>
            </w:r>
          </w:p>
        </w:tc>
        <w:tc>
          <w:tcPr>
            <w:tcW w:type="dxa" w:w="13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OBJ-01</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RA-03</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Ofrecer seguimiento de expedientes de extremo a extremo.</w:t>
            </w:r>
          </w:p>
        </w:tc>
        <w:tc>
          <w:tcPr>
            <w:tcW w:type="dxa" w:w="3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100 % de expedientes con estado y responsable consultables en línea.</w:t>
            </w:r>
          </w:p>
        </w:tc>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Must</w:t>
            </w:r>
          </w:p>
        </w:tc>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OBJ-02</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RA-04</w:t>
            </w:r>
          </w:p>
        </w:tc>
        <w:tc>
          <w:tcPr>
            <w:tcW w:type="dxa" w:w="3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Permitir el pago en línea de arbitrios y tasas.</w:t>
            </w:r>
          </w:p>
        </w:tc>
        <w:tc>
          <w:tcPr>
            <w:tcW w:type="dxa" w:w="33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Pago digital disponible y conciliación automática en ≤ 24 h.</w:t>
            </w:r>
          </w:p>
        </w:tc>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Must</w:t>
            </w:r>
          </w:p>
        </w:tc>
        <w:tc>
          <w:tcPr>
            <w:tcW w:type="dxa" w:w="13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OBJ-05</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RA-05</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Reducir el tiempo promedio de atención de trámites prioritarios.</w:t>
            </w:r>
          </w:p>
        </w:tc>
        <w:tc>
          <w:tcPr>
            <w:tcW w:type="dxa" w:w="3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Reducción ≥ 40 % respecto de la línea base.</w:t>
            </w:r>
          </w:p>
        </w:tc>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Should</w:t>
            </w:r>
          </w:p>
        </w:tc>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OBJ-05</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RA-06</w:t>
            </w:r>
          </w:p>
        </w:tc>
        <w:tc>
          <w:tcPr>
            <w:tcW w:type="dxa" w:w="3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Establecer un registro único del ciudadano.</w:t>
            </w:r>
          </w:p>
        </w:tc>
        <w:tc>
          <w:tcPr>
            <w:tcW w:type="dxa" w:w="33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Un único identificador por ciudadano usado por los procesos en alcance.</w:t>
            </w:r>
          </w:p>
        </w:tc>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Must</w:t>
            </w:r>
          </w:p>
        </w:tc>
        <w:tc>
          <w:tcPr>
            <w:tcW w:type="dxa" w:w="13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OBJ-04</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RA-07</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Notificar electrónicamente al ciudadano los avances del trámite.</w:t>
            </w:r>
          </w:p>
        </w:tc>
        <w:tc>
          <w:tcPr>
            <w:tcW w:type="dxa" w:w="3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100 % de cambios de estado generan notificación electrónica.</w:t>
            </w:r>
          </w:p>
        </w:tc>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Should</w:t>
            </w:r>
          </w:p>
        </w:tc>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OBJ-02</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RA-08</w:t>
            </w:r>
          </w:p>
        </w:tc>
        <w:tc>
          <w:tcPr>
            <w:tcW w:type="dxa" w:w="3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Gestionar reclamos con acuerdos de nivel de servicio (SLA).</w:t>
            </w:r>
          </w:p>
        </w:tc>
        <w:tc>
          <w:tcPr>
            <w:tcW w:type="dxa" w:w="33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100 % de reclamos con plazo definido y alerta por vencimiento.</w:t>
            </w:r>
          </w:p>
        </w:tc>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Should</w:t>
            </w:r>
          </w:p>
        </w:tc>
        <w:tc>
          <w:tcPr>
            <w:tcW w:type="dxa" w:w="13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OBJ-01</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RA-09</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Integrar fiscalización con la información tributaria.</w:t>
            </w:r>
          </w:p>
        </w:tc>
        <w:tc>
          <w:tcPr>
            <w:tcW w:type="dxa" w:w="3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Actas digitales vinculadas al registro del contribuyente.</w:t>
            </w:r>
          </w:p>
        </w:tc>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Could</w:t>
            </w:r>
          </w:p>
        </w:tc>
        <w:tc>
          <w:tcPr>
            <w:tcW w:type="dxa" w:w="13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OBJ-03</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RA-10</w:t>
            </w:r>
          </w:p>
        </w:tc>
        <w:tc>
          <w:tcPr>
            <w:tcW w:type="dxa" w:w="3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Garantizar trazabilidad y registro de auditoría de los procesos.</w:t>
            </w:r>
          </w:p>
        </w:tc>
        <w:tc>
          <w:tcPr>
            <w:tcW w:type="dxa" w:w="33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100 % de acciones críticas registradas con usuario y fecha/hora.</w:t>
            </w:r>
          </w:p>
        </w:tc>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Must</w:t>
            </w:r>
          </w:p>
        </w:tc>
        <w:tc>
          <w:tcPr>
            <w:tcW w:type="dxa" w:w="13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OBJ-06</w:t>
            </w:r>
          </w:p>
        </w:tc>
      </w:tr>
    </w:tbl>
    <w:p>
      <w:pPr>
        <w:spacing w:after="200" w:before="60"/>
        <w:jc w:val="center"/>
      </w:pPr>
      <w:r>
        <w:rPr>
          <w:i/>
          <w:iCs/>
          <w:color w:val="808080"/>
          <w:sz w:val="18"/>
          <w:szCs w:val="18"/>
        </w:rPr>
        <w:t xml:space="preserve">Tabla 2.1. Catálogo de requisitos de arquitectura de negocio (Fase B).</w:t>
      </w:r>
    </w:p>
    <w:p>
      <w:pPr>
        <w:pStyle w:val="Heading2"/>
      </w:pPr>
      <w:r>
        <w:t xml:space="preserve">2.2. Requisitos de interoperabilidad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45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ID</w:t>
            </w:r>
          </w:p>
        </w:tc>
        <w:tc>
          <w:tcPr>
            <w:tcW w:type="dxa" w:w="40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Requisito de interoperabilidad</w:t>
            </w:r>
          </w:p>
        </w:tc>
        <w:tc>
          <w:tcPr>
            <w:tcW w:type="dxa" w:w="4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Criterio de aceptación</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RI-01</w:t>
            </w:r>
          </w:p>
        </w:tc>
        <w:tc>
          <w:tcPr>
            <w:tcW w:type="dxa" w:w="40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Integración con la Plataforma de Interoperabilidad del Estado (PIDE).</w:t>
            </w:r>
          </w:p>
        </w:tc>
        <w:tc>
          <w:tcPr>
            <w:tcW w:type="dxa" w:w="4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Los servicios en alcance intercambian datos vía PIDE conforme a la SGTD–PCM.</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RI-02</w:t>
            </w:r>
          </w:p>
        </w:tc>
        <w:tc>
          <w:tcPr>
            <w:tcW w:type="dxa" w:w="40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Validación de identidad con RENIEC.</w:t>
            </w:r>
          </w:p>
        </w:tc>
        <w:tc>
          <w:tcPr>
            <w:tcW w:type="dxa" w:w="45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La autenticación del ciudadano se valida contra RENIEC en línea.</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RI-03</w:t>
            </w:r>
          </w:p>
        </w:tc>
        <w:tc>
          <w:tcPr>
            <w:tcW w:type="dxa" w:w="40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Integración con la pasarela de pagos del Estado / Gob.pe.</w:t>
            </w:r>
          </w:p>
        </w:tc>
        <w:tc>
          <w:tcPr>
            <w:tcW w:type="dxa" w:w="4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Los pagos digitales se procesan por el servicio estatal habilitado.</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RI-04</w:t>
            </w:r>
          </w:p>
        </w:tc>
        <w:tc>
          <w:tcPr>
            <w:tcW w:type="dxa" w:w="40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Uso de firma digital del Estado.</w:t>
            </w:r>
          </w:p>
        </w:tc>
        <w:tc>
          <w:tcPr>
            <w:tcW w:type="dxa" w:w="45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Las resoluciones y certificados se emiten con firma digital válida.</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RI-05</w:t>
            </w:r>
          </w:p>
        </w:tc>
        <w:tc>
          <w:tcPr>
            <w:tcW w:type="dxa" w:w="40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Exposición de servicios internos como APIs.</w:t>
            </w:r>
          </w:p>
        </w:tc>
        <w:tc>
          <w:tcPr>
            <w:tcW w:type="dxa" w:w="4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Los sistemas en alcance publican/consumen servicios mediante APIs documentadas.</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RI-06</w:t>
            </w:r>
          </w:p>
        </w:tc>
        <w:tc>
          <w:tcPr>
            <w:tcW w:type="dxa" w:w="40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Estándares de modelado comunes.</w:t>
            </w:r>
          </w:p>
        </w:tc>
        <w:tc>
          <w:tcPr>
            <w:tcW w:type="dxa" w:w="45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Arquitectura modelada en ArchiMate 3.1 y procesos en BPMN 2.0.</w:t>
            </w:r>
          </w:p>
        </w:tc>
      </w:tr>
    </w:tbl>
    <w:p>
      <w:pPr>
        <w:pStyle w:val="Heading2"/>
      </w:pPr>
      <w:r>
        <w:t xml:space="preserve">2.3.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ID</w:t>
            </w:r>
          </w:p>
        </w:tc>
        <w:tc>
          <w:tcPr>
            <w:tcW w:type="dxa" w:w="6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Restricción</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Tipo</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RC-01</w:t>
            </w:r>
          </w:p>
        </w:tc>
        <w:tc>
          <w:tcPr>
            <w:tcW w:type="dxa" w:w="6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Presupuesto público limitado y sujeto a aprobación anual.</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Económica</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RC-02</w:t>
            </w:r>
          </w:p>
        </w:tc>
        <w:tc>
          <w:tcPr>
            <w:tcW w:type="dxa" w:w="65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Cumplimiento obligatorio del D. L. N° 1412 y D. S. N° 029-2021-PCM.</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Normativa</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RC-03</w:t>
            </w:r>
          </w:p>
        </w:tc>
        <w:tc>
          <w:tcPr>
            <w:tcW w:type="dxa" w:w="6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Protección de datos personales conforme a la Ley N° 29733.</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Normativa</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RC-04</w:t>
            </w:r>
          </w:p>
        </w:tc>
        <w:tc>
          <w:tcPr>
            <w:tcW w:type="dxa" w:w="65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Integración técnica obligatoria con la PIDE.</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Técnica</w:t>
            </w:r>
          </w:p>
        </w:tc>
      </w:tr>
      <w:tr>
        <w:tc>
          <w:tcPr>
            <w:tcW w:type="dxa" w:w="8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RC-05</w:t>
            </w:r>
          </w:p>
        </w:tc>
        <w:tc>
          <w:tcPr>
            <w:tcW w:type="dxa" w:w="6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Sistemas heredados poco documentados.</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Tecnológica</w:t>
            </w:r>
          </w:p>
        </w:tc>
      </w:tr>
      <w:tr>
        <w:tc>
          <w:tcPr>
            <w:tcW w:type="dxa" w:w="8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RC-06</w:t>
            </w:r>
          </w:p>
        </w:tc>
        <w:tc>
          <w:tcPr>
            <w:tcW w:type="dxa" w:w="65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Alta rotación política y de autoridades.</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Organizacional</w:t>
            </w:r>
          </w:p>
        </w:tc>
      </w:tr>
    </w:tbl>
    <w:p>
      <w:pPr>
        <w:pStyle w:val="Heading2"/>
      </w:pPr>
      <w:r>
        <w:t xml:space="preserve">2.4. Supuestos</w:t>
      </w:r>
    </w:p>
    <w:p>
      <w:pPr>
        <w:pStyle w:val="ListParagraph"/>
        <w:numPr>
          <w:ilvl w:val="0"/>
          <w:numId w:val="2"/>
        </w:numPr>
        <w:spacing w:after="60" w:line="276"/>
      </w:pPr>
      <w:r>
        <w:t xml:space="preserve">La Gerencia Municipal mantiene el patrocinio ejecutivo y la estructura de AE se formaliza por resolución gerencial.</w:t>
      </w:r>
    </w:p>
    <w:p>
      <w:pPr>
        <w:pStyle w:val="ListParagraph"/>
        <w:numPr>
          <w:ilvl w:val="0"/>
          <w:numId w:val="2"/>
        </w:numPr>
        <w:spacing w:after="60" w:line="276"/>
      </w:pPr>
      <w:r>
        <w:t xml:space="preserve">Los servicios del Estado (PIDE, RENIEC, pagos, firma digital) están disponibles para la integración.</w:t>
      </w:r>
    </w:p>
    <w:p>
      <w:pPr>
        <w:pStyle w:val="ListParagraph"/>
        <w:numPr>
          <w:ilvl w:val="0"/>
          <w:numId w:val="2"/>
        </w:numPr>
        <w:spacing w:after="60" w:line="276"/>
      </w:pPr>
      <w:r>
        <w:t xml:space="preserve">Se cuenta con disponibilidad presupuestal mínima para iniciar la Hoja de Ruta.</w:t>
      </w:r>
    </w:p>
    <w:p>
      <w:pPr>
        <w:pStyle w:val="ListParagraph"/>
        <w:numPr>
          <w:ilvl w:val="0"/>
          <w:numId w:val="2"/>
        </w:numPr>
        <w:spacing w:after="60" w:line="276"/>
      </w:pPr>
      <w:r>
        <w:t xml:space="preserve">El personal de la GTI participa en la transferencia de conocimiento desde los consultores.</w:t>
      </w:r>
    </w:p>
    <w:p>
      <w:pPr>
        <w:pStyle w:val="Heading2"/>
      </w:pPr>
      <w:r>
        <w:t xml:space="preserve">2.5. Medidas de éxito (KPI)</w:t>
      </w:r>
    </w:p>
    <w:p>
      <w:pPr>
        <w:spacing w:after="120" w:line="276"/>
        <w:jc w:val="both"/>
      </w:pPr>
      <w:r>
        <w:t xml:space="preserve">Indicadores clave heredados de la Fase A que cuantifican el logro de la arquitectura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2000"/>
        <w:gridCol w:w="20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ID</w:t>
            </w:r>
          </w:p>
        </w:tc>
        <w:tc>
          <w:tcPr>
            <w:tcW w:type="dxa" w:w="44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Indicador (KPI)</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Línea base</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Meta</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KPI-01</w:t>
            </w:r>
          </w:p>
        </w:tc>
        <w:tc>
          <w:tcPr>
            <w:tcW w:type="dxa" w:w="4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Trámites disponibles en canal digital</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Bajo</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 70 %</w:t>
            </w:r>
          </w:p>
        </w:tc>
      </w:tr>
      <w:tr>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KPI-02</w:t>
            </w:r>
          </w:p>
        </w:tc>
        <w:tc>
          <w:tcPr>
            <w:tcW w:type="dxa" w:w="44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Reducción del tiempo promedio de atención</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−40 %</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KPI-03</w:t>
            </w:r>
          </w:p>
        </w:tc>
        <w:tc>
          <w:tcPr>
            <w:tcW w:type="dxa" w:w="4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Sistemas integrados vía interoperabilidad</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Mínimo</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Mayoría</w:t>
            </w:r>
          </w:p>
        </w:tc>
      </w:tr>
      <w:tr>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KPI-04</w:t>
            </w:r>
          </w:p>
        </w:tc>
        <w:tc>
          <w:tcPr>
            <w:tcW w:type="dxa" w:w="44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Satisfacción ciudadana con la atención</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 80 %</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KPI-05</w:t>
            </w:r>
          </w:p>
        </w:tc>
        <w:tc>
          <w:tcPr>
            <w:tcW w:type="dxa" w:w="4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Trámites con trazabilidad de extremo a extremo</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Parcial</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100 %</w:t>
            </w:r>
          </w:p>
        </w:tc>
      </w:tr>
    </w:tbl>
    <w:p>
      <w:pPr>
        <w:spacing w:after="200" w:before="60"/>
        <w:jc w:val="center"/>
      </w:pPr>
      <w:r>
        <w:rPr>
          <w:i/>
          <w:iCs/>
          <w:color w:val="808080"/>
          <w:sz w:val="18"/>
          <w:szCs w:val="18"/>
        </w:rPr>
        <w:t xml:space="preserve">Tabla 2.2. Medidas de éxito de la transformación.</w:t>
      </w:r>
    </w:p>
    <w:p>
      <w:r>
        <w:br w:type="page"/>
      </w:r>
    </w:p>
    <w:p>
      <w:pPr>
        <w:pStyle w:val="Heading1"/>
      </w:pPr>
      <w:r>
        <w:t xml:space="preserve">3. Contratos de servicio</w:t>
      </w:r>
    </w:p>
    <w:p>
      <w:pPr>
        <w:pStyle w:val="Heading2"/>
      </w:pPr>
      <w:r>
        <w:t xml:space="preserve">3.1. Contratos de servicio de negocio</w:t>
      </w:r>
    </w:p>
    <w:p>
      <w:pPr>
        <w:spacing w:after="120" w:line="276"/>
        <w:jc w:val="both"/>
      </w:pPr>
      <w:r>
        <w:t xml:space="preserve">Definen el acuerdo entre el servicio de negocio y sus consumidores (ciudadanos, empresas, otras áreas), con sus niveles de servicio comprometidos: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3360"/>
        <w:gridCol w:w="15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Servicio (ref.)</w:t>
            </w:r>
          </w:p>
        </w:tc>
        <w:tc>
          <w:tcPr>
            <w:tcW w:type="dxa" w:w="1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Consumidor</w:t>
            </w:r>
          </w:p>
        </w:tc>
        <w:tc>
          <w:tcPr>
            <w:tcW w:type="dxa" w:w="33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Nivel de servicio comprometido</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Disponibilidad</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SRV-01 Mesa de partes virtual</w:t>
            </w:r>
          </w:p>
        </w:tc>
        <w:tc>
          <w:tcPr>
            <w:tcW w:type="dxa" w:w="1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Ciudadano / Empresa</w:t>
            </w:r>
          </w:p>
        </w:tc>
        <w:tc>
          <w:tcPr>
            <w:tcW w:type="dxa" w:w="3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Cargo electrónico inmediato al ingresar un documento.</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24/7</w:t>
            </w:r>
          </w:p>
        </w:tc>
      </w:tr>
      <w:tr>
        <w:tc>
          <w:tcPr>
            <w:tcW w:type="dxa" w:w="26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SRV-02 Licencia en línea</w:t>
            </w:r>
          </w:p>
        </w:tc>
        <w:tc>
          <w:tcPr>
            <w:tcW w:type="dxa" w:w="1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Empresa / Comercio</w:t>
            </w:r>
          </w:p>
        </w:tc>
        <w:tc>
          <w:tcPr>
            <w:tcW w:type="dxa" w:w="33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Resolución dentro del plazo legal; estado consultable.</w:t>
            </w:r>
          </w:p>
        </w:tc>
        <w:tc>
          <w:tcPr>
            <w:tcW w:type="dxa" w:w="15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24/7 (solicitud)</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SRV-03 Pago de arbitrios en línea</w:t>
            </w:r>
          </w:p>
        </w:tc>
        <w:tc>
          <w:tcPr>
            <w:tcW w:type="dxa" w:w="1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Ciudadano / Empresa</w:t>
            </w:r>
          </w:p>
        </w:tc>
        <w:tc>
          <w:tcPr>
            <w:tcW w:type="dxa" w:w="3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Confirmación de pago y conciliación ≤ 24 h.</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24/7</w:t>
            </w:r>
          </w:p>
        </w:tc>
      </w:tr>
      <w:tr>
        <w:tc>
          <w:tcPr>
            <w:tcW w:type="dxa" w:w="26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SRV-04 Consulta de expedientes</w:t>
            </w:r>
          </w:p>
        </w:tc>
        <w:tc>
          <w:tcPr>
            <w:tcW w:type="dxa" w:w="1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Ciudadano / Empresa</w:t>
            </w:r>
          </w:p>
        </w:tc>
        <w:tc>
          <w:tcPr>
            <w:tcW w:type="dxa" w:w="33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Estado actualizado del expediente en tiempo real.</w:t>
            </w:r>
          </w:p>
        </w:tc>
        <w:tc>
          <w:tcPr>
            <w:tcW w:type="dxa" w:w="15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24/7</w:t>
            </w:r>
          </w:p>
        </w:tc>
      </w:tr>
      <w:tr>
        <w:tc>
          <w:tcPr>
            <w:tcW w:type="dxa" w:w="26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SRV-05 Atención de reclamos</w:t>
            </w:r>
          </w:p>
        </w:tc>
        <w:tc>
          <w:tcPr>
            <w:tcW w:type="dxa" w:w="1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Ciudadano</w:t>
            </w:r>
          </w:p>
        </w:tc>
        <w:tc>
          <w:tcPr>
            <w:tcW w:type="dxa" w:w="33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Respuesta dentro del SLA definido por tipo de reclamo.</w:t>
            </w:r>
          </w:p>
        </w:tc>
        <w:tc>
          <w:tcPr>
            <w:tcW w:type="dxa" w:w="15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24/7 (registro)</w:t>
            </w:r>
          </w:p>
        </w:tc>
      </w:tr>
    </w:tbl>
    <w:p>
      <w:pPr>
        <w:pStyle w:val="Heading2"/>
      </w:pPr>
      <w:r>
        <w:t xml:space="preserve">3.2. Contratos de servicio de aplicación</w:t>
      </w:r>
    </w:p>
    <w:p>
      <w:pPr>
        <w:spacing w:after="120" w:line="276"/>
        <w:jc w:val="both"/>
      </w:pPr>
      <w:r>
        <w:t xml:space="preserve">Definen las condiciones de los servicios de aplicación (APIs) que soportan los servicios de negocio. El detalle se completará en la Fase C; en esta fase se establecen los contratos a alto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Servicio de aplicación</w:t>
            </w:r>
          </w:p>
        </w:tc>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Provee</w:t>
            </w:r>
          </w:p>
        </w:tc>
        <w:tc>
          <w:tcPr>
            <w:tcW w:type="dxa" w:w="2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Consume</w:t>
            </w:r>
          </w:p>
        </w:tc>
        <w:tc>
          <w:tcPr>
            <w:tcW w:type="dxa" w:w="2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Compromiso</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API de autenticación</w:t>
            </w:r>
          </w:p>
        </w:tc>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Identidad validada (RENIEC)</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Trámites en línea</w:t>
            </w:r>
          </w:p>
        </w:tc>
        <w:tc>
          <w:tcPr>
            <w:tcW w:type="dxa" w:w="2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Respuesta en línea; alta disponibilidad.</w:t>
            </w:r>
          </w:p>
        </w:tc>
      </w:tr>
      <w:tr>
        <w:tc>
          <w:tcPr>
            <w:tcW w:type="dxa" w:w="24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API de notificación</w:t>
            </w:r>
          </w:p>
        </w:tc>
        <w:tc>
          <w:tcPr>
            <w:tcW w:type="dxa" w:w="24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Envío de notificaciones electrónicas</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Todos los procesos</w:t>
            </w:r>
          </w:p>
        </w:tc>
        <w:tc>
          <w:tcPr>
            <w:tcW w:type="dxa" w:w="25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Entrega registrada y trazable.</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API de pagos</w:t>
            </w:r>
          </w:p>
        </w:tc>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Procesamiento de pagos digitales</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Recaudación / licencias</w:t>
            </w:r>
          </w:p>
        </w:tc>
        <w:tc>
          <w:tcPr>
            <w:tcW w:type="dxa" w:w="2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Confirmación y conciliación automática.</w:t>
            </w:r>
          </w:p>
        </w:tc>
      </w:tr>
      <w:tr>
        <w:tc>
          <w:tcPr>
            <w:tcW w:type="dxa" w:w="24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API de expedientes</w:t>
            </w:r>
          </w:p>
        </w:tc>
        <w:tc>
          <w:tcPr>
            <w:tcW w:type="dxa" w:w="24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Estado y trazabilidad del expediente</w:t>
            </w:r>
          </w:p>
        </w:tc>
        <w:tc>
          <w:tcPr>
            <w:tcW w:type="dxa" w:w="2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Consulta / seguimiento</w:t>
            </w:r>
          </w:p>
        </w:tc>
        <w:tc>
          <w:tcPr>
            <w:tcW w:type="dxa" w:w="25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Estado consistente y en tiempo real.</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Servicios PIDE</w:t>
            </w:r>
          </w:p>
        </w:tc>
        <w:tc>
          <w:tcPr>
            <w:tcW w:type="dxa" w:w="24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Intercambio interinstitucional</w:t>
            </w:r>
          </w:p>
        </w:tc>
        <w:tc>
          <w:tcPr>
            <w:tcW w:type="dxa" w:w="2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Procesos integrados</w:t>
            </w:r>
          </w:p>
        </w:tc>
        <w:tc>
          <w:tcPr>
            <w:tcW w:type="dxa" w:w="25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Conforme a estándares SGTD–PCM.</w:t>
            </w:r>
          </w:p>
        </w:tc>
      </w:tr>
    </w:tbl>
    <w:p>
      <w:r>
        <w:br w:type="page"/>
      </w:r>
    </w:p>
    <w:p>
      <w:pPr>
        <w:pStyle w:val="Heading1"/>
      </w:pPr>
      <w:r>
        <w:t xml:space="preserve">4. Implementación</w:t>
      </w:r>
    </w:p>
    <w:p>
      <w:pPr>
        <w:pStyle w:val="Heading2"/>
      </w:pPr>
      <w:r>
        <w:t xml:space="preserve">4.1. Directrices de implementación</w:t>
      </w:r>
    </w:p>
    <w:p>
      <w:pPr>
        <w:pStyle w:val="ListParagraph"/>
        <w:numPr>
          <w:ilvl w:val="0"/>
          <w:numId w:val="2"/>
        </w:numPr>
        <w:spacing w:after="60" w:line="276"/>
      </w:pPr>
      <w:r>
        <w:t xml:space="preserve">Priorizar los procesos de mayor valor ciudadano (licencias, arbitrios, mesa de partes) en las primeras entregas.</w:t>
      </w:r>
    </w:p>
    <w:p>
      <w:pPr>
        <w:pStyle w:val="ListParagraph"/>
        <w:numPr>
          <w:ilvl w:val="0"/>
          <w:numId w:val="2"/>
        </w:numPr>
        <w:spacing w:after="60" w:line="276"/>
      </w:pPr>
      <w:r>
        <w:t xml:space="preserve">Rediseñar los procesos en BPMN 2.0 antes de su automatización; no automatizar procesos ineficientes.</w:t>
      </w:r>
    </w:p>
    <w:p>
      <w:pPr>
        <w:pStyle w:val="ListParagraph"/>
        <w:numPr>
          <w:ilvl w:val="0"/>
          <w:numId w:val="2"/>
        </w:numPr>
        <w:spacing w:after="60" w:line="276"/>
      </w:pPr>
      <w:r>
        <w:t xml:space="preserve">Reutilizar servicios comunes del Estado (PIDE, RENIEC, pagos, firma digital) en lugar de construir capacidades redundantes.</w:t>
      </w:r>
    </w:p>
    <w:p>
      <w:pPr>
        <w:pStyle w:val="ListParagraph"/>
        <w:numPr>
          <w:ilvl w:val="0"/>
          <w:numId w:val="2"/>
        </w:numPr>
        <w:spacing w:after="60" w:line="276"/>
      </w:pPr>
      <w:r>
        <w:t xml:space="preserve">Aplicar entregas incrementales por arquitecturas de transición, validando valor con los KPI en cada paso.</w:t>
      </w:r>
    </w:p>
    <w:p>
      <w:pPr>
        <w:pStyle w:val="ListParagraph"/>
        <w:numPr>
          <w:ilvl w:val="0"/>
          <w:numId w:val="2"/>
        </w:numPr>
        <w:spacing w:after="60" w:line="276"/>
      </w:pPr>
      <w:r>
        <w:t xml:space="preserve">Incorporar seguridad y protección de datos por diseño desde el primer incremento.</w:t>
      </w:r>
    </w:p>
    <w:p>
      <w:pPr>
        <w:pStyle w:val="ListParagraph"/>
        <w:numPr>
          <w:ilvl w:val="0"/>
          <w:numId w:val="2"/>
        </w:numPr>
        <w:spacing w:after="60" w:line="276"/>
      </w:pPr>
      <w:r>
        <w:t xml:space="preserve">Gestionar el cambio y capacitar al personal en paralelo a la implementación técnica.</w:t>
      </w:r>
    </w:p>
    <w:p>
      <w:pPr>
        <w:pStyle w:val="Heading2"/>
      </w:pPr>
      <w:r>
        <w:t xml:space="preserve">4.2. Especificaciones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ID</w:t>
            </w:r>
          </w:p>
        </w:tc>
        <w:tc>
          <w:tcPr>
            <w:tcW w:type="dxa" w:w="54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Especificación</w:t>
            </w:r>
          </w:p>
        </w:tc>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Requisito asociado</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ESP-01</w:t>
            </w:r>
          </w:p>
        </w:tc>
        <w:tc>
          <w:tcPr>
            <w:tcW w:type="dxa" w:w="5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Plataforma de trámites en línea con catálogo de servicios configurable.</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RA-01, RA-02</w:t>
            </w:r>
          </w:p>
        </w:tc>
      </w:tr>
      <w:tr>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ESP-02</w:t>
            </w:r>
          </w:p>
        </w:tc>
        <w:tc>
          <w:tcPr>
            <w:tcW w:type="dxa" w:w="54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Motor de flujos de trabajo (BPM) para los procesos rediseñados.</w:t>
            </w:r>
          </w:p>
        </w:tc>
        <w:tc>
          <w:tcPr>
            <w:tcW w:type="dxa" w:w="3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RA-03, RA-08</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ESP-03</w:t>
            </w:r>
          </w:p>
        </w:tc>
        <w:tc>
          <w:tcPr>
            <w:tcW w:type="dxa" w:w="5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Registro único del ciudadano con identificador unívoco.</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RA-06</w:t>
            </w:r>
          </w:p>
        </w:tc>
      </w:tr>
      <w:tr>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ESP-04</w:t>
            </w:r>
          </w:p>
        </w:tc>
        <w:tc>
          <w:tcPr>
            <w:tcW w:type="dxa" w:w="54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Servicio de notificación electrónica integrado a todos los trámites.</w:t>
            </w:r>
          </w:p>
        </w:tc>
        <w:tc>
          <w:tcPr>
            <w:tcW w:type="dxa" w:w="3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RA-07</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ESP-05</w:t>
            </w:r>
          </w:p>
        </w:tc>
        <w:tc>
          <w:tcPr>
            <w:tcW w:type="dxa" w:w="5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Pasarela de pagos integrada con conciliación automática.</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RA-04</w:t>
            </w:r>
          </w:p>
        </w:tc>
      </w:tr>
      <w:tr>
        <w:tc>
          <w:tcPr>
            <w:tcW w:type="dxa" w:w="9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ESP-06</w:t>
            </w:r>
          </w:p>
        </w:tc>
        <w:tc>
          <w:tcPr>
            <w:tcW w:type="dxa" w:w="546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Bus/servicios de interoperabilidad para integración con PIDE y RENIEC.</w:t>
            </w:r>
          </w:p>
        </w:tc>
        <w:tc>
          <w:tcPr>
            <w:tcW w:type="dxa" w:w="3000"/>
            <w:tcBorders>
              <w:top w:val="single" w:color="BFBFBF" w:sz="1"/>
              <w:left w:val="single" w:color="BFBFBF" w:sz="1"/>
              <w:bottom w:val="single" w:color="BFBFBF" w:sz="1"/>
              <w:right w:val="single" w:color="BFBFBF" w:sz="1"/>
            </w:tcBorders>
            <w:shd w:fill="EEF2F9" w:val="clear"/>
            <w:tcMar>
              <w:top w:type="dxa" w:w="50"/>
              <w:left w:type="dxa" w:w="100"/>
              <w:bottom w:type="dxa" w:w="50"/>
              <w:right w:type="dxa" w:w="100"/>
            </w:tcMar>
            <w:vAlign w:val="center"/>
          </w:tcPr>
          <w:p>
            <w:pPr>
              <w:spacing w:after="0" w:line="252"/>
            </w:pPr>
            <w:r>
              <w:rPr>
                <w:sz w:val="18"/>
                <w:szCs w:val="18"/>
              </w:rPr>
              <w:t xml:space="preserve">RI-01, RI-02</w:t>
            </w:r>
          </w:p>
        </w:tc>
      </w:tr>
      <w:tr>
        <w:tc>
          <w:tcPr>
            <w:tcW w:type="dxa" w:w="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ESP-07</w:t>
            </w:r>
          </w:p>
        </w:tc>
        <w:tc>
          <w:tcPr>
            <w:tcW w:type="dxa" w:w="546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Registro de auditoría centralizado de acciones críticas.</w:t>
            </w:r>
          </w:p>
        </w:tc>
        <w:tc>
          <w:tcPr>
            <w:tcW w:type="dxa" w:w="30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pPr>
              <w:spacing w:after="0" w:line="252"/>
            </w:pPr>
            <w:r>
              <w:rPr>
                <w:sz w:val="18"/>
                <w:szCs w:val="18"/>
              </w:rPr>
              <w:t xml:space="preserve">RA-10</w:t>
            </w:r>
          </w:p>
        </w:tc>
      </w:tr>
    </w:tbl>
    <w:p>
      <w:pPr>
        <w:pStyle w:val="Heading2"/>
      </w:pPr>
      <w:r>
        <w:t xml:space="preserve">4.3. Estándares de implementación</w:t>
      </w:r>
    </w:p>
    <w:p>
      <w:pPr>
        <w:pStyle w:val="ListParagraph"/>
        <w:numPr>
          <w:ilvl w:val="0"/>
          <w:numId w:val="2"/>
        </w:numPr>
        <w:spacing w:after="60" w:line="276"/>
      </w:pPr>
      <w:r>
        <w:t xml:space="preserve">Método y modelado: TOGAF (ADM), ArchiMate 3.1, BPMN 2.0.</w:t>
      </w:r>
    </w:p>
    <w:p>
      <w:pPr>
        <w:pStyle w:val="ListParagraph"/>
        <w:numPr>
          <w:ilvl w:val="0"/>
          <w:numId w:val="2"/>
        </w:numPr>
        <w:spacing w:after="60" w:line="276"/>
      </w:pPr>
      <w:r>
        <w:t xml:space="preserve">Gobierno digital: D. L. N° 1412, D. S. N° 029-2021-PCM, MADE y lineamientos SGTD–PCM.</w:t>
      </w:r>
    </w:p>
    <w:p>
      <w:pPr>
        <w:pStyle w:val="ListParagraph"/>
        <w:numPr>
          <w:ilvl w:val="0"/>
          <w:numId w:val="2"/>
        </w:numPr>
        <w:spacing w:after="60" w:line="276"/>
      </w:pPr>
      <w:r>
        <w:t xml:space="preserve">Seguridad y datos: ISO/IEC 27001 y Ley N° 29733 (protección de datos personales).</w:t>
      </w:r>
    </w:p>
    <w:p>
      <w:pPr>
        <w:pStyle w:val="ListParagraph"/>
        <w:numPr>
          <w:ilvl w:val="0"/>
          <w:numId w:val="2"/>
        </w:numPr>
        <w:spacing w:after="60" w:line="276"/>
      </w:pPr>
      <w:r>
        <w:t xml:space="preserve">Gestión de servicios y proyectos: ITIL 4 y PMI/PMBOK.</w:t>
      </w:r>
    </w:p>
    <w:p>
      <w:pPr>
        <w:pStyle w:val="ListParagraph"/>
        <w:numPr>
          <w:ilvl w:val="0"/>
          <w:numId w:val="2"/>
        </w:numPr>
        <w:spacing w:after="60" w:line="276"/>
      </w:pPr>
      <w:r>
        <w:t xml:space="preserve">Interoperabilidad: estándares de la PIDE y servicios del Estado (RENIEC, Gob.pe, pagos, firma digital).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2"/>
      </w:pBdr>
      <w:jc w:val="center"/>
    </w:pPr>
    <w:r>
      <w:rPr>
        <w:color w:val="808080"/>
        <w:sz w:val="16"/>
        <w:szCs w:val="16"/>
      </w:rPr>
      <w:t xml:space="preserve">Fase B – Arquitectura de Negocio · Municipalidad Metropolitana de Lima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2"/>
      </w:pBdr>
      <w:spacing w:after="0"/>
    </w:pPr>
    <w:r>
      <w:rPr>
        <w:color w:val="808080"/>
        <w:sz w:val="16"/>
        <w:szCs w:val="16"/>
      </w:rPr>
      <w:t xml:space="preserve">TOGAF · MML · Especificación de Requisitos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Arquitectura</dc:title>
  <dc:creator>Equipo de Arquitectura Empresarial - FIIS UNI</dc:creator>
  <cp:lastModifiedBy>Un-named</cp:lastModifiedBy>
  <cp:revision>1</cp:revision>
  <dcterms:created xsi:type="dcterms:W3CDTF">2026-06-05T17:22:40.213Z</dcterms:created>
  <dcterms:modified xsi:type="dcterms:W3CDTF">2026-06-05T17:22:40.214Z</dcterms:modified>
</cp:coreProperties>
</file>

<file path=docProps/custom.xml><?xml version="1.0" encoding="utf-8"?>
<Properties xmlns="http://schemas.openxmlformats.org/officeDocument/2006/custom-properties" xmlns:vt="http://schemas.openxmlformats.org/officeDocument/2006/docPropsVTypes"/>
</file>