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2E75B6" w:color="auto" w:val="clear"/>
            <w:tcMar>
              <w:top w:type="dxa" w:w="360"/>
              <w:left w:type="dxa" w:w="360"/>
              <w:bottom w:type="dxa" w:w="360"/>
              <w:right w:type="dxa" w:w="360"/>
            </w:tcMar>
          </w:tcPr>
          <w:p>
            <w:pPr>
              <w:spacing w:after="40"/>
              <w:jc w:val="left"/>
            </w:pPr>
            <w:r>
              <w:rPr>
                <w:rFonts w:ascii="Arial" w:cs="Arial" w:eastAsia="Arial" w:hAnsi="Arial"/>
                <w:b/>
                <w:bCs/>
                <w:color w:val="FFFFFF"/>
                <w:sz w:val="24"/>
                <w:szCs w:val="24"/>
              </w:rPr>
              <w:t xml:space="preserve">TOGAF® 9.2</w:t>
            </w:r>
          </w:p>
          <w:p>
            <w:pPr>
              <w:spacing w:after="40"/>
              <w:jc w:val="left"/>
            </w:pPr>
            <w:r>
              <w:rPr>
                <w:rFonts w:ascii="Arial" w:cs="Arial" w:eastAsia="Arial" w:hAnsi="Arial"/>
                <w:b/>
                <w:bCs/>
                <w:color w:val="FFFFFF"/>
                <w:sz w:val="46"/>
                <w:szCs w:val="46"/>
              </w:rPr>
              <w:t xml:space="preserve">Plan de Implementación y Migración</w:t>
            </w:r>
          </w:p>
          <w:p>
            <w:pPr>
              <w:spacing w:after="120"/>
              <w:jc w:val="left"/>
            </w:pPr>
            <w:r>
              <w:rPr>
                <w:rFonts w:ascii="Arial" w:cs="Arial" w:eastAsia="Arial" w:hAnsi="Arial"/>
                <w:i/>
                <w:iCs/>
                <w:color w:val="FFFFFF"/>
                <w:sz w:val="28"/>
                <w:szCs w:val="28"/>
              </w:rPr>
              <w:t xml:space="preserve">Implementation and Migration Plan</w:t>
            </w:r>
          </w:p>
          <w:p>
            <w:pPr>
              <w:spacing w:after="0"/>
              <w:jc w:val="left"/>
            </w:pPr>
            <w:r>
              <w:rPr>
                <w:rFonts w:ascii="Arial" w:cs="Arial" w:eastAsia="Arial" w:hAnsi="Arial"/>
                <w:color w:val="FFFFFF"/>
                <w:sz w:val="21"/>
                <w:szCs w:val="21"/>
              </w:rPr>
              <w:t xml:space="preserve">Fase E — Opportunities and Solutions  |  Fase F — Migration Planning</w:t>
            </w:r>
          </w:p>
        </w:tc>
      </w:tr>
    </w:tbl>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Campo</w:t>
            </w:r>
          </w:p>
        </w:tc>
        <w:tc>
          <w:tcPr>
            <w:tcW w:type="dxa" w:w="71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Detalle</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Documento</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Plan de Implementación y Migración</w:t>
            </w:r>
          </w:p>
        </w:tc>
      </w:tr>
      <w:tr>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Identificador</w:t>
            </w:r>
          </w:p>
        </w:tc>
        <w:tc>
          <w:tcPr>
            <w:tcW w:type="dxa" w:w="7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IMP-001-v1.0</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Versión</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1.0</w:t>
            </w:r>
          </w:p>
        </w:tc>
      </w:tr>
      <w:tr>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Estado</w:t>
            </w:r>
          </w:p>
        </w:tc>
        <w:tc>
          <w:tcPr>
            <w:tcW w:type="dxa" w:w="7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 Borrador    [X] En Revisión    [ ] Aprobado</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Organización</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Municipalidad Metropolitana de Lima</w:t>
            </w:r>
          </w:p>
        </w:tc>
      </w:tr>
      <w:tr>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Responsable</w:t>
            </w:r>
          </w:p>
        </w:tc>
        <w:tc>
          <w:tcPr>
            <w:tcW w:type="dxa" w:w="7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Lenin A. Jaramillo Blanco — Arquitecto de la Fase E</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Fecha de Creación</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27/06/2026</w:t>
            </w:r>
          </w:p>
        </w:tc>
      </w:tr>
      <w:tr>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Fecha de Revisión</w:t>
            </w:r>
          </w:p>
        </w:tc>
        <w:tc>
          <w:tcPr>
            <w:tcW w:type="dxa" w:w="7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28/06/2026</w:t>
            </w:r>
          </w:p>
        </w:tc>
      </w:tr>
      <w:tr>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Relación con Roadmap</w:t>
            </w:r>
          </w:p>
        </w:tc>
        <w:tc>
          <w:tcPr>
            <w:tcW w:type="dxa" w:w="7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Roadmap v0.1 (Fase E)</w:t>
            </w:r>
          </w:p>
        </w:tc>
      </w:tr>
      <w:tr>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Clasificación</w:t>
            </w:r>
          </w:p>
        </w:tc>
        <w:tc>
          <w:tcPr>
            <w:tcW w:type="dxa" w:w="7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 Público    [X] Interno    [ ] Confidencial</w:t>
            </w:r>
          </w:p>
        </w:tc>
      </w:tr>
    </w:tbl>
    <w:p/>
    <w:p>
      <w:pPr>
        <w:spacing w:after="120" w:line="264"/>
      </w:pPr>
      <w:r>
        <w:rPr>
          <w:rFonts w:ascii="Arial" w:cs="Arial" w:eastAsia="Arial" w:hAnsi="Arial"/>
          <w:b/>
          <w:bCs/>
          <w:i w:val="false"/>
          <w:iCs w:val="false"/>
          <w:color w:val="2E75B6"/>
          <w:sz w:val="20"/>
          <w:szCs w:val="20"/>
        </w:rPr>
        <w:t xml:space="preserve">Nota de integración. </w:t>
      </w:r>
      <w:r>
        <w:rPr>
          <w:rFonts w:ascii="Arial" w:cs="Arial" w:eastAsia="Arial" w:hAnsi="Arial"/>
          <w:b w:val="false"/>
          <w:bCs w:val="false"/>
          <w:i/>
          <w:iCs/>
          <w:color w:val="666666"/>
          <w:sz w:val="18"/>
          <w:szCs w:val="18"/>
        </w:rPr>
        <w:t xml:space="preserve">Este Plan es el entregable complementario de la Arquitectura de Transición (TA-001) de la Fase E. La versión inicial (v0.1) se produce en Fase E; la priorización, costos y cronograma se refinan en Fase F. Los importes son estimaciones de orden de magnitud y deben validarse con el área presupuestal de la MML.</w:t>
      </w:r>
    </w:p>
    <w:p>
      <w:r>
        <w:br w:type="page"/>
      </w:r>
    </w:p>
    <w:p>
      <w:pPr>
        <w:pStyle w:val="Heading1"/>
        <w:spacing w:after="140" w:before="300"/>
      </w:pPr>
      <w:r>
        <w:rPr>
          <w:rFonts w:ascii="Arial" w:cs="Arial" w:eastAsia="Arial" w:hAnsi="Arial"/>
          <w:b/>
          <w:bCs/>
          <w:color w:val="1F3864"/>
          <w:sz w:val="32"/>
          <w:szCs w:val="32"/>
        </w:rPr>
        <w:t xml:space="preserve">1. Historial de Revisiones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200"/>
        <w:gridCol w:w="4720"/>
      </w:tblGrid>
      <w:tr>
        <w:trPr>
          <w:tblHeader/>
        </w:trPr>
        <w:tc>
          <w:tcPr>
            <w:tcW w:type="dxa" w:w="1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Versión</w:t>
            </w:r>
          </w:p>
        </w:tc>
        <w:tc>
          <w:tcPr>
            <w:tcW w:type="dxa" w:w="1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Fecha</w:t>
            </w:r>
          </w:p>
        </w:tc>
        <w:tc>
          <w:tcPr>
            <w:tcW w:type="dxa" w:w="2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Autor/a</w:t>
            </w:r>
          </w:p>
        </w:tc>
        <w:tc>
          <w:tcPr>
            <w:tcW w:type="dxa" w:w="47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 del Cambio</w:t>
            </w:r>
          </w:p>
        </w:tc>
      </w:tr>
      <w:tr>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0.1</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27/06/2026</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 Jaramillo</w:t>
            </w:r>
          </w:p>
        </w:tc>
        <w:tc>
          <w:tcPr>
            <w:tcW w:type="dxa" w:w="4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Versión inicial — Fase E (work packages, transiciones, roadmap preliminar)</w:t>
            </w:r>
          </w:p>
        </w:tc>
      </w:tr>
      <w:tr>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1.0</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28/06/2026</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 Jaramillo</w:t>
            </w:r>
          </w:p>
        </w:tc>
        <w:tc>
          <w:tcPr>
            <w:tcW w:type="dxa" w:w="4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Priorización, costos, dependencias, cronograma y diagramas (Anexo A)</w:t>
            </w:r>
          </w:p>
        </w:tc>
      </w:tr>
    </w:tbl>
    <w:p>
      <w:pPr>
        <w:pStyle w:val="Heading1"/>
        <w:spacing w:after="140" w:before="300"/>
      </w:pPr>
      <w:r>
        <w:rPr>
          <w:rFonts w:ascii="Arial" w:cs="Arial" w:eastAsia="Arial" w:hAnsi="Arial"/>
          <w:b/>
          <w:bCs/>
          <w:color w:val="1F3864"/>
          <w:sz w:val="32"/>
          <w:szCs w:val="32"/>
        </w:rPr>
        <w:t xml:space="preserve">2. Tabla de Contenidos</w:t>
      </w:r>
    </w:p>
    <w:p>
      <w:pPr>
        <w:spacing w:after="120" w:line="264"/>
      </w:pPr>
      <w:r>
        <w:rPr>
          <w:rFonts w:ascii="Arial" w:cs="Arial" w:eastAsia="Arial" w:hAnsi="Arial"/>
          <w:b w:val="false"/>
          <w:bCs w:val="false"/>
          <w:i w:val="false"/>
          <w:iCs w:val="false"/>
          <w:color w:val="222222"/>
          <w:sz w:val="20"/>
          <w:szCs w:val="20"/>
        </w:rPr>
        <w:t xml:space="preserve">Generar índice automático en Word: </w:t>
      </w:r>
      <w:r>
        <w:rPr>
          <w:rFonts w:ascii="Arial" w:cs="Arial" w:eastAsia="Arial" w:hAnsi="Arial"/>
          <w:b/>
          <w:bCs/>
          <w:i w:val="false"/>
          <w:iCs w:val="false"/>
          <w:color w:val="222222"/>
          <w:sz w:val="20"/>
          <w:szCs w:val="20"/>
        </w:rPr>
        <w:t xml:space="preserve">Referencias → Tabla de contenido → Tabla automática</w:t>
      </w:r>
      <w:r>
        <w:rPr>
          <w:rFonts w:ascii="Arial" w:cs="Arial" w:eastAsia="Arial" w:hAnsi="Arial"/>
          <w:b w:val="false"/>
          <w:bCs w:val="false"/>
          <w:i w:val="false"/>
          <w:iCs w:val="false"/>
          <w:color w:val="222222"/>
          <w:sz w:val="20"/>
          <w:szCs w:val="20"/>
        </w:rPr>
        <w:t xml:space="preserve">. Los títulos usan estilos Título 1/2/3; actualizar con clic derecho → Actualizar campos.</w:t>
      </w:r>
    </w:p>
    <w:p>
      <w:pPr>
        <w:pStyle w:val="Heading1"/>
        <w:spacing w:after="140" w:before="300"/>
      </w:pPr>
      <w:r>
        <w:rPr>
          <w:rFonts w:ascii="Arial" w:cs="Arial" w:eastAsia="Arial" w:hAnsi="Arial"/>
          <w:b/>
          <w:bCs/>
          <w:color w:val="1F3864"/>
          <w:sz w:val="32"/>
          <w:szCs w:val="32"/>
        </w:rPr>
        <w:t xml:space="preserve">3. Propósito</w:t>
      </w:r>
    </w:p>
    <w:p>
      <w:pPr>
        <w:spacing w:after="120" w:line="264"/>
      </w:pPr>
      <w:r>
        <w:rPr>
          <w:rFonts w:ascii="Arial" w:cs="Arial" w:eastAsia="Arial" w:hAnsi="Arial"/>
          <w:b w:val="false"/>
          <w:bCs w:val="false"/>
          <w:i w:val="false"/>
          <w:iCs w:val="false"/>
          <w:color w:val="222222"/>
          <w:sz w:val="20"/>
          <w:szCs w:val="20"/>
        </w:rPr>
        <w:t xml:space="preserve">El Plan de Implementación y Migración transforma la arquitectura objetivo de la modernización digital de la MML en acción concreta y gobernada. Sus propósitos son:</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Consolidar y secuenciar los work packages y proyectos de arquitectura en un plan ejecutable por oleadas.</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Asignar valor de negocio, costos estimados, recursos y responsables a cada iniciativa.</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Definir la secuencia de Arquitecturas de Transición (T1 → T2 → Target) y sus criterios de aceptación.</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Coordinar con los marcos de portafolio, programas, proyectos y presupuesto de la MML.</w:t>
      </w:r>
    </w:p>
    <w:p>
      <w:pPr>
        <w:pStyle w:val="ListParagraph"/>
        <w:numPr>
          <w:ilvl w:val="0"/>
          <w:numId w:val="2"/>
        </w:numPr>
        <w:spacing w:after="70" w:line="252"/>
      </w:pPr>
      <w:r>
        <w:rPr>
          <w:rFonts w:ascii="Arial" w:cs="Arial" w:eastAsia="Arial" w:hAnsi="Arial"/>
          <w:b w:val="false"/>
          <w:bCs w:val="false"/>
          <w:i w:val="false"/>
          <w:iCs w:val="false"/>
          <w:color w:val="222222"/>
          <w:sz w:val="20"/>
          <w:szCs w:val="20"/>
        </w:rPr>
        <w:t xml:space="preserve">Servir de base de control para la Fase G (Implementation Governance) y la Fase H (Architecture Change Management).</w:t>
      </w:r>
    </w:p>
    <w:p>
      <w:pPr>
        <w:pStyle w:val="Heading1"/>
        <w:spacing w:after="140" w:before="300"/>
      </w:pPr>
      <w:r>
        <w:rPr>
          <w:rFonts w:ascii="Arial" w:cs="Arial" w:eastAsia="Arial" w:hAnsi="Arial"/>
          <w:b/>
          <w:bCs/>
          <w:color w:val="1F3864"/>
          <w:sz w:val="32"/>
          <w:szCs w:val="32"/>
        </w:rPr>
        <w:t xml:space="preserve">4. Alcance</w:t>
      </w:r>
    </w:p>
    <w:p>
      <w:pPr>
        <w:pStyle w:val="Heading2"/>
        <w:spacing w:after="100" w:before="200"/>
      </w:pPr>
      <w:r>
        <w:rPr>
          <w:rFonts w:ascii="Arial" w:cs="Arial" w:eastAsia="Arial" w:hAnsi="Arial"/>
          <w:b/>
          <w:bCs/>
          <w:color w:val="2E75B6"/>
          <w:sz w:val="26"/>
          <w:szCs w:val="26"/>
        </w:rPr>
        <w:t xml:space="preserve">4.1 Alcance Organizacional</w:t>
      </w:r>
    </w:p>
    <w:p>
      <w:pPr>
        <w:spacing w:after="120" w:line="264"/>
      </w:pPr>
      <w:r>
        <w:rPr>
          <w:rFonts w:ascii="Arial" w:cs="Arial" w:eastAsia="Arial" w:hAnsi="Arial"/>
          <w:b w:val="false"/>
          <w:bCs w:val="false"/>
          <w:i w:val="false"/>
          <w:iCs w:val="false"/>
          <w:color w:val="222222"/>
          <w:sz w:val="20"/>
          <w:szCs w:val="20"/>
        </w:rPr>
        <w:t xml:space="preserve">El plan comprende las Subgerencias de Atención al Ciudadano, Tecnologías de la Información y Trámite Documentario de la MML, así como las áreas de soporte (PMO, Presupuesto, Seguridad). Quedan fuera del alcance las empresas municipales y los organismos descentralizados, que se incorporarán en ciclos posteriores del ADM.</w:t>
      </w:r>
    </w:p>
    <w:p>
      <w:pPr>
        <w:pStyle w:val="Heading2"/>
        <w:spacing w:after="100" w:before="200"/>
      </w:pPr>
      <w:r>
        <w:rPr>
          <w:rFonts w:ascii="Arial" w:cs="Arial" w:eastAsia="Arial" w:hAnsi="Arial"/>
          <w:b/>
          <w:bCs/>
          <w:color w:val="2E75B6"/>
          <w:sz w:val="26"/>
          <w:szCs w:val="26"/>
        </w:rPr>
        <w:t xml:space="preserve">4.2 Período de Planificación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rPr>
          <w:tblHeader/>
        </w:trPr>
        <w:tc>
          <w:tcPr>
            <w:tcW w:type="dxa" w:w="3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Atributo</w:t>
            </w:r>
          </w:p>
        </w:tc>
        <w:tc>
          <w:tcPr>
            <w:tcW w:type="dxa" w:w="63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Valor</w:t>
            </w:r>
          </w:p>
        </w:tc>
      </w:tr>
      <w:tr>
        <w:tc>
          <w:tcPr>
            <w:tcW w:type="dxa" w:w="3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Fecha de Inicio del Plan</w:t>
            </w:r>
          </w:p>
        </w:tc>
        <w:tc>
          <w:tcPr>
            <w:tcW w:type="dxa" w:w="63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Julio 2026</w:t>
            </w:r>
          </w:p>
        </w:tc>
      </w:tr>
      <w:tr>
        <w:tc>
          <w:tcPr>
            <w:tcW w:type="dxa" w:w="3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Fecha Estimada de Finalización</w:t>
            </w:r>
          </w:p>
        </w:tc>
        <w:tc>
          <w:tcPr>
            <w:tcW w:type="dxa" w:w="63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Junio 2028</w:t>
            </w:r>
          </w:p>
        </w:tc>
      </w:tr>
      <w:tr>
        <w:tc>
          <w:tcPr>
            <w:tcW w:type="dxa" w:w="3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Duración Total Estimada</w:t>
            </w:r>
          </w:p>
        </w:tc>
        <w:tc>
          <w:tcPr>
            <w:tcW w:type="dxa" w:w="63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24 meses (8 trimestres)</w:t>
            </w:r>
          </w:p>
        </w:tc>
      </w:tr>
      <w:tr>
        <w:tc>
          <w:tcPr>
            <w:tcW w:type="dxa" w:w="3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Número de Oleadas / Transiciones</w:t>
            </w:r>
          </w:p>
        </w:tc>
        <w:tc>
          <w:tcPr>
            <w:tcW w:type="dxa" w:w="63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 transiciones (T1, T2, Target)</w:t>
            </w:r>
          </w:p>
        </w:tc>
      </w:tr>
      <w:tr>
        <w:tc>
          <w:tcPr>
            <w:tcW w:type="dxa" w:w="3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Número de Work Packages</w:t>
            </w:r>
          </w:p>
        </w:tc>
        <w:tc>
          <w:tcPr>
            <w:tcW w:type="dxa" w:w="63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10 work packages</w:t>
            </w:r>
          </w:p>
        </w:tc>
      </w:tr>
    </w:tbl>
    <w:p>
      <w:pPr>
        <w:pStyle w:val="Heading1"/>
        <w:spacing w:after="140" w:before="300"/>
      </w:pPr>
      <w:r>
        <w:rPr>
          <w:rFonts w:ascii="Arial" w:cs="Arial" w:eastAsia="Arial" w:hAnsi="Arial"/>
          <w:b/>
          <w:bCs/>
          <w:color w:val="1F3864"/>
          <w:sz w:val="32"/>
          <w:szCs w:val="32"/>
        </w:rPr>
        <w:t xml:space="preserve">5. Partes Interesadas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520"/>
      </w:tblGrid>
      <w:tr>
        <w:trPr>
          <w:tblHeader/>
        </w:trPr>
        <w:tc>
          <w:tcPr>
            <w:tcW w:type="dxa" w:w="3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Rol / Cargo</w:t>
            </w:r>
          </w:p>
        </w:tc>
        <w:tc>
          <w:tcPr>
            <w:tcW w:type="dxa" w:w="2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Nombre</w:t>
            </w:r>
          </w:p>
        </w:tc>
        <w:tc>
          <w:tcPr>
            <w:tcW w:type="dxa" w:w="35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Responsabilidad sobre este documento</w:t>
            </w:r>
          </w:p>
        </w:tc>
      </w:tr>
      <w:tr>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 Empresarial</w:t>
            </w:r>
          </w:p>
        </w:tc>
        <w:tc>
          <w:tcPr>
            <w:tcW w:type="dxa" w:w="2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 Jaramillo Blanco</w:t>
            </w:r>
          </w:p>
        </w:tc>
        <w:tc>
          <w:tcPr>
            <w:tcW w:type="dxa" w:w="35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Autor y custodio del documento</w:t>
            </w:r>
          </w:p>
        </w:tc>
      </w:tr>
      <w:tr>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Patrocinador Ejecutivo / Gerencia Municipal</w:t>
            </w:r>
          </w:p>
        </w:tc>
        <w:tc>
          <w:tcPr>
            <w:tcW w:type="dxa" w:w="2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Municipal — MML</w:t>
            </w:r>
          </w:p>
        </w:tc>
        <w:tc>
          <w:tcPr>
            <w:tcW w:type="dxa" w:w="35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Aprobación final y asignación de recursos</w:t>
            </w:r>
          </w:p>
        </w:tc>
      </w:tr>
      <w:tr>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PMO / Gerencia de Planificación</w:t>
            </w:r>
          </w:p>
        </w:tc>
        <w:tc>
          <w:tcPr>
            <w:tcW w:type="dxa" w:w="2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PMO — MML</w:t>
            </w:r>
          </w:p>
        </w:tc>
        <w:tc>
          <w:tcPr>
            <w:tcW w:type="dxa" w:w="35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Coordinación y seguimiento del plan</w:t>
            </w:r>
          </w:p>
        </w:tc>
      </w:tr>
      <w:tr>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Board</w:t>
            </w:r>
          </w:p>
        </w:tc>
        <w:tc>
          <w:tcPr>
            <w:tcW w:type="dxa" w:w="2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Comité de Arquitectura — MML</w:t>
            </w:r>
          </w:p>
        </w:tc>
        <w:tc>
          <w:tcPr>
            <w:tcW w:type="dxa" w:w="35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Revisión de conformidad arquitectónica</w:t>
            </w:r>
          </w:p>
        </w:tc>
      </w:tr>
      <w:tr>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Gerente de TI / CIO</w:t>
            </w:r>
          </w:p>
        </w:tc>
        <w:tc>
          <w:tcPr>
            <w:tcW w:type="dxa" w:w="2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 — MML</w:t>
            </w:r>
          </w:p>
        </w:tc>
        <w:tc>
          <w:tcPr>
            <w:tcW w:type="dxa" w:w="35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Revisión técnica y operacional</w:t>
            </w:r>
          </w:p>
        </w:tc>
      </w:tr>
      <w:tr>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Responsable Presupuestal</w:t>
            </w:r>
          </w:p>
        </w:tc>
        <w:tc>
          <w:tcPr>
            <w:tcW w:type="dxa" w:w="2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Administración y Finanzas</w:t>
            </w:r>
          </w:p>
        </w:tc>
        <w:tc>
          <w:tcPr>
            <w:tcW w:type="dxa" w:w="35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Validación de costos y financiamiento</w:t>
            </w:r>
          </w:p>
        </w:tc>
      </w:tr>
    </w:tbl>
    <w:p>
      <w:pPr>
        <w:pStyle w:val="Heading1"/>
        <w:spacing w:after="140" w:before="300"/>
      </w:pPr>
      <w:r>
        <w:rPr>
          <w:rFonts w:ascii="Arial" w:cs="Arial" w:eastAsia="Arial" w:hAnsi="Arial"/>
          <w:b/>
          <w:bCs/>
          <w:color w:val="1F3864"/>
          <w:sz w:val="32"/>
          <w:szCs w:val="32"/>
        </w:rPr>
        <w:t xml:space="preserve">6. Relación con el Método de Desarrollo de Arquitectura (ADM)</w:t>
      </w:r>
    </w:p>
    <w:p>
      <w:pPr>
        <w:spacing w:after="120" w:line="264"/>
      </w:pPr>
      <w:r>
        <w:rPr>
          <w:rFonts w:ascii="Arial" w:cs="Arial" w:eastAsia="Arial" w:hAnsi="Arial"/>
          <w:b w:val="false"/>
          <w:bCs w:val="false"/>
          <w:i w:val="false"/>
          <w:iCs w:val="false"/>
          <w:color w:val="222222"/>
          <w:sz w:val="20"/>
          <w:szCs w:val="20"/>
        </w:rPr>
        <w:t xml:space="preserve">Este plan se produce principalmente en la Fase E (Opportunities and Solutions) y se refina en la Fase F (Migration Planning). Su relación con el ciclo ADM 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620"/>
      </w:tblGrid>
      <w:tr>
        <w:trPr>
          <w:tblHeader/>
        </w:trPr>
        <w:tc>
          <w:tcPr>
            <w:tcW w:type="dxa" w:w="1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Fase ADM</w:t>
            </w:r>
          </w:p>
        </w:tc>
        <w:tc>
          <w:tcPr>
            <w:tcW w:type="dxa" w:w="4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Contribución al Plan</w:t>
            </w:r>
          </w:p>
        </w:tc>
        <w:tc>
          <w:tcPr>
            <w:tcW w:type="dxa" w:w="36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Artefactos de Entrada</w:t>
            </w:r>
          </w:p>
        </w:tc>
      </w:tr>
      <w:tr>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Fases B, C, D</w:t>
            </w:r>
          </w:p>
        </w:tc>
        <w:tc>
          <w:tcPr>
            <w:tcW w:type="dxa" w:w="4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Brechas identificadas y componentes candidatos</w:t>
            </w:r>
          </w:p>
        </w:tc>
        <w:tc>
          <w:tcPr>
            <w:tcW w:type="dxa" w:w="3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ADD, Architecture Requirements Specification</w:t>
            </w:r>
          </w:p>
        </w:tc>
      </w:tr>
      <w:tr>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E</w:t>
            </w:r>
          </w:p>
        </w:tc>
        <w:tc>
          <w:tcPr>
            <w:tcW w:type="dxa" w:w="4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Versión inicial (v0.1): work packages, transiciones y roadmap preliminar</w:t>
            </w:r>
          </w:p>
        </w:tc>
        <w:tc>
          <w:tcPr>
            <w:tcW w:type="dxa" w:w="3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Capability Assessment, Gap Analysis, Roadmap 0.1</w:t>
            </w:r>
          </w:p>
        </w:tc>
      </w:tr>
      <w:tr>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F</w:t>
            </w:r>
          </w:p>
        </w:tc>
        <w:tc>
          <w:tcPr>
            <w:tcW w:type="dxa" w:w="4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Versión final: priorización, costos, recursos, cronograma y coordinación con portafolio</w:t>
            </w:r>
          </w:p>
        </w:tc>
        <w:tc>
          <w:tcPr>
            <w:tcW w:type="dxa" w:w="3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Roadmap 0.1, Change Requests, Implementation Governance Model</w:t>
            </w:r>
          </w:p>
        </w:tc>
      </w:tr>
      <w:tr>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G</w:t>
            </w:r>
          </w:p>
        </w:tc>
        <w:tc>
          <w:tcPr>
            <w:tcW w:type="dxa" w:w="4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Referencia para gobierno y compliance durante la implementación</w:t>
            </w:r>
          </w:p>
        </w:tc>
        <w:tc>
          <w:tcPr>
            <w:tcW w:type="dxa" w:w="3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Contracts, Compliance Assessments</w:t>
            </w:r>
          </w:p>
        </w:tc>
      </w:tr>
      <w:tr>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H</w:t>
            </w:r>
          </w:p>
        </w:tc>
        <w:tc>
          <w:tcPr>
            <w:tcW w:type="dxa" w:w="4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Referencia para monitoreo de valor y gestión del cambio</w:t>
            </w:r>
          </w:p>
        </w:tc>
        <w:tc>
          <w:tcPr>
            <w:tcW w:type="dxa" w:w="3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Métricas, Change Requests, Requirements Impact Assessments</w:t>
            </w:r>
          </w:p>
        </w:tc>
      </w:tr>
    </w:tbl>
    <w:p>
      <w:pPr>
        <w:pStyle w:val="Heading1"/>
        <w:spacing w:after="140" w:before="300"/>
      </w:pPr>
      <w:r>
        <w:rPr>
          <w:rFonts w:ascii="Arial" w:cs="Arial" w:eastAsia="Arial" w:hAnsi="Arial"/>
          <w:b/>
          <w:bCs/>
          <w:color w:val="1F3864"/>
          <w:sz w:val="32"/>
          <w:szCs w:val="32"/>
        </w:rPr>
        <w:t xml:space="preserve">7. Estrategia de Implementación</w:t>
      </w:r>
    </w:p>
    <w:p>
      <w:pPr>
        <w:pStyle w:val="Heading2"/>
        <w:spacing w:after="100" w:before="200"/>
      </w:pPr>
      <w:r>
        <w:rPr>
          <w:rFonts w:ascii="Arial" w:cs="Arial" w:eastAsia="Arial" w:hAnsi="Arial"/>
          <w:b/>
          <w:bCs/>
          <w:color w:val="2E75B6"/>
          <w:sz w:val="26"/>
          <w:szCs w:val="26"/>
        </w:rPr>
        <w:t xml:space="preserve">7.1 Enfoque de Migración</w:t>
      </w:r>
    </w:p>
    <w:p>
      <w:pPr>
        <w:spacing w:after="120" w:line="264"/>
      </w:pPr>
      <w:r>
        <w:rPr>
          <w:rFonts w:ascii="Arial" w:cs="Arial" w:eastAsia="Arial" w:hAnsi="Arial"/>
          <w:b w:val="false"/>
          <w:bCs w:val="false"/>
          <w:i w:val="false"/>
          <w:iCs w:val="false"/>
          <w:color w:val="222222"/>
          <w:sz w:val="20"/>
          <w:szCs w:val="20"/>
        </w:rPr>
        <w:t xml:space="preserve">Se adopta un enfoque incremental por capacidades y oleadas (T1 → T2 → Target). Cada transición entrega valor verificable al ciudadano y reduce el riesgo frente a un despliegue «big bang». Los work packages transversales de infraestructura y seguridad (WP-008, WP-009) habilitan y protegen las tres oleadas. El enfoque se justifica por el apetito de riesgo moderado de la institución, el ciclo presupuestal anual y la madurez tecnológica en desarrollo.</w:t>
      </w:r>
    </w:p>
    <w:p>
      <w:pPr>
        <w:pStyle w:val="Heading2"/>
        <w:spacing w:after="100" w:before="200"/>
      </w:pPr>
      <w:r>
        <w:rPr>
          <w:rFonts w:ascii="Arial" w:cs="Arial" w:eastAsia="Arial" w:hAnsi="Arial"/>
          <w:b/>
          <w:bCs/>
          <w:color w:val="2E75B6"/>
          <w:sz w:val="26"/>
          <w:szCs w:val="26"/>
        </w:rPr>
        <w:t xml:space="preserve">7.2 Atributos de Cambio Organizacional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20"/>
      </w:tblGrid>
      <w:tr>
        <w:trPr>
          <w:tblHeader/>
        </w:trPr>
        <w:tc>
          <w:tcPr>
            <w:tcW w:type="dxa" w:w="2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Atributo</w:t>
            </w:r>
          </w:p>
        </w:tc>
        <w:tc>
          <w:tcPr>
            <w:tcW w:type="dxa" w:w="3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Situación Actual / Lectura</w:t>
            </w:r>
          </w:p>
        </w:tc>
        <w:tc>
          <w:tcPr>
            <w:tcW w:type="dxa" w:w="36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Implicancia para el Plan</w:t>
            </w:r>
          </w:p>
        </w:tc>
      </w:tr>
      <w:tr>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Cultura organizacional</w:t>
            </w:r>
          </w:p>
        </w:tc>
        <w:tc>
          <w:tcPr>
            <w:tcW w:type="dxa" w:w="3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Jerárquica, con áreas operando en silos</w:t>
            </w:r>
          </w:p>
        </w:tc>
        <w:tc>
          <w:tcPr>
            <w:tcW w:type="dxa" w:w="3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Pilotos y participación temprana de áreas usuarias</w:t>
            </w:r>
          </w:p>
        </w:tc>
      </w:tr>
      <w:tr>
        <w:tc>
          <w:tcPr>
            <w:tcW w:type="dxa" w:w="2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Capacidad presupuestal</w:t>
            </w:r>
          </w:p>
        </w:tc>
        <w:tc>
          <w:tcPr>
            <w:tcW w:type="dxa" w:w="3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Ciclo anual del sector público</w:t>
            </w:r>
          </w:p>
        </w:tc>
        <w:tc>
          <w:tcPr>
            <w:tcW w:type="dxa" w:w="3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Oleadas alineadas al ejercicio fiscal; WP financiables por etapas</w:t>
            </w:r>
          </w:p>
        </w:tc>
      </w:tr>
      <w:tr>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Apetito de riesgo</w:t>
            </w:r>
          </w:p>
        </w:tc>
        <w:tc>
          <w:tcPr>
            <w:tcW w:type="dxa" w:w="3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Medio</w:t>
            </w:r>
          </w:p>
        </w:tc>
        <w:tc>
          <w:tcPr>
            <w:tcW w:type="dxa" w:w="3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Pilotos controlados, planes de rollback y contingencias</w:t>
            </w:r>
          </w:p>
        </w:tc>
      </w:tr>
      <w:tr>
        <w:tc>
          <w:tcPr>
            <w:tcW w:type="dxa" w:w="2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Madurez de TI</w:t>
            </w:r>
          </w:p>
        </w:tc>
        <w:tc>
          <w:tcPr>
            <w:tcW w:type="dxa" w:w="3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desarrollo</w:t>
            </w:r>
          </w:p>
        </w:tc>
        <w:tc>
          <w:tcPr>
            <w:tcW w:type="dxa" w:w="3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Capacitación, transferencia de conocimiento y soporte</w:t>
            </w:r>
          </w:p>
        </w:tc>
      </w:tr>
      <w:tr>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Marco normativo</w:t>
            </w:r>
          </w:p>
        </w:tc>
        <w:tc>
          <w:tcPr>
            <w:tcW w:type="dxa" w:w="3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D.L. 1412, PNMGP, Ley 29733</w:t>
            </w:r>
          </w:p>
        </w:tc>
        <w:tc>
          <w:tcPr>
            <w:tcW w:type="dxa" w:w="3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Plazos legales y requisitos de protección de datos</w:t>
            </w:r>
          </w:p>
        </w:tc>
      </w:tr>
    </w:tbl>
    <w:p>
      <w:pPr>
        <w:pStyle w:val="Heading2"/>
        <w:spacing w:after="100" w:before="200"/>
      </w:pPr>
      <w:r>
        <w:rPr>
          <w:rFonts w:ascii="Arial" w:cs="Arial" w:eastAsia="Arial" w:hAnsi="Arial"/>
          <w:b/>
          <w:bCs/>
          <w:color w:val="2E75B6"/>
          <w:sz w:val="26"/>
          <w:szCs w:val="26"/>
        </w:rPr>
        <w:t xml:space="preserve">7.3 Criterios de Priorización</w:t>
      </w:r>
    </w:p>
    <w:p>
      <w:pPr>
        <w:spacing w:after="120" w:line="264"/>
      </w:pPr>
      <w:r>
        <w:rPr>
          <w:rFonts w:ascii="Arial" w:cs="Arial" w:eastAsia="Arial" w:hAnsi="Arial"/>
          <w:b w:val="false"/>
          <w:bCs w:val="false"/>
          <w:i w:val="false"/>
          <w:iCs w:val="false"/>
          <w:color w:val="222222"/>
          <w:sz w:val="20"/>
          <w:szCs w:val="20"/>
        </w:rPr>
        <w:t xml:space="preserve">Los work packages se priorizan combinando valor de negocio, urgencia normativa, dependencias técnicas, riesgo, costo y capacidad de absorción del cambio. Los habilitadores transversales (identidad, interoperabilidad, infraestructura, seguridad) reciben prioridad por ser precondición de las demás iniciativas (ver Sección 8.2 y Sección 9).</w:t>
      </w:r>
    </w:p>
    <w:p>
      <w:pPr>
        <w:pStyle w:val="Heading1"/>
        <w:spacing w:after="140" w:before="300"/>
      </w:pPr>
      <w:r>
        <w:rPr>
          <w:rFonts w:ascii="Arial" w:cs="Arial" w:eastAsia="Arial" w:hAnsi="Arial"/>
          <w:b/>
          <w:bCs/>
          <w:color w:val="1F3864"/>
          <w:sz w:val="32"/>
          <w:szCs w:val="32"/>
        </w:rPr>
        <w:t xml:space="preserve">8. Work Packages de Arquitectura</w:t>
      </w:r>
    </w:p>
    <w:p>
      <w:pPr>
        <w:pStyle w:val="Heading2"/>
        <w:spacing w:after="100" w:before="200"/>
      </w:pPr>
      <w:r>
        <w:rPr>
          <w:rFonts w:ascii="Arial" w:cs="Arial" w:eastAsia="Arial" w:hAnsi="Arial"/>
          <w:b/>
          <w:bCs/>
          <w:color w:val="2E75B6"/>
          <w:sz w:val="26"/>
          <w:szCs w:val="26"/>
        </w:rPr>
        <w:t xml:space="preserve">8.1 Inventario de Work Packages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3100"/>
        <w:gridCol w:w="2200"/>
        <w:gridCol w:w="2120"/>
        <w:gridCol w:w="1300"/>
      </w:tblGrid>
      <w:tr>
        <w:trPr>
          <w:tblHeader/>
        </w:trPr>
        <w:tc>
          <w:tcPr>
            <w:tcW w:type="dxa" w:w="1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ID WP</w:t>
            </w:r>
          </w:p>
        </w:tc>
        <w:tc>
          <w:tcPr>
            <w:tcW w:type="dxa" w:w="31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 / Alcance</w:t>
            </w:r>
          </w:p>
        </w:tc>
        <w:tc>
          <w:tcPr>
            <w:tcW w:type="dxa" w:w="2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Capacidad Habilitada</w:t>
            </w:r>
          </w:p>
        </w:tc>
        <w:tc>
          <w:tcPr>
            <w:tcW w:type="dxa" w:w="21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Dependencias</w:t>
            </w:r>
          </w:p>
        </w:tc>
        <w:tc>
          <w:tcPr>
            <w:tcW w:type="dxa" w:w="1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Estado</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3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Identidad Digital y SSO</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Identidad verificada e inicio de sesión único</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3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Interoperabilidad con el PIDE (RENIEC/SUNAT/SUNARP)</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Validación contra fuentes oficiales</w:t>
            </w:r>
          </w:p>
        </w:tc>
        <w:tc>
          <w:tcPr>
            <w:tcW w:type="dxa" w:w="2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 WP-008</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w:t>
            </w:r>
          </w:p>
        </w:tc>
        <w:tc>
          <w:tcPr>
            <w:tcW w:type="dxa" w:w="3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Mesa de Partes Digital y Gestión Documental</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Recepción y trazabilidad de expedientes</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w:t>
            </w:r>
          </w:p>
        </w:tc>
        <w:tc>
          <w:tcPr>
            <w:tcW w:type="dxa" w:w="3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Gobierno y Calidad de Datos — Registro Único v1</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Entidad maestra y calidad de datos</w:t>
            </w:r>
          </w:p>
        </w:tc>
        <w:tc>
          <w:tcPr>
            <w:tcW w:type="dxa" w:w="2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Pendiente</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w:t>
            </w:r>
          </w:p>
        </w:tc>
        <w:tc>
          <w:tcPr>
            <w:tcW w:type="dxa" w:w="3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Portal de Servicios Digitales al Ciudadano</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Punto único de acceso a servicios</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 WP-003, WP-004</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Pendiente</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WP-006</w:t>
            </w:r>
          </w:p>
        </w:tc>
        <w:tc>
          <w:tcPr>
            <w:tcW w:type="dxa" w:w="3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Digitalización de Trámites TUPA priorizados</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Trámites 100 % en línea</w:t>
            </w:r>
          </w:p>
        </w:tc>
        <w:tc>
          <w:tcPr>
            <w:tcW w:type="dxa" w:w="2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Pendiente</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WP-007</w:t>
            </w:r>
          </w:p>
        </w:tc>
        <w:tc>
          <w:tcPr>
            <w:tcW w:type="dxa" w:w="3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Notificaciones Electrónicas y Pasarela de Pagos</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Notificación y pago en línea</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Pendiente</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w:t>
            </w:r>
          </w:p>
        </w:tc>
        <w:tc>
          <w:tcPr>
            <w:tcW w:type="dxa" w:w="3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Modernización de Infraestructura y Nube (transversal)</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Cómputo redundante y escalable</w:t>
            </w:r>
          </w:p>
        </w:tc>
        <w:tc>
          <w:tcPr>
            <w:tcW w:type="dxa" w:w="2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WP-009</w:t>
            </w:r>
          </w:p>
        </w:tc>
        <w:tc>
          <w:tcPr>
            <w:tcW w:type="dxa" w:w="3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Marco de Ciberseguridad y Seguridad Digital (transversal)</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Protección y cumplimiento CNSD</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En curso</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WP-010</w:t>
            </w:r>
          </w:p>
        </w:tc>
        <w:tc>
          <w:tcPr>
            <w:tcW w:type="dxa" w:w="3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Analítica y Tableros de Decisión</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Decisiones basadas en datos</w:t>
            </w:r>
          </w:p>
        </w:tc>
        <w:tc>
          <w:tcPr>
            <w:tcW w:type="dxa" w:w="2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 WP-006</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Pendiente</w:t>
            </w:r>
          </w:p>
        </w:tc>
      </w:tr>
    </w:tbl>
    <w:p>
      <w:pPr>
        <w:pStyle w:val="Heading2"/>
        <w:spacing w:after="100" w:before="200"/>
      </w:pPr>
      <w:r>
        <w:rPr>
          <w:rFonts w:ascii="Arial" w:cs="Arial" w:eastAsia="Arial" w:hAnsi="Arial"/>
          <w:b/>
          <w:bCs/>
          <w:color w:val="2E75B6"/>
          <w:sz w:val="26"/>
          <w:szCs w:val="26"/>
        </w:rPr>
        <w:t xml:space="preserve">8.2 Priorización de Work Packages</w:t>
      </w:r>
    </w:p>
    <w:p>
      <w:pPr>
        <w:spacing w:after="120" w:line="264"/>
      </w:pPr>
      <w:r>
        <w:rPr>
          <w:rFonts w:ascii="Arial" w:cs="Arial" w:eastAsia="Arial" w:hAnsi="Arial"/>
          <w:b w:val="false"/>
          <w:bCs w:val="false"/>
          <w:i w:val="false"/>
          <w:iCs w:val="false"/>
          <w:color w:val="222222"/>
          <w:sz w:val="20"/>
          <w:szCs w:val="20"/>
        </w:rPr>
        <w:t xml:space="preserve">Puntuación de 1 (mínimo) a 5 (máximo). La prioridad final pondera valor y urgencia frente a complejidad y dependencias.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3120"/>
        <w:gridCol w:w="1400"/>
        <w:gridCol w:w="1400"/>
        <w:gridCol w:w="1500"/>
        <w:gridCol w:w="1300"/>
      </w:tblGrid>
      <w:tr>
        <w:trPr>
          <w:tblHeader/>
        </w:trPr>
        <w:tc>
          <w:tcPr>
            <w:tcW w:type="dxa" w:w="1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ID WP</w:t>
            </w:r>
          </w:p>
        </w:tc>
        <w:tc>
          <w:tcPr>
            <w:tcW w:type="dxa" w:w="31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Nombre</w:t>
            </w:r>
          </w:p>
        </w:tc>
        <w:tc>
          <w:tcPr>
            <w:tcW w:type="dxa" w:w="1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Valor (1–5)</w:t>
            </w:r>
          </w:p>
        </w:tc>
        <w:tc>
          <w:tcPr>
            <w:tcW w:type="dxa" w:w="1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Urgencia (1–5)</w:t>
            </w:r>
          </w:p>
        </w:tc>
        <w:tc>
          <w:tcPr>
            <w:tcW w:type="dxa" w:w="1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Complejidad (1–5)</w:t>
            </w:r>
          </w:p>
        </w:tc>
        <w:tc>
          <w:tcPr>
            <w:tcW w:type="dxa" w:w="1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Prioridad</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w:t>
            </w:r>
          </w:p>
        </w:tc>
        <w:tc>
          <w:tcPr>
            <w:tcW w:type="dxa" w:w="3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Infraestructura y Nube</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WP-009</w:t>
            </w:r>
          </w:p>
        </w:tc>
        <w:tc>
          <w:tcPr>
            <w:tcW w:type="dxa" w:w="3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Ciberseguridad</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3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Identidad y SSO</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3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Interoperabilidad PIDE</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w:t>
            </w:r>
          </w:p>
        </w:tc>
        <w:tc>
          <w:tcPr>
            <w:tcW w:type="dxa" w:w="3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Mesa de Partes Digital</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w:t>
            </w:r>
          </w:p>
        </w:tc>
        <w:tc>
          <w:tcPr>
            <w:tcW w:type="dxa" w:w="3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Gobierno de Datos</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w:t>
            </w:r>
          </w:p>
        </w:tc>
        <w:tc>
          <w:tcPr>
            <w:tcW w:type="dxa" w:w="3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Portal de Servicios</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WP-006</w:t>
            </w:r>
          </w:p>
        </w:tc>
        <w:tc>
          <w:tcPr>
            <w:tcW w:type="dxa" w:w="3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Trámites TUPA</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r>
      <w:tr>
        <w:tc>
          <w:tcPr>
            <w:tcW w:type="dxa" w:w="1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WP-007</w:t>
            </w:r>
          </w:p>
        </w:tc>
        <w:tc>
          <w:tcPr>
            <w:tcW w:type="dxa" w:w="3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Notificaciones y Pagos</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r>
      <w:tr>
        <w:tc>
          <w:tcPr>
            <w:tcW w:type="dxa" w:w="1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WP-010</w:t>
            </w:r>
          </w:p>
        </w:tc>
        <w:tc>
          <w:tcPr>
            <w:tcW w:type="dxa" w:w="3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Analítica y Tableros</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Baja</w:t>
            </w:r>
          </w:p>
        </w:tc>
      </w:tr>
    </w:tbl>
    <w:p>
      <w:pPr>
        <w:pStyle w:val="Heading1"/>
        <w:spacing w:after="140" w:before="300"/>
      </w:pPr>
      <w:r>
        <w:rPr>
          <w:rFonts w:ascii="Arial" w:cs="Arial" w:eastAsia="Arial" w:hAnsi="Arial"/>
          <w:b/>
          <w:bCs/>
          <w:color w:val="1F3864"/>
          <w:sz w:val="32"/>
          <w:szCs w:val="32"/>
        </w:rPr>
        <w:t xml:space="preserve">9. Dependencias entre Work Packages</w:t>
      </w:r>
    </w:p>
    <w:p>
      <w:pPr>
        <w:spacing w:after="120" w:line="264"/>
      </w:pPr>
      <w:r>
        <w:rPr>
          <w:rFonts w:ascii="Arial" w:cs="Arial" w:eastAsia="Arial" w:hAnsi="Arial"/>
          <w:b w:val="false"/>
          <w:bCs w:val="false"/>
          <w:i w:val="false"/>
          <w:iCs w:val="false"/>
          <w:color w:val="222222"/>
          <w:sz w:val="20"/>
          <w:szCs w:val="20"/>
        </w:rPr>
        <w:t xml:space="preserve">Las dependencias determinan la secuencia de implementación. Una dependencia no gestionada bloquea iniciativas posteriores. El grafo dirigido del Anexo A (Figura A.1) visualiza estas relaciones de precedencia.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500"/>
        <w:gridCol w:w="1300"/>
        <w:gridCol w:w="2720"/>
      </w:tblGrid>
      <w:tr>
        <w:trPr>
          <w:tblHeader/>
        </w:trPr>
        <w:tc>
          <w:tcPr>
            <w:tcW w:type="dxa" w:w="1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WP Dependiente</w:t>
            </w:r>
          </w:p>
        </w:tc>
        <w:tc>
          <w:tcPr>
            <w:tcW w:type="dxa" w:w="2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Depende de</w:t>
            </w:r>
          </w:p>
        </w:tc>
        <w:tc>
          <w:tcPr>
            <w:tcW w:type="dxa" w:w="1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Tipo</w:t>
            </w:r>
          </w:p>
        </w:tc>
        <w:tc>
          <w:tcPr>
            <w:tcW w:type="dxa" w:w="1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Criticidad</w:t>
            </w:r>
          </w:p>
        </w:tc>
        <w:tc>
          <w:tcPr>
            <w:tcW w:type="dxa" w:w="27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Acción si no se cumple</w:t>
            </w:r>
          </w:p>
        </w:tc>
      </w:tr>
      <w:tr>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Técnica</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c>
          <w:tcPr>
            <w:tcW w:type="dxa" w:w="2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Diferir SSO hasta disponer de plataforma redundante</w:t>
            </w:r>
          </w:p>
        </w:tc>
      </w:tr>
      <w:tr>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2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 WP-008</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Técnica</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c>
          <w:tcPr>
            <w:tcW w:type="dxa" w:w="2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Sin identidad/infra no hay interoperabilidad segura</w:t>
            </w:r>
          </w:p>
        </w:tc>
      </w:tr>
      <w:tr>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Técnica</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c>
          <w:tcPr>
            <w:tcW w:type="dxa" w:w="2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Mesa digital sin SSO: degradar a autenticación básica temporal</w:t>
            </w:r>
          </w:p>
        </w:tc>
      </w:tr>
      <w:tr>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w:t>
            </w:r>
          </w:p>
        </w:tc>
        <w:tc>
          <w:tcPr>
            <w:tcW w:type="dxa" w:w="2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Datos</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c>
          <w:tcPr>
            <w:tcW w:type="dxa" w:w="2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Construir registro con datos internos hasta integrar PIDE</w:t>
            </w:r>
          </w:p>
        </w:tc>
      </w:tr>
      <w:tr>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 WP-003, WP-004</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Técnica</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w:t>
            </w:r>
          </w:p>
        </w:tc>
        <w:tc>
          <w:tcPr>
            <w:tcW w:type="dxa" w:w="2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Portal sin cimientos: limitar a servicios informativos</w:t>
            </w:r>
          </w:p>
        </w:tc>
      </w:tr>
      <w:tr>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WP-006</w:t>
            </w:r>
          </w:p>
        </w:tc>
        <w:tc>
          <w:tcPr>
            <w:tcW w:type="dxa" w:w="2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Funcional</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c>
          <w:tcPr>
            <w:tcW w:type="dxa" w:w="2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Priorizar trámites de menor complejidad</w:t>
            </w:r>
          </w:p>
        </w:tc>
      </w:tr>
      <w:tr>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WP-007</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Técnica</w:t>
            </w:r>
          </w:p>
        </w:tc>
        <w:tc>
          <w:tcPr>
            <w:tcW w:type="dxa" w:w="1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Media</w:t>
            </w:r>
          </w:p>
        </w:tc>
        <w:tc>
          <w:tcPr>
            <w:tcW w:type="dxa" w:w="2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Habilitar pago presencial como alternativa</w:t>
            </w:r>
          </w:p>
        </w:tc>
      </w:tr>
      <w:tr>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WP-010</w:t>
            </w:r>
          </w:p>
        </w:tc>
        <w:tc>
          <w:tcPr>
            <w:tcW w:type="dxa" w:w="2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 WP-006</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Datos</w:t>
            </w:r>
          </w:p>
        </w:tc>
        <w:tc>
          <w:tcPr>
            <w:tcW w:type="dxa" w:w="1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Baja</w:t>
            </w:r>
          </w:p>
        </w:tc>
        <w:tc>
          <w:tcPr>
            <w:tcW w:type="dxa" w:w="2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Posponer analítica hasta contar con datos transaccionales</w:t>
            </w:r>
          </w:p>
        </w:tc>
      </w:tr>
    </w:tbl>
    <w:p>
      <w:pPr>
        <w:pStyle w:val="Heading1"/>
        <w:spacing w:after="140" w:before="300"/>
      </w:pPr>
      <w:r>
        <w:rPr>
          <w:rFonts w:ascii="Arial" w:cs="Arial" w:eastAsia="Arial" w:hAnsi="Arial"/>
          <w:b/>
          <w:bCs/>
          <w:color w:val="1F3864"/>
          <w:sz w:val="32"/>
          <w:szCs w:val="32"/>
        </w:rPr>
        <w:t xml:space="preserve">10. Estimación de Costos y Recursos</w:t>
      </w:r>
    </w:p>
    <w:p>
      <w:pPr>
        <w:pStyle w:val="Heading2"/>
        <w:spacing w:after="100" w:before="200"/>
      </w:pPr>
      <w:r>
        <w:rPr>
          <w:rFonts w:ascii="Arial" w:cs="Arial" w:eastAsia="Arial" w:hAnsi="Arial"/>
          <w:b/>
          <w:bCs/>
          <w:color w:val="2E75B6"/>
          <w:sz w:val="26"/>
          <w:szCs w:val="26"/>
        </w:rPr>
        <w:t xml:space="preserve">10.1 Estimación por Work Package</w:t>
      </w:r>
    </w:p>
    <w:p>
      <w:pPr>
        <w:spacing w:after="120" w:line="264"/>
      </w:pPr>
      <w:r>
        <w:rPr>
          <w:rFonts w:ascii="Arial" w:cs="Arial" w:eastAsia="Arial" w:hAnsi="Arial"/>
          <w:b w:val="false"/>
          <w:bCs w:val="false"/>
          <w:i w:val="false"/>
          <w:iCs w:val="false"/>
          <w:color w:val="222222"/>
          <w:sz w:val="20"/>
          <w:szCs w:val="20"/>
        </w:rPr>
        <w:t xml:space="preserve">Estimaciones de orden de magnitud, a refinar en la planificación de proyectos. Importes referenciales en soles (S/.).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1500"/>
        <w:gridCol w:w="1800"/>
        <w:gridCol w:w="1620"/>
      </w:tblGrid>
      <w:tr>
        <w:trPr>
          <w:tblHeader/>
        </w:trPr>
        <w:tc>
          <w:tcPr>
            <w:tcW w:type="dxa" w:w="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ID WP</w:t>
            </w:r>
          </w:p>
        </w:tc>
        <w:tc>
          <w:tcPr>
            <w:tcW w:type="dxa" w:w="2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Recursos Humanos</w:t>
            </w:r>
          </w:p>
        </w:tc>
        <w:tc>
          <w:tcPr>
            <w:tcW w:type="dxa" w:w="1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Infra. / Licencias</w:t>
            </w:r>
          </w:p>
        </w:tc>
        <w:tc>
          <w:tcPr>
            <w:tcW w:type="dxa" w:w="1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Terceros</w:t>
            </w:r>
          </w:p>
        </w:tc>
        <w:tc>
          <w:tcPr>
            <w:tcW w:type="dxa" w:w="18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Costo Estimado (S/.)</w:t>
            </w:r>
          </w:p>
        </w:tc>
        <w:tc>
          <w:tcPr>
            <w:tcW w:type="dxa" w:w="16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Financiamiento</w:t>
            </w:r>
          </w:p>
        </w:tc>
      </w:tr>
      <w:tr>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 arquitectos, 2 devs</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IdP, certificados</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Integrador</w:t>
            </w:r>
          </w:p>
        </w:tc>
        <w:tc>
          <w:tcPr>
            <w:tcW w:type="dxa" w:w="1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850 000</w:t>
            </w:r>
          </w:p>
        </w:tc>
        <w:tc>
          <w:tcPr>
            <w:tcW w:type="dxa" w:w="1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Proyecto inversión</w:t>
            </w:r>
          </w:p>
        </w:tc>
      </w:tr>
      <w:tr>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arquitecto, 2 devs</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Gateway / ESB</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Integrador PIDE</w:t>
            </w:r>
          </w:p>
        </w:tc>
        <w:tc>
          <w:tcPr>
            <w:tcW w:type="dxa" w:w="1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620 000</w:t>
            </w:r>
          </w:p>
        </w:tc>
        <w:tc>
          <w:tcPr>
            <w:tcW w:type="dxa" w:w="1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Proyecto inversión</w:t>
            </w:r>
          </w:p>
        </w:tc>
      </w:tr>
      <w:tr>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PM, 3 devs</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Gestor documental</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Consultoría</w:t>
            </w:r>
          </w:p>
        </w:tc>
        <w:tc>
          <w:tcPr>
            <w:tcW w:type="dxa" w:w="1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780 000</w:t>
            </w:r>
          </w:p>
        </w:tc>
        <w:tc>
          <w:tcPr>
            <w:tcW w:type="dxa" w:w="1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Proyecto inversión</w:t>
            </w:r>
          </w:p>
        </w:tc>
      </w:tr>
      <w:tr>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analista de datos</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Herramienta MDM</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t>
            </w:r>
          </w:p>
        </w:tc>
        <w:tc>
          <w:tcPr>
            <w:tcW w:type="dxa" w:w="1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340 000</w:t>
            </w:r>
          </w:p>
        </w:tc>
        <w:tc>
          <w:tcPr>
            <w:tcW w:type="dxa" w:w="1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Presupuesto operativo</w:t>
            </w:r>
          </w:p>
        </w:tc>
      </w:tr>
      <w:tr>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Equipo de infra.</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Nube híbrida, redes</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Proveedor nube</w:t>
            </w:r>
          </w:p>
        </w:tc>
        <w:tc>
          <w:tcPr>
            <w:tcW w:type="dxa" w:w="1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1 200 000</w:t>
            </w:r>
          </w:p>
        </w:tc>
        <w:tc>
          <w:tcPr>
            <w:tcW w:type="dxa" w:w="1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Proyecto inversión</w:t>
            </w:r>
          </w:p>
        </w:tc>
      </w:tr>
      <w:tr>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WP-009</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Oficial de seguridad</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Herramientas seg.</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Pentesting</w:t>
            </w:r>
          </w:p>
        </w:tc>
        <w:tc>
          <w:tcPr>
            <w:tcW w:type="dxa" w:w="1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560 000</w:t>
            </w:r>
          </w:p>
        </w:tc>
        <w:tc>
          <w:tcPr>
            <w:tcW w:type="dxa" w:w="16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Proyecto inversión</w:t>
            </w:r>
          </w:p>
        </w:tc>
      </w:tr>
      <w:tr>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TOTAL T1</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c>
          <w:tcPr>
            <w:tcW w:type="dxa" w:w="1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4 350 000</w:t>
            </w:r>
          </w:p>
        </w:tc>
        <w:tc>
          <w:tcPr>
            <w:tcW w:type="dxa" w:w="16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r>
    </w:tbl>
    <w:p>
      <w:pPr>
        <w:spacing w:after="120" w:line="264"/>
      </w:pPr>
      <w:r>
        <w:rPr>
          <w:rFonts w:ascii="Arial" w:cs="Arial" w:eastAsia="Arial" w:hAnsi="Arial"/>
          <w:b/>
          <w:bCs/>
          <w:i w:val="false"/>
          <w:iCs w:val="false"/>
          <w:color w:val="222222"/>
          <w:sz w:val="18"/>
          <w:szCs w:val="18"/>
        </w:rPr>
        <w:t xml:space="preserve">Nota: </w:t>
      </w:r>
      <w:r>
        <w:rPr>
          <w:rFonts w:ascii="Arial" w:cs="Arial" w:eastAsia="Arial" w:hAnsi="Arial"/>
          <w:b w:val="false"/>
          <w:bCs w:val="false"/>
          <w:i/>
          <w:iCs/>
          <w:color w:val="666666"/>
          <w:sz w:val="18"/>
          <w:szCs w:val="18"/>
        </w:rPr>
        <w:t xml:space="preserve">la fila TOTAL T1 agrega los work packages de la primera transición; los WP de T2/Target (WP-005 a WP-007, WP-010) se estiman al refinar el plan en Fase F.</w:t>
      </w:r>
    </w:p>
    <w:p>
      <w:pPr>
        <w:pStyle w:val="Heading2"/>
        <w:spacing w:after="100" w:before="200"/>
      </w:pPr>
      <w:r>
        <w:rPr>
          <w:rFonts w:ascii="Arial" w:cs="Arial" w:eastAsia="Arial" w:hAnsi="Arial"/>
          <w:b/>
          <w:bCs/>
          <w:color w:val="2E75B6"/>
          <w:sz w:val="26"/>
          <w:szCs w:val="26"/>
        </w:rPr>
        <w:t xml:space="preserve">10.2 Resumen Financiero por Período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720"/>
        <w:gridCol w:w="2000"/>
        <w:gridCol w:w="2000"/>
        <w:gridCol w:w="2000"/>
      </w:tblGrid>
      <w:tr>
        <w:trPr>
          <w:tblHeader/>
        </w:trPr>
        <w:tc>
          <w:tcPr>
            <w:tcW w:type="dxa" w:w="37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Categoría de Gasto</w:t>
            </w:r>
          </w:p>
        </w:tc>
        <w:tc>
          <w:tcPr>
            <w:tcW w:type="dxa" w:w="2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Año 1</w:t>
            </w:r>
          </w:p>
        </w:tc>
        <w:tc>
          <w:tcPr>
            <w:tcW w:type="dxa" w:w="2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Año 2</w:t>
            </w:r>
          </w:p>
        </w:tc>
        <w:tc>
          <w:tcPr>
            <w:tcW w:type="dxa" w:w="2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Total</w:t>
            </w:r>
          </w:p>
        </w:tc>
      </w:tr>
      <w:tr>
        <w:tc>
          <w:tcPr>
            <w:tcW w:type="dxa" w:w="3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Recursos Humanos Internos</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1 100 000</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900 000</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2 000 000</w:t>
            </w:r>
          </w:p>
        </w:tc>
      </w:tr>
      <w:tr>
        <w:tc>
          <w:tcPr>
            <w:tcW w:type="dxa" w:w="3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Servicios de Terceros / Consultoría</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1 300 000</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1 000 000</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2 300 000</w:t>
            </w:r>
          </w:p>
        </w:tc>
      </w:tr>
      <w:tr>
        <w:tc>
          <w:tcPr>
            <w:tcW w:type="dxa" w:w="3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Infraestructura y Plataforma</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1 200 000</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400 000</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1 600 000</w:t>
            </w:r>
          </w:p>
        </w:tc>
      </w:tr>
      <w:tr>
        <w:tc>
          <w:tcPr>
            <w:tcW w:type="dxa" w:w="3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Licencias y Software</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600 000</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500 000</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1 100 000</w:t>
            </w:r>
          </w:p>
        </w:tc>
      </w:tr>
      <w:tr>
        <w:tc>
          <w:tcPr>
            <w:tcW w:type="dxa" w:w="3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Capacitación y Gestión del Cambio</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250 000</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350 000</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600 000</w:t>
            </w:r>
          </w:p>
        </w:tc>
      </w:tr>
      <w:tr>
        <w:tc>
          <w:tcPr>
            <w:tcW w:type="dxa" w:w="37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Reserva para Contingencias (≈12 %)</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545 000</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438 000</w:t>
            </w:r>
          </w:p>
        </w:tc>
        <w:tc>
          <w:tcPr>
            <w:tcW w:type="dxa" w:w="2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983 000</w:t>
            </w:r>
          </w:p>
        </w:tc>
      </w:tr>
      <w:tr>
        <w:tc>
          <w:tcPr>
            <w:tcW w:type="dxa" w:w="37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TOTAL ESTIMADO (S/.)</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4 995 000</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3 588 000</w:t>
            </w:r>
          </w:p>
        </w:tc>
        <w:tc>
          <w:tcPr>
            <w:tcW w:type="dxa" w:w="2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8 583 000</w:t>
            </w:r>
          </w:p>
        </w:tc>
      </w:tr>
    </w:tbl>
    <w:p>
      <w:pPr>
        <w:spacing w:after="120" w:line="264"/>
      </w:pPr>
      <w:r>
        <w:rPr>
          <w:rFonts w:ascii="Arial" w:cs="Arial" w:eastAsia="Arial" w:hAnsi="Arial"/>
          <w:b w:val="false"/>
          <w:bCs w:val="false"/>
          <w:i/>
          <w:iCs/>
          <w:color w:val="666666"/>
          <w:sz w:val="18"/>
          <w:szCs w:val="18"/>
        </w:rPr>
        <w:t xml:space="preserve">Las cifras son ilustrativas para el ejercicio académico y deben sustituirse por los valores reales del POI/PIA de la MML.</w:t>
      </w:r>
    </w:p>
    <w:p>
      <w:pPr>
        <w:pStyle w:val="Heading1"/>
        <w:spacing w:after="140" w:before="300"/>
      </w:pPr>
      <w:r>
        <w:rPr>
          <w:rFonts w:ascii="Arial" w:cs="Arial" w:eastAsia="Arial" w:hAnsi="Arial"/>
          <w:b/>
          <w:bCs/>
          <w:color w:val="1F3864"/>
          <w:sz w:val="32"/>
          <w:szCs w:val="32"/>
        </w:rPr>
        <w:t xml:space="preserve">11. Roadmap de Arquitectura y Cronograma de Migración</w:t>
      </w:r>
    </w:p>
    <w:p>
      <w:pPr>
        <w:pStyle w:val="Heading2"/>
        <w:spacing w:after="100" w:before="200"/>
      </w:pPr>
      <w:r>
        <w:rPr>
          <w:rFonts w:ascii="Arial" w:cs="Arial" w:eastAsia="Arial" w:hAnsi="Arial"/>
          <w:b/>
          <w:bCs/>
          <w:color w:val="2E75B6"/>
          <w:sz w:val="26"/>
          <w:szCs w:val="26"/>
        </w:rPr>
        <w:t xml:space="preserve">11.1 Roadmap por Trimestre</w:t>
      </w:r>
    </w:p>
    <w:p>
      <w:pPr>
        <w:spacing w:after="120" w:line="264"/>
      </w:pPr>
      <w:r>
        <w:rPr>
          <w:rFonts w:ascii="Arial" w:cs="Arial" w:eastAsia="Arial" w:hAnsi="Arial"/>
          <w:b w:val="false"/>
          <w:bCs w:val="false"/>
          <w:i w:val="false"/>
          <w:iCs w:val="false"/>
          <w:color w:val="222222"/>
          <w:sz w:val="20"/>
          <w:szCs w:val="20"/>
        </w:rPr>
        <w:t xml:space="preserve">La tabla siguiente es el esqueleto del roadmap (▶ = WP activo en el trimestre; ● = hito de transición). El diagrama Gantt del Anexo A (Figura A.2) desarrolla esta vista con barras de duración y la franja de hitos.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60"/>
        <w:gridCol w:w="994"/>
        <w:gridCol w:w="994"/>
        <w:gridCol w:w="994"/>
        <w:gridCol w:w="994"/>
        <w:gridCol w:w="994"/>
        <w:gridCol w:w="994"/>
        <w:gridCol w:w="996"/>
      </w:tblGrid>
      <w:tr>
        <w:trPr>
          <w:tblHeader/>
        </w:trPr>
        <w:tc>
          <w:tcPr>
            <w:tcW w:type="dxa" w:w="276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WP / Hito</w:t>
            </w:r>
          </w:p>
        </w:tc>
        <w:tc>
          <w:tcPr>
            <w:tcW w:type="dxa" w:w="994"/>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Q1</w:t>
            </w:r>
          </w:p>
        </w:tc>
        <w:tc>
          <w:tcPr>
            <w:tcW w:type="dxa" w:w="994"/>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Q2</w:t>
            </w:r>
          </w:p>
        </w:tc>
        <w:tc>
          <w:tcPr>
            <w:tcW w:type="dxa" w:w="994"/>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Q3</w:t>
            </w:r>
          </w:p>
        </w:tc>
        <w:tc>
          <w:tcPr>
            <w:tcW w:type="dxa" w:w="994"/>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Q4</w:t>
            </w:r>
          </w:p>
        </w:tc>
        <w:tc>
          <w:tcPr>
            <w:tcW w:type="dxa" w:w="994"/>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Q5</w:t>
            </w:r>
          </w:p>
        </w:tc>
        <w:tc>
          <w:tcPr>
            <w:tcW w:type="dxa" w:w="994"/>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Q6</w:t>
            </w:r>
          </w:p>
        </w:tc>
        <w:tc>
          <w:tcPr>
            <w:tcW w:type="dxa" w:w="996"/>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Q7+</w:t>
            </w:r>
          </w:p>
        </w:tc>
      </w:tr>
      <w:tr>
        <w:tc>
          <w:tcPr>
            <w:tcW w:type="dxa" w:w="27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 Identidad/SSO</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6"/>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r>
        <w:tc>
          <w:tcPr>
            <w:tcW w:type="dxa" w:w="27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 Interoperabilidad</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6"/>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r>
        <w:tc>
          <w:tcPr>
            <w:tcW w:type="dxa" w:w="27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 Mesa Digital</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6"/>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r>
        <w:tc>
          <w:tcPr>
            <w:tcW w:type="dxa" w:w="27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WP-004 Gobierno de Datos</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6"/>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r>
        <w:tc>
          <w:tcPr>
            <w:tcW w:type="dxa" w:w="27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 Infraestructura</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6"/>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r>
        <w:tc>
          <w:tcPr>
            <w:tcW w:type="dxa" w:w="27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WP-009 Ciberseguridad</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6"/>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r>
      <w:tr>
        <w:tc>
          <w:tcPr>
            <w:tcW w:type="dxa" w:w="27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 Portal</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6"/>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r>
        <w:tc>
          <w:tcPr>
            <w:tcW w:type="dxa" w:w="27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WP-006 Trámites TUPA</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6"/>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r>
        <w:tc>
          <w:tcPr>
            <w:tcW w:type="dxa" w:w="27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WP-007 Notif./Pagos</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6"/>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r>
        <w:tc>
          <w:tcPr>
            <w:tcW w:type="dxa" w:w="27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WP-010 Analítica</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6"/>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r>
      <w:tr>
        <w:tc>
          <w:tcPr>
            <w:tcW w:type="dxa" w:w="276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Hito T1</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6"/>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r>
        <w:tc>
          <w:tcPr>
            <w:tcW w:type="dxa" w:w="276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Hito T2</w:t>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c>
          <w:tcPr>
            <w:tcW w:type="dxa" w:w="994"/>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w:t>
            </w:r>
          </w:p>
        </w:tc>
        <w:tc>
          <w:tcPr>
            <w:tcW w:type="dxa" w:w="996"/>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center"/>
            </w:pPr>
            <w:r>
              <w:rPr>
                <w:rFonts w:ascii="Arial" w:cs="Arial" w:eastAsia="Arial" w:hAnsi="Arial"/>
                <w:b w:val="false"/>
                <w:bCs w:val="false"/>
                <w:i w:val="false"/>
                <w:iCs w:val="false"/>
                <w:color w:val="222222"/>
                <w:sz w:val="20"/>
                <w:szCs w:val="20"/>
              </w:rPr>
              <w:t xml:space="preserve"/>
            </w:r>
          </w:p>
        </w:tc>
      </w:tr>
    </w:tbl>
    <w:p>
      <w:pPr>
        <w:pStyle w:val="Heading2"/>
        <w:spacing w:after="100" w:before="200"/>
      </w:pPr>
      <w:r>
        <w:rPr>
          <w:rFonts w:ascii="Arial" w:cs="Arial" w:eastAsia="Arial" w:hAnsi="Arial"/>
          <w:b/>
          <w:bCs/>
          <w:color w:val="2E75B6"/>
          <w:sz w:val="26"/>
          <w:szCs w:val="26"/>
        </w:rPr>
        <w:t xml:space="preserve">11.2 Ventanas de Implementación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2120"/>
      </w:tblGrid>
      <w:tr>
        <w:trPr>
          <w:tblHeader/>
        </w:trPr>
        <w:tc>
          <w:tcPr>
            <w:tcW w:type="dxa" w:w="2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Período</w:t>
            </w:r>
          </w:p>
        </w:tc>
        <w:tc>
          <w:tcPr>
            <w:tcW w:type="dxa" w:w="2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Tipo de Restricción</w:t>
            </w:r>
          </w:p>
        </w:tc>
        <w:tc>
          <w:tcPr>
            <w:tcW w:type="dxa" w:w="3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Impacto en la Implementación</w:t>
            </w:r>
          </w:p>
        </w:tc>
        <w:tc>
          <w:tcPr>
            <w:tcW w:type="dxa" w:w="21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Acción Requerida</w:t>
            </w:r>
          </w:p>
        </w:tc>
      </w:tr>
      <w:tr>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Vencimientos tributarios</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Operacional crítico</w:t>
            </w:r>
          </w:p>
        </w:tc>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 desplegar sistemas de rentas/recaudación</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Adelantar o posponer WP afectados</w:t>
            </w:r>
          </w:p>
        </w:tc>
      </w:tr>
      <w:tr>
        <w:tc>
          <w:tcPr>
            <w:tcW w:type="dxa" w:w="2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Cierre fiscal (Dic)</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Financiero / Normativo</w:t>
            </w:r>
          </w:p>
        </w:tc>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 modificar sistemas financieros</w:t>
            </w:r>
          </w:p>
        </w:tc>
        <w:tc>
          <w:tcPr>
            <w:tcW w:type="dxa" w:w="2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Congelar cambios en ese período</w:t>
            </w:r>
          </w:p>
        </w:tc>
      </w:tr>
      <w:tr>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Eventos municipales masivos</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Operacional</w:t>
            </w:r>
          </w:p>
        </w:tc>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 demanda de atención al ciudadano</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Evitar despliegues en canales de atención</w:t>
            </w:r>
          </w:p>
        </w:tc>
      </w:tr>
    </w:tbl>
    <w:p>
      <w:pPr>
        <w:pStyle w:val="Heading1"/>
        <w:spacing w:after="140" w:before="300"/>
      </w:pPr>
      <w:r>
        <w:rPr>
          <w:rFonts w:ascii="Arial" w:cs="Arial" w:eastAsia="Arial" w:hAnsi="Arial"/>
          <w:b/>
          <w:bCs/>
          <w:color w:val="1F3864"/>
          <w:sz w:val="32"/>
          <w:szCs w:val="32"/>
        </w:rPr>
        <w:t xml:space="preserve">12. Arquitecturas de Transición (Hitos del Plan)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1500"/>
        <w:gridCol w:w="2220"/>
      </w:tblGrid>
      <w:tr>
        <w:trPr>
          <w:tblHeader/>
        </w:trPr>
        <w:tc>
          <w:tcPr>
            <w:tcW w:type="dxa" w:w="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ID</w:t>
            </w:r>
          </w:p>
        </w:tc>
        <w:tc>
          <w:tcPr>
            <w:tcW w:type="dxa" w:w="2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Nombre / Descripción</w:t>
            </w:r>
          </w:p>
        </w:tc>
        <w:tc>
          <w:tcPr>
            <w:tcW w:type="dxa" w:w="26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Work Packages</w:t>
            </w:r>
          </w:p>
        </w:tc>
        <w:tc>
          <w:tcPr>
            <w:tcW w:type="dxa" w:w="1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Fecha Estimada</w:t>
            </w:r>
          </w:p>
        </w:tc>
        <w:tc>
          <w:tcPr>
            <w:tcW w:type="dxa" w:w="22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Criterio de Aceptación Principal</w:t>
            </w:r>
          </w:p>
        </w:tc>
      </w:tr>
      <w:tr>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TA-001</w:t>
            </w:r>
          </w:p>
        </w:tc>
        <w:tc>
          <w:tcPr>
            <w:tcW w:type="dxa" w:w="2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T1 — Cimientos Digitales</w:t>
            </w:r>
          </w:p>
        </w:tc>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 WP-002, WP-003, WP-004, WP-008, WP-009</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Dic 2026</w:t>
            </w:r>
          </w:p>
        </w:tc>
        <w:tc>
          <w:tcPr>
            <w:tcW w:type="dxa" w:w="22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SSO, interoperabilidad y mesa de partes digital en producción</w:t>
            </w:r>
          </w:p>
        </w:tc>
      </w:tr>
      <w:tr>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TA-002</w:t>
            </w:r>
          </w:p>
        </w:tc>
        <w:tc>
          <w:tcPr>
            <w:tcW w:type="dxa" w:w="2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T2 — Servicios al Ciudadano</w:t>
            </w:r>
          </w:p>
        </w:tc>
        <w:tc>
          <w:tcPr>
            <w:tcW w:type="dxa" w:w="2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 WP-006, WP-007</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Ago 2027</w:t>
            </w:r>
          </w:p>
        </w:tc>
        <w:tc>
          <w:tcPr>
            <w:tcW w:type="dxa" w:w="22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10 trámites TUPA 100 % en línea con notificación y pago</w:t>
            </w:r>
          </w:p>
        </w:tc>
      </w:tr>
      <w:tr>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TA-003</w:t>
            </w:r>
          </w:p>
        </w:tc>
        <w:tc>
          <w:tcPr>
            <w:tcW w:type="dxa" w:w="2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Target — Datos y Analítica</w:t>
            </w:r>
          </w:p>
        </w:tc>
        <w:tc>
          <w:tcPr>
            <w:tcW w:type="dxa" w:w="2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WP-010</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Jun 2028</w:t>
            </w:r>
          </w:p>
        </w:tc>
        <w:tc>
          <w:tcPr>
            <w:tcW w:type="dxa" w:w="22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Tableros de decisión operativos y arquitectura objetivo conforme</w:t>
            </w:r>
          </w:p>
        </w:tc>
      </w:tr>
    </w:tbl>
    <w:p>
      <w:pPr>
        <w:pStyle w:val="Heading1"/>
        <w:spacing w:after="140" w:before="300"/>
      </w:pPr>
      <w:r>
        <w:rPr>
          <w:rFonts w:ascii="Arial" w:cs="Arial" w:eastAsia="Arial" w:hAnsi="Arial"/>
          <w:b/>
          <w:bCs/>
          <w:color w:val="1F3864"/>
          <w:sz w:val="32"/>
          <w:szCs w:val="32"/>
        </w:rPr>
        <w:t xml:space="preserve">13. Beneficios Esperados e Indicadores de Desempeño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00"/>
        <w:gridCol w:w="1500"/>
        <w:gridCol w:w="1220"/>
      </w:tblGrid>
      <w:tr>
        <w:trPr>
          <w:tblHeader/>
        </w:trPr>
        <w:tc>
          <w:tcPr>
            <w:tcW w:type="dxa" w:w="1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WP / Transición</w:t>
            </w:r>
          </w:p>
        </w:tc>
        <w:tc>
          <w:tcPr>
            <w:tcW w:type="dxa" w:w="30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Beneficio Esperado</w:t>
            </w:r>
          </w:p>
        </w:tc>
        <w:tc>
          <w:tcPr>
            <w:tcW w:type="dxa" w:w="2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KPI / Indicador</w:t>
            </w:r>
          </w:p>
        </w:tc>
        <w:tc>
          <w:tcPr>
            <w:tcW w:type="dxa" w:w="15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Línea Base</w:t>
            </w:r>
          </w:p>
        </w:tc>
        <w:tc>
          <w:tcPr>
            <w:tcW w:type="dxa" w:w="12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Meta</w:t>
            </w:r>
          </w:p>
        </w:tc>
      </w:tr>
      <w:tr>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w:t>
            </w:r>
          </w:p>
        </w:tc>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Reducción del tiempo de recepción de expedientes</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Tiempo medio de recepción</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20 min (presencial)</w:t>
            </w:r>
          </w:p>
        </w:tc>
        <w:tc>
          <w:tcPr>
            <w:tcW w:type="dxa" w:w="12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&lt; 5 min (en línea)</w:t>
            </w:r>
          </w:p>
        </w:tc>
      </w:tr>
      <w:tr>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WP-001</w:t>
            </w:r>
          </w:p>
        </w:tc>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Acceso unificado y seguro</w:t>
            </w:r>
          </w:p>
        </w:tc>
        <w:tc>
          <w:tcPr>
            <w:tcW w:type="dxa" w:w="2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de servicios con SSO</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0 %</w:t>
            </w:r>
          </w:p>
        </w:tc>
        <w:tc>
          <w:tcPr>
            <w:tcW w:type="dxa" w:w="12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80 % en T1</w:t>
            </w:r>
          </w:p>
        </w:tc>
      </w:tr>
      <w:tr>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TA-001</w:t>
            </w:r>
          </w:p>
        </w:tc>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Cimientos digitales operativos</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Servicios fundacionales en producción</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0</w:t>
            </w:r>
          </w:p>
        </w:tc>
        <w:tc>
          <w:tcPr>
            <w:tcW w:type="dxa" w:w="12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 (SSO, PIDE, mesa, datos)</w:t>
            </w:r>
          </w:p>
        </w:tc>
      </w:tr>
      <w:tr>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TA-002</w:t>
            </w:r>
          </w:p>
        </w:tc>
        <w:tc>
          <w:tcPr>
            <w:tcW w:type="dxa" w:w="30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Trámites digitales al ciudadano</w:t>
            </w:r>
          </w:p>
        </w:tc>
        <w:tc>
          <w:tcPr>
            <w:tcW w:type="dxa" w:w="2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 de trámites 100 % en línea</w:t>
            </w:r>
          </w:p>
        </w:tc>
        <w:tc>
          <w:tcPr>
            <w:tcW w:type="dxa" w:w="15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0</w:t>
            </w:r>
          </w:p>
        </w:tc>
        <w:tc>
          <w:tcPr>
            <w:tcW w:type="dxa" w:w="12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10</w:t>
            </w:r>
          </w:p>
        </w:tc>
      </w:tr>
      <w:tr>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TA-002</w:t>
            </w:r>
          </w:p>
        </w:tc>
        <w:tc>
          <w:tcPr>
            <w:tcW w:type="dxa" w:w="30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Adopción del canal digital</w:t>
            </w:r>
          </w:p>
        </w:tc>
        <w:tc>
          <w:tcPr>
            <w:tcW w:type="dxa" w:w="2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de trámites por canal digital</w:t>
            </w:r>
          </w:p>
        </w:tc>
        <w:tc>
          <w:tcPr>
            <w:tcW w:type="dxa" w:w="15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0 %</w:t>
            </w:r>
          </w:p>
        </w:tc>
        <w:tc>
          <w:tcPr>
            <w:tcW w:type="dxa" w:w="12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30 %</w:t>
            </w:r>
          </w:p>
        </w:tc>
      </w:tr>
    </w:tbl>
    <w:p>
      <w:pPr>
        <w:pStyle w:val="Heading1"/>
        <w:spacing w:after="140" w:before="300"/>
      </w:pPr>
      <w:r>
        <w:rPr>
          <w:rFonts w:ascii="Arial" w:cs="Arial" w:eastAsia="Arial" w:hAnsi="Arial"/>
          <w:b/>
          <w:bCs/>
          <w:color w:val="1F3864"/>
          <w:sz w:val="32"/>
          <w:szCs w:val="32"/>
        </w:rPr>
        <w:t xml:space="preserve">14. Riesgos del Plan de Migración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900"/>
        <w:gridCol w:w="900"/>
        <w:gridCol w:w="1700"/>
        <w:gridCol w:w="2220"/>
      </w:tblGrid>
      <w:tr>
        <w:trPr>
          <w:tblHeader/>
        </w:trPr>
        <w:tc>
          <w:tcPr>
            <w:tcW w:type="dxa" w:w="8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ID</w:t>
            </w:r>
          </w:p>
        </w:tc>
        <w:tc>
          <w:tcPr>
            <w:tcW w:type="dxa" w:w="3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w:t>
            </w:r>
          </w:p>
        </w:tc>
        <w:tc>
          <w:tcPr>
            <w:tcW w:type="dxa" w:w="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Prob.</w:t>
            </w:r>
          </w:p>
        </w:tc>
        <w:tc>
          <w:tcPr>
            <w:tcW w:type="dxa" w:w="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Imp.</w:t>
            </w:r>
          </w:p>
        </w:tc>
        <w:tc>
          <w:tcPr>
            <w:tcW w:type="dxa" w:w="1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WP Afectado</w:t>
            </w:r>
          </w:p>
        </w:tc>
        <w:tc>
          <w:tcPr>
            <w:tcW w:type="dxa" w:w="22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Plan de Mitigación</w:t>
            </w:r>
          </w:p>
        </w:tc>
      </w:tr>
      <w:tr>
        <w:tc>
          <w:tcPr>
            <w:tcW w:type="dxa" w:w="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R-001</w:t>
            </w:r>
          </w:p>
        </w:tc>
        <w:tc>
          <w:tcPr>
            <w:tcW w:type="dxa" w:w="3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Indisponibilidad de servicios PIDE externos</w:t>
            </w:r>
          </w:p>
        </w:tc>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w:t>
            </w:r>
          </w:p>
        </w:tc>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WP-002</w:t>
            </w:r>
          </w:p>
        </w:tc>
        <w:tc>
          <w:tcPr>
            <w:tcW w:type="dxa" w:w="22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SLA con SGTD; caché y modo contingencia</w:t>
            </w:r>
          </w:p>
        </w:tc>
      </w:tr>
      <w:tr>
        <w:tc>
          <w:tcPr>
            <w:tcW w:type="dxa" w:w="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R-002</w:t>
            </w:r>
          </w:p>
        </w:tc>
        <w:tc>
          <w:tcPr>
            <w:tcW w:type="dxa" w:w="3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Retrasos por contratación pública</w:t>
            </w:r>
          </w:p>
        </w:tc>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w:t>
            </w:r>
          </w:p>
        </w:tc>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w:t>
            </w:r>
          </w:p>
        </w:tc>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 WP-005</w:t>
            </w:r>
          </w:p>
        </w:tc>
        <w:tc>
          <w:tcPr>
            <w:tcW w:type="dxa" w:w="22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Planificar adquisiciones con anticipación</w:t>
            </w:r>
          </w:p>
        </w:tc>
      </w:tr>
      <w:tr>
        <w:tc>
          <w:tcPr>
            <w:tcW w:type="dxa" w:w="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R-003</w:t>
            </w:r>
          </w:p>
        </w:tc>
        <w:tc>
          <w:tcPr>
            <w:tcW w:type="dxa" w:w="3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Baja adopción ciudadana del canal digital</w:t>
            </w:r>
          </w:p>
        </w:tc>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w:t>
            </w:r>
          </w:p>
        </w:tc>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 WP-006</w:t>
            </w:r>
          </w:p>
        </w:tc>
        <w:tc>
          <w:tcPr>
            <w:tcW w:type="dxa" w:w="22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Comunicación, soporte asistido, convivencia de canales</w:t>
            </w:r>
          </w:p>
        </w:tc>
      </w:tr>
      <w:tr>
        <w:tc>
          <w:tcPr>
            <w:tcW w:type="dxa" w:w="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R-004</w:t>
            </w:r>
          </w:p>
        </w:tc>
        <w:tc>
          <w:tcPr>
            <w:tcW w:type="dxa" w:w="3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Restricciones presupuestales en el ejercicio</w:t>
            </w:r>
          </w:p>
        </w:tc>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w:t>
            </w:r>
          </w:p>
        </w:tc>
        <w:tc>
          <w:tcPr>
            <w:tcW w:type="dxa" w:w="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w:t>
            </w:r>
          </w:p>
        </w:tc>
        <w:tc>
          <w:tcPr>
            <w:tcW w:type="dxa" w:w="1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Todos</w:t>
            </w:r>
          </w:p>
        </w:tc>
        <w:tc>
          <w:tcPr>
            <w:tcW w:type="dxa" w:w="22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Oleadas financiables por etapas; priorizar WP de alto valor</w:t>
            </w:r>
          </w:p>
        </w:tc>
      </w:tr>
      <w:tr>
        <w:tc>
          <w:tcPr>
            <w:tcW w:type="dxa" w:w="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R-005</w:t>
            </w:r>
          </w:p>
        </w:tc>
        <w:tc>
          <w:tcPr>
            <w:tcW w:type="dxa" w:w="3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Incidentes de seguridad durante la migración</w:t>
            </w:r>
          </w:p>
        </w:tc>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w:t>
            </w:r>
          </w:p>
        </w:tc>
        <w:tc>
          <w:tcPr>
            <w:tcW w:type="dxa" w:w="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w:t>
            </w:r>
          </w:p>
        </w:tc>
        <w:tc>
          <w:tcPr>
            <w:tcW w:type="dxa" w:w="1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WP-008, WP-009</w:t>
            </w:r>
          </w:p>
        </w:tc>
        <w:tc>
          <w:tcPr>
            <w:tcW w:type="dxa" w:w="22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Marco de seguridad, pentesting y hardening</w:t>
            </w:r>
          </w:p>
        </w:tc>
      </w:tr>
    </w:tbl>
    <w:p>
      <w:pPr>
        <w:pStyle w:val="Heading2"/>
        <w:spacing w:after="100" w:before="200"/>
      </w:pPr>
      <w:r>
        <w:rPr>
          <w:rFonts w:ascii="Arial" w:cs="Arial" w:eastAsia="Arial" w:hAnsi="Arial"/>
          <w:b/>
          <w:bCs/>
          <w:color w:val="2E75B6"/>
          <w:sz w:val="26"/>
          <w:szCs w:val="26"/>
        </w:rPr>
        <w:t xml:space="preserve">14.1 Riesgos Residuales</w:t>
      </w:r>
    </w:p>
    <w:p>
      <w:pPr>
        <w:spacing w:after="120" w:line="264"/>
      </w:pPr>
      <w:r>
        <w:rPr>
          <w:rFonts w:ascii="Arial" w:cs="Arial" w:eastAsia="Arial" w:hAnsi="Arial"/>
          <w:b w:val="false"/>
          <w:bCs w:val="false"/>
          <w:i w:val="false"/>
          <w:iCs w:val="false"/>
          <w:color w:val="222222"/>
          <w:sz w:val="20"/>
          <w:szCs w:val="20"/>
        </w:rPr>
        <w:t xml:space="preserve">Tras aplicar las mitigaciones, persisten como riesgos residuales: la dependencia de terceros (SGTD y proveedores de nube) y la variabilidad del calendario presupuestal del sector público. Estos riesgos residuales deben ser formalmente aceptados por el patrocinador ejecutivo y el Architecture Board.</w:t>
      </w:r>
    </w:p>
    <w:p>
      <w:pPr>
        <w:pStyle w:val="Heading1"/>
        <w:spacing w:after="140" w:before="300"/>
      </w:pPr>
      <w:r>
        <w:rPr>
          <w:rFonts w:ascii="Arial" w:cs="Arial" w:eastAsia="Arial" w:hAnsi="Arial"/>
          <w:b/>
          <w:bCs/>
          <w:color w:val="1F3864"/>
          <w:sz w:val="32"/>
          <w:szCs w:val="32"/>
        </w:rPr>
        <w:t xml:space="preserve">15. Coordinación con Marcos de Gestión Institucional</w:t>
      </w:r>
    </w:p>
    <w:p>
      <w:pPr>
        <w:pStyle w:val="Heading2"/>
        <w:spacing w:after="100" w:before="200"/>
      </w:pPr>
      <w:r>
        <w:rPr>
          <w:rFonts w:ascii="Arial" w:cs="Arial" w:eastAsia="Arial" w:hAnsi="Arial"/>
          <w:b/>
          <w:bCs/>
          <w:color w:val="2E75B6"/>
          <w:sz w:val="26"/>
          <w:szCs w:val="26"/>
        </w:rPr>
        <w:t xml:space="preserve">15.1 Alineación con el Portafolio de Proyectos</w:t>
      </w:r>
    </w:p>
    <w:p>
      <w:pPr>
        <w:spacing w:after="120" w:line="264"/>
      </w:pPr>
      <w:r>
        <w:rPr>
          <w:rFonts w:ascii="Arial" w:cs="Arial" w:eastAsia="Arial" w:hAnsi="Arial"/>
          <w:b w:val="false"/>
          <w:bCs w:val="false"/>
          <w:i w:val="false"/>
          <w:iCs w:val="false"/>
          <w:color w:val="222222"/>
          <w:sz w:val="20"/>
          <w:szCs w:val="20"/>
        </w:rPr>
        <w:t xml:space="preserve">Cada work package se traduce en uno o más proyectos del portafolio institucional, gestionados por la PMO y alineados con el Plan Estratégico Institucional (PEI) y el Plan Operativo Institucional (POI) de la MML. La aprobación de proyectos sigue el proceso de inversiones del sector público.</w:t>
      </w:r>
    </w:p>
    <w:p>
      <w:pPr>
        <w:pStyle w:val="Heading2"/>
        <w:spacing w:after="100" w:before="200"/>
      </w:pPr>
      <w:r>
        <w:rPr>
          <w:rFonts w:ascii="Arial" w:cs="Arial" w:eastAsia="Arial" w:hAnsi="Arial"/>
          <w:b/>
          <w:bCs/>
          <w:color w:val="2E75B6"/>
          <w:sz w:val="26"/>
          <w:szCs w:val="26"/>
        </w:rPr>
        <w:t xml:space="preserve">15.2 Alineación con el Ciclo Presupuestal</w:t>
      </w:r>
    </w:p>
    <w:p>
      <w:pPr>
        <w:spacing w:after="120" w:line="264"/>
      </w:pPr>
      <w:r>
        <w:rPr>
          <w:rFonts w:ascii="Arial" w:cs="Arial" w:eastAsia="Arial" w:hAnsi="Arial"/>
          <w:b w:val="false"/>
          <w:bCs w:val="false"/>
          <w:i w:val="false"/>
          <w:iCs w:val="false"/>
          <w:color w:val="222222"/>
          <w:sz w:val="20"/>
          <w:szCs w:val="20"/>
        </w:rPr>
        <w:t xml:space="preserve">El plan se sincroniza con la programación multianual y la formulación presupuestal anual. Los work packages que requieren inversión (WP-001, WP-002, WP-003, WP-008, WP-009) deben contar con asignación en el PIA/PIM antes de su ejecución; los de menor cuantía pueden financiarse con presupuesto operativo.</w:t>
      </w:r>
    </w:p>
    <w:p>
      <w:pPr>
        <w:pStyle w:val="Heading2"/>
        <w:spacing w:after="100" w:before="200"/>
      </w:pPr>
      <w:r>
        <w:rPr>
          <w:rFonts w:ascii="Arial" w:cs="Arial" w:eastAsia="Arial" w:hAnsi="Arial"/>
          <w:b/>
          <w:bCs/>
          <w:color w:val="2E75B6"/>
          <w:sz w:val="26"/>
          <w:szCs w:val="26"/>
        </w:rPr>
        <w:t xml:space="preserve">15.3 Alineación con Procesos de Contratación</w:t>
      </w:r>
    </w:p>
    <w:p>
      <w:pPr>
        <w:spacing w:after="120" w:line="264"/>
      </w:pPr>
      <w:r>
        <w:rPr>
          <w:rFonts w:ascii="Arial" w:cs="Arial" w:eastAsia="Arial" w:hAnsi="Arial"/>
          <w:b w:val="false"/>
          <w:bCs w:val="false"/>
          <w:i w:val="false"/>
          <w:iCs w:val="false"/>
          <w:color w:val="222222"/>
          <w:sz w:val="20"/>
          <w:szCs w:val="20"/>
        </w:rPr>
        <w:t xml:space="preserve">Los work packages que requieren servicios externos o adquisición de bienes (nube, integradores, herramientas) deben prever los plazos de contratación pública. Se recomienda iniciar los procesos de selección con al menos un trimestre de anticipación para no afectar el cronograma.</w:t>
      </w:r>
    </w:p>
    <w:p>
      <w:pPr>
        <w:pStyle w:val="Heading1"/>
        <w:spacing w:after="140" w:before="300"/>
      </w:pPr>
      <w:r>
        <w:rPr>
          <w:rFonts w:ascii="Arial" w:cs="Arial" w:eastAsia="Arial" w:hAnsi="Arial"/>
          <w:b/>
          <w:bCs/>
          <w:color w:val="1F3864"/>
          <w:sz w:val="32"/>
          <w:szCs w:val="32"/>
        </w:rPr>
        <w:t xml:space="preserve">16. Plan de Comunicación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200"/>
        <w:gridCol w:w="1320"/>
        <w:gridCol w:w="1100"/>
      </w:tblGrid>
      <w:tr>
        <w:trPr>
          <w:tblHeader/>
        </w:trPr>
        <w:tc>
          <w:tcPr>
            <w:tcW w:type="dxa" w:w="2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Audiencia</w:t>
            </w:r>
          </w:p>
        </w:tc>
        <w:tc>
          <w:tcPr>
            <w:tcW w:type="dxa" w:w="24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Tipo de Comunicación</w:t>
            </w:r>
          </w:p>
        </w:tc>
        <w:tc>
          <w:tcPr>
            <w:tcW w:type="dxa" w:w="2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Canal / Medio</w:t>
            </w:r>
          </w:p>
        </w:tc>
        <w:tc>
          <w:tcPr>
            <w:tcW w:type="dxa" w:w="13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Frecuencia</w:t>
            </w:r>
          </w:p>
        </w:tc>
        <w:tc>
          <w:tcPr>
            <w:tcW w:type="dxa" w:w="11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Responsable</w:t>
            </w:r>
          </w:p>
        </w:tc>
      </w:tr>
      <w:tr>
        <w:tc>
          <w:tcPr>
            <w:tcW w:type="dxa" w:w="2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Alta Dirección / Patrocinadores</w:t>
            </w:r>
          </w:p>
        </w:tc>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Reporte de avance ejecutivo</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Presentación</w:t>
            </w:r>
          </w:p>
        </w:tc>
        <w:tc>
          <w:tcPr>
            <w:tcW w:type="dxa" w:w="13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Mensual</w:t>
            </w:r>
          </w:p>
        </w:tc>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 / PMO</w:t>
            </w:r>
          </w:p>
        </w:tc>
      </w:tr>
      <w:tr>
        <w:tc>
          <w:tcPr>
            <w:tcW w:type="dxa" w:w="2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Board</w:t>
            </w:r>
          </w:p>
        </w:tc>
        <w:tc>
          <w:tcPr>
            <w:tcW w:type="dxa" w:w="2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Revisión de conformidad</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Reunión formal</w:t>
            </w:r>
          </w:p>
        </w:tc>
        <w:tc>
          <w:tcPr>
            <w:tcW w:type="dxa" w:w="13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Por hito</w:t>
            </w:r>
          </w:p>
        </w:tc>
        <w:tc>
          <w:tcPr>
            <w:tcW w:type="dxa" w:w="1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w:t>
            </w:r>
          </w:p>
        </w:tc>
      </w:tr>
      <w:tr>
        <w:tc>
          <w:tcPr>
            <w:tcW w:type="dxa" w:w="2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Equipos de Proyecto</w:t>
            </w:r>
          </w:p>
        </w:tc>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Seguimiento operacional</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Herramienta PM</w:t>
            </w:r>
          </w:p>
        </w:tc>
        <w:tc>
          <w:tcPr>
            <w:tcW w:type="dxa" w:w="13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Semanal</w:t>
            </w:r>
          </w:p>
        </w:tc>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PMO</w:t>
            </w:r>
          </w:p>
        </w:tc>
      </w:tr>
      <w:tr>
        <w:tc>
          <w:tcPr>
            <w:tcW w:type="dxa" w:w="2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Áreas impactadas / Usuarios</w:t>
            </w:r>
          </w:p>
        </w:tc>
        <w:tc>
          <w:tcPr>
            <w:tcW w:type="dxa" w:w="24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Comunicación de cambios</w:t>
            </w:r>
          </w:p>
        </w:tc>
        <w:tc>
          <w:tcPr>
            <w:tcW w:type="dxa" w:w="2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Intranet / correo</w:t>
            </w:r>
          </w:p>
        </w:tc>
        <w:tc>
          <w:tcPr>
            <w:tcW w:type="dxa" w:w="13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Según evento</w:t>
            </w:r>
          </w:p>
        </w:tc>
        <w:tc>
          <w:tcPr>
            <w:tcW w:type="dxa" w:w="11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Gestión del Cambio</w:t>
            </w:r>
          </w:p>
        </w:tc>
      </w:tr>
      <w:tr>
        <w:tc>
          <w:tcPr>
            <w:tcW w:type="dxa" w:w="2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Ciudadanía</w:t>
            </w:r>
          </w:p>
        </w:tc>
        <w:tc>
          <w:tcPr>
            <w:tcW w:type="dxa" w:w="24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Difusión de nuevos canales</w:t>
            </w:r>
          </w:p>
        </w:tc>
        <w:tc>
          <w:tcPr>
            <w:tcW w:type="dxa" w:w="2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Web / medios institucionales</w:t>
            </w:r>
          </w:p>
        </w:tc>
        <w:tc>
          <w:tcPr>
            <w:tcW w:type="dxa" w:w="13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Por lanzamiento</w:t>
            </w:r>
          </w:p>
        </w:tc>
        <w:tc>
          <w:tcPr>
            <w:tcW w:type="dxa" w:w="11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Comunicaciones</w:t>
            </w:r>
          </w:p>
        </w:tc>
      </w:tr>
    </w:tbl>
    <w:p>
      <w:pPr>
        <w:pStyle w:val="Heading1"/>
        <w:spacing w:after="140" w:before="300"/>
      </w:pPr>
      <w:r>
        <w:rPr>
          <w:rFonts w:ascii="Arial" w:cs="Arial" w:eastAsia="Arial" w:hAnsi="Arial"/>
          <w:b/>
          <w:bCs/>
          <w:color w:val="1F3864"/>
          <w:sz w:val="32"/>
          <w:szCs w:val="32"/>
        </w:rPr>
        <w:t xml:space="preserve">17. Gestión del Cambio Organizacional</w:t>
      </w:r>
    </w:p>
    <w:p>
      <w:pPr>
        <w:spacing w:after="120" w:line="264"/>
      </w:pPr>
      <w:r>
        <w:rPr>
          <w:rFonts w:ascii="Arial" w:cs="Arial" w:eastAsia="Arial" w:hAnsi="Arial"/>
          <w:b w:val="false"/>
          <w:bCs w:val="false"/>
          <w:i w:val="false"/>
          <w:iCs w:val="false"/>
          <w:color w:val="222222"/>
          <w:sz w:val="20"/>
          <w:szCs w:val="20"/>
        </w:rPr>
        <w:t xml:space="preserve">La gestión del cambio es parte integral del plan, no un proyecto paralelo. Acompaña cada despliegue con capacitación, comunicación, soporte y medición de adopción.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1900"/>
        <w:gridCol w:w="1820"/>
      </w:tblGrid>
      <w:tr>
        <w:trPr>
          <w:tblHeader/>
        </w:trPr>
        <w:tc>
          <w:tcPr>
            <w:tcW w:type="dxa" w:w="2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Actividad de Cambio</w:t>
            </w:r>
          </w:p>
        </w:tc>
        <w:tc>
          <w:tcPr>
            <w:tcW w:type="dxa" w:w="3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Descripción</w:t>
            </w:r>
          </w:p>
        </w:tc>
        <w:tc>
          <w:tcPr>
            <w:tcW w:type="dxa" w:w="1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WP / Transición</w:t>
            </w:r>
          </w:p>
        </w:tc>
        <w:tc>
          <w:tcPr>
            <w:tcW w:type="dxa" w:w="18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Responsable</w:t>
            </w:r>
          </w:p>
        </w:tc>
      </w:tr>
      <w:tr>
        <w:tc>
          <w:tcPr>
            <w:tcW w:type="dxa" w:w="2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Capacitación de usuarios</w:t>
            </w:r>
          </w:p>
        </w:tc>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Formación a personal de atención y trámite</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WP-003, WP-005</w:t>
            </w:r>
          </w:p>
        </w:tc>
        <w:tc>
          <w:tcPr>
            <w:tcW w:type="dxa" w:w="18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Gestión del Cambio</w:t>
            </w:r>
          </w:p>
        </w:tc>
      </w:tr>
      <w:tr>
        <w:tc>
          <w:tcPr>
            <w:tcW w:type="dxa" w:w="2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Comunicación institucional</w:t>
            </w:r>
          </w:p>
        </w:tc>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Difusión interna y externa de los nuevos canales</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Todas</w:t>
            </w:r>
          </w:p>
        </w:tc>
        <w:tc>
          <w:tcPr>
            <w:tcW w:type="dxa" w:w="18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Comunicaciones</w:t>
            </w:r>
          </w:p>
        </w:tc>
      </w:tr>
      <w:tr>
        <w:tc>
          <w:tcPr>
            <w:tcW w:type="dxa" w:w="2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Soporte post-implementación</w:t>
            </w:r>
          </w:p>
        </w:tc>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Mesa de ayuda y acompañamiento</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WP-005, WP-006</w:t>
            </w:r>
          </w:p>
        </w:tc>
        <w:tc>
          <w:tcPr>
            <w:tcW w:type="dxa" w:w="18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w:t>
            </w:r>
          </w:p>
        </w:tc>
      </w:tr>
      <w:tr>
        <w:tc>
          <w:tcPr>
            <w:tcW w:type="dxa" w:w="2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Medición de adopción</w:t>
            </w:r>
          </w:p>
        </w:tc>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KPIs de uso y satisfacción por canal</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Por transición</w:t>
            </w:r>
          </w:p>
        </w:tc>
        <w:tc>
          <w:tcPr>
            <w:tcW w:type="dxa" w:w="18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PMO / Datos</w:t>
            </w:r>
          </w:p>
        </w:tc>
      </w:tr>
    </w:tbl>
    <w:p>
      <w:pPr>
        <w:pStyle w:val="Heading1"/>
        <w:spacing w:after="140" w:before="300"/>
      </w:pPr>
      <w:r>
        <w:rPr>
          <w:rFonts w:ascii="Arial" w:cs="Arial" w:eastAsia="Arial" w:hAnsi="Arial"/>
          <w:b/>
          <w:bCs/>
          <w:color w:val="1F3864"/>
          <w:sz w:val="32"/>
          <w:szCs w:val="32"/>
        </w:rPr>
        <w:t xml:space="preserve">18. Criterios de Éxito del Plan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3300"/>
        <w:gridCol w:w="2120"/>
      </w:tblGrid>
      <w:tr>
        <w:trPr>
          <w:tblHeader/>
        </w:trPr>
        <w:tc>
          <w:tcPr>
            <w:tcW w:type="dxa" w:w="6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t>
            </w:r>
          </w:p>
        </w:tc>
        <w:tc>
          <w:tcPr>
            <w:tcW w:type="dxa" w:w="3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Criterio de Éxito</w:t>
            </w:r>
          </w:p>
        </w:tc>
        <w:tc>
          <w:tcPr>
            <w:tcW w:type="dxa" w:w="33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Indicador de Medición</w:t>
            </w:r>
          </w:p>
        </w:tc>
        <w:tc>
          <w:tcPr>
            <w:tcW w:type="dxa" w:w="21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Responsable</w:t>
            </w:r>
          </w:p>
        </w:tc>
      </w:tr>
      <w:tr>
        <w:tc>
          <w:tcPr>
            <w:tcW w:type="dxa" w:w="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w:t>
            </w:r>
          </w:p>
        </w:tc>
        <w:tc>
          <w:tcPr>
            <w:tcW w:type="dxa" w:w="3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Work packages de alta prioridad completados en plazo</w:t>
            </w:r>
          </w:p>
        </w:tc>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de hitos alcanzados</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PMO</w:t>
            </w:r>
          </w:p>
        </w:tc>
      </w:tr>
      <w:tr>
        <w:tc>
          <w:tcPr>
            <w:tcW w:type="dxa" w:w="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w:t>
            </w:r>
          </w:p>
        </w:tc>
        <w:tc>
          <w:tcPr>
            <w:tcW w:type="dxa" w:w="3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Variación de costo dentro del umbral aprobado (&lt; 10 %)</w:t>
            </w:r>
          </w:p>
        </w:tc>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de variación presupuestal</w:t>
            </w:r>
          </w:p>
        </w:tc>
        <w:tc>
          <w:tcPr>
            <w:tcW w:type="dxa" w:w="2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Presupuesto</w:t>
            </w:r>
          </w:p>
        </w:tc>
      </w:tr>
      <w:tr>
        <w:tc>
          <w:tcPr>
            <w:tcW w:type="dxa" w:w="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3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Transiciones alcanzadas con conformidad verificada</w:t>
            </w:r>
          </w:p>
        </w:tc>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 de compliance assessments aprobados</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Board</w:t>
            </w:r>
          </w:p>
        </w:tc>
      </w:tr>
      <w:tr>
        <w:tc>
          <w:tcPr>
            <w:tcW w:type="dxa" w:w="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4</w:t>
            </w:r>
          </w:p>
        </w:tc>
        <w:tc>
          <w:tcPr>
            <w:tcW w:type="dxa" w:w="3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Beneficios de negocio realizados según KPIs</w:t>
            </w:r>
          </w:p>
        </w:tc>
        <w:tc>
          <w:tcPr>
            <w:tcW w:type="dxa" w:w="33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Cumplimiento de metas de KPIs</w:t>
            </w:r>
          </w:p>
        </w:tc>
        <w:tc>
          <w:tcPr>
            <w:tcW w:type="dxa" w:w="21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 / Datos</w:t>
            </w:r>
          </w:p>
        </w:tc>
      </w:tr>
      <w:tr>
        <w:tc>
          <w:tcPr>
            <w:tcW w:type="dxa" w:w="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5</w:t>
            </w:r>
          </w:p>
        </w:tc>
        <w:tc>
          <w:tcPr>
            <w:tcW w:type="dxa" w:w="3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Cero incidentes críticos de continuidad operacional</w:t>
            </w:r>
          </w:p>
        </w:tc>
        <w:tc>
          <w:tcPr>
            <w:tcW w:type="dxa" w:w="33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 de incidentes P1/P2</w:t>
            </w:r>
          </w:p>
        </w:tc>
        <w:tc>
          <w:tcPr>
            <w:tcW w:type="dxa" w:w="21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Gerencia de TI</w:t>
            </w:r>
          </w:p>
        </w:tc>
      </w:tr>
    </w:tbl>
    <w:p>
      <w:pPr>
        <w:pStyle w:val="Heading1"/>
        <w:spacing w:after="140" w:before="300"/>
      </w:pPr>
      <w:r>
        <w:rPr>
          <w:rFonts w:ascii="Arial" w:cs="Arial" w:eastAsia="Arial" w:hAnsi="Arial"/>
          <w:b/>
          <w:bCs/>
          <w:color w:val="1F3864"/>
          <w:sz w:val="32"/>
          <w:szCs w:val="32"/>
        </w:rPr>
        <w:t xml:space="preserve">19. Lecciones Aprendidas y Mejora del Proceso ADM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700"/>
        <w:gridCol w:w="3520"/>
      </w:tblGrid>
      <w:tr>
        <w:trPr>
          <w:tblHeader/>
        </w:trPr>
        <w:tc>
          <w:tcPr>
            <w:tcW w:type="dxa" w:w="6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w:t>
            </w:r>
          </w:p>
        </w:tc>
        <w:tc>
          <w:tcPr>
            <w:tcW w:type="dxa" w:w="1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Área / Fase</w:t>
            </w:r>
          </w:p>
        </w:tc>
        <w:tc>
          <w:tcPr>
            <w:tcW w:type="dxa" w:w="37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Lección Aprendida</w:t>
            </w:r>
          </w:p>
        </w:tc>
        <w:tc>
          <w:tcPr>
            <w:tcW w:type="dxa" w:w="35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Acción de Mejora Recomendada</w:t>
            </w:r>
          </w:p>
        </w:tc>
      </w:tr>
      <w:tr>
        <w:tc>
          <w:tcPr>
            <w:tcW w:type="dxa" w:w="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1</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E</w:t>
            </w:r>
          </w:p>
        </w:tc>
        <w:tc>
          <w:tcPr>
            <w:tcW w:type="dxa" w:w="3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La interdependencia de habilitadores exige secuenciar infraestructura y seguridad primero</w:t>
            </w:r>
          </w:p>
        </w:tc>
        <w:tc>
          <w:tcPr>
            <w:tcW w:type="dxa" w:w="35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Formalizar WP transversales como precondición en el roadmap</w:t>
            </w:r>
          </w:p>
        </w:tc>
      </w:tr>
      <w:tr>
        <w:tc>
          <w:tcPr>
            <w:tcW w:type="dxa" w:w="6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2</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Fase E / F</w:t>
            </w:r>
          </w:p>
        </w:tc>
        <w:tc>
          <w:tcPr>
            <w:tcW w:type="dxa" w:w="37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El ciclo presupuestal condiciona el cronograma</w:t>
            </w:r>
          </w:p>
        </w:tc>
        <w:tc>
          <w:tcPr>
            <w:tcW w:type="dxa" w:w="35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Sincronizar oleadas con la formulación presupuestal anual</w:t>
            </w:r>
          </w:p>
        </w:tc>
      </w:tr>
      <w:tr>
        <w:tc>
          <w:tcPr>
            <w:tcW w:type="dxa" w:w="6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3</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Gobierno</w:t>
            </w:r>
          </w:p>
        </w:tc>
        <w:tc>
          <w:tcPr>
            <w:tcW w:type="dxa" w:w="37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La calidad de datos de origen impacta el registro único</w:t>
            </w:r>
          </w:p>
        </w:tc>
        <w:tc>
          <w:tcPr>
            <w:tcW w:type="dxa" w:w="35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Incorporar gobierno de datos desde la primera transición</w:t>
            </w:r>
          </w:p>
        </w:tc>
      </w:tr>
    </w:tbl>
    <w:p>
      <w:pPr>
        <w:pStyle w:val="Heading1"/>
        <w:spacing w:after="140" w:before="300"/>
      </w:pPr>
      <w:r>
        <w:rPr>
          <w:rFonts w:ascii="Arial" w:cs="Arial" w:eastAsia="Arial" w:hAnsi="Arial"/>
          <w:b/>
          <w:bCs/>
          <w:color w:val="1F3864"/>
          <w:sz w:val="32"/>
          <w:szCs w:val="32"/>
        </w:rPr>
        <w:t xml:space="preserve">20. Aprobación del Documento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900"/>
        <w:gridCol w:w="1820"/>
      </w:tblGrid>
      <w:tr>
        <w:trPr>
          <w:tblHeader/>
        </w:trPr>
        <w:tc>
          <w:tcPr>
            <w:tcW w:type="dxa" w:w="28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Nombre</w:t>
            </w:r>
          </w:p>
        </w:tc>
        <w:tc>
          <w:tcPr>
            <w:tcW w:type="dxa" w:w="32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Rol / Cargo</w:t>
            </w:r>
          </w:p>
        </w:tc>
        <w:tc>
          <w:tcPr>
            <w:tcW w:type="dxa" w:w="19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Fecha</w:t>
            </w:r>
          </w:p>
        </w:tc>
        <w:tc>
          <w:tcPr>
            <w:tcW w:type="dxa" w:w="18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Firma / Aprobación</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[Nombre]</w:t>
            </w:r>
          </w:p>
        </w:tc>
        <w:tc>
          <w:tcPr>
            <w:tcW w:type="dxa" w:w="3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Arquitecto Empresarial</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[DD/MM/AAAA]</w:t>
            </w:r>
          </w:p>
        </w:tc>
        <w:tc>
          <w:tcPr>
            <w:tcW w:type="dxa" w:w="18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[Nombre]</w:t>
            </w:r>
          </w:p>
        </w:tc>
        <w:tc>
          <w:tcPr>
            <w:tcW w:type="dxa" w:w="3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Patrocinador Ejecutivo</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[DD/MM/AAAA]</w:t>
            </w:r>
          </w:p>
        </w:tc>
        <w:tc>
          <w:tcPr>
            <w:tcW w:type="dxa" w:w="18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[Nombre]</w:t>
            </w:r>
          </w:p>
        </w:tc>
        <w:tc>
          <w:tcPr>
            <w:tcW w:type="dxa" w:w="32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Board</w:t>
            </w:r>
          </w:p>
        </w:tc>
        <w:tc>
          <w:tcPr>
            <w:tcW w:type="dxa" w:w="19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[DD/MM/AAAA]</w:t>
            </w:r>
          </w:p>
        </w:tc>
        <w:tc>
          <w:tcPr>
            <w:tcW w:type="dxa" w:w="18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[Nombre]</w:t>
            </w:r>
          </w:p>
        </w:tc>
        <w:tc>
          <w:tcPr>
            <w:tcW w:type="dxa" w:w="32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PMO / Gerente de Programa</w:t>
            </w:r>
          </w:p>
        </w:tc>
        <w:tc>
          <w:tcPr>
            <w:tcW w:type="dxa" w:w="19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[DD/MM/AAAA]</w:t>
            </w:r>
          </w:p>
        </w:tc>
        <w:tc>
          <w:tcPr>
            <w:tcW w:type="dxa" w:w="18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
            </w:r>
          </w:p>
        </w:tc>
      </w:tr>
    </w:tbl>
    <w:p>
      <w:pPr>
        <w:pStyle w:val="Heading1"/>
        <w:spacing w:after="140" w:before="300"/>
      </w:pPr>
      <w:r>
        <w:rPr>
          <w:rFonts w:ascii="Arial" w:cs="Arial" w:eastAsia="Arial" w:hAnsi="Arial"/>
          <w:b/>
          <w:bCs/>
          <w:color w:val="1F3864"/>
          <w:sz w:val="32"/>
          <w:szCs w:val="32"/>
        </w:rPr>
        <w:t xml:space="preserve">21. Glosario de Términos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Término</w:t>
            </w:r>
          </w:p>
        </w:tc>
        <w:tc>
          <w:tcPr>
            <w:tcW w:type="dxa" w:w="6920"/>
            <w:tcBorders>
              <w:top w:val="single" w:color="BFD3E6" w:sz="4"/>
              <w:left w:val="single" w:color="BFD3E6" w:sz="4"/>
              <w:bottom w:val="single" w:color="BFD3E6" w:sz="4"/>
              <w:right w:val="single" w:color="BFD3E6" w:sz="4"/>
            </w:tcBorders>
            <w:shd w:fill="2E75B6" w:color="auto" w:val="clear"/>
            <w:tcMar>
              <w:top w:type="dxa" w:w="60"/>
              <w:left w:type="dxa" w:w="110"/>
              <w:bottom w:type="dxa" w:w="60"/>
              <w:right w:type="dxa" w:w="110"/>
            </w:tcMar>
            <w:vAlign w:val="center"/>
          </w:tcPr>
          <w:p>
            <w:pPr>
              <w:spacing w:after="0"/>
              <w:jc w:val="left"/>
            </w:pPr>
            <w:r>
              <w:rPr>
                <w:rFonts w:ascii="Arial" w:cs="Arial" w:eastAsia="Arial" w:hAnsi="Arial"/>
                <w:b/>
                <w:bCs/>
                <w:color w:val="FFFFFF"/>
                <w:sz w:val="19"/>
                <w:szCs w:val="19"/>
              </w:rPr>
              <w:t xml:space="preserve">Definición</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Architecture Roadmap</w:t>
            </w:r>
          </w:p>
        </w:tc>
        <w:tc>
          <w:tcPr>
            <w:tcW w:type="dxa" w:w="69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Secuencia temporal de work packages e iniciativas para avanzar desde la baseline hasta la target.</w:t>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Implementation and Migration Plan</w:t>
            </w:r>
          </w:p>
        </w:tc>
        <w:tc>
          <w:tcPr>
            <w:tcW w:type="dxa" w:w="69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Documento que consolida priorización, secuenciación, costos, recursos y cronograma de los work packages.</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Migration Plan</w:t>
            </w:r>
          </w:p>
        </w:tc>
        <w:tc>
          <w:tcPr>
            <w:tcW w:type="dxa" w:w="69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Subcomponente que detalla la secuencia lógica y temporal de los cambios y migraciones de sistemas.</w:t>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Work Package</w:t>
            </w:r>
          </w:p>
        </w:tc>
        <w:tc>
          <w:tcPr>
            <w:tcW w:type="dxa" w:w="69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Unidad de implementación manejable, con responsable y valor definidos.</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Transition Architecture</w:t>
            </w:r>
          </w:p>
        </w:tc>
        <w:tc>
          <w:tcPr>
            <w:tcW w:type="dxa" w:w="69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Estado intermedio coherente y verificable entre la baseline y la target.</w:t>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KPI</w:t>
            </w:r>
          </w:p>
        </w:tc>
        <w:tc>
          <w:tcPr>
            <w:tcW w:type="dxa" w:w="69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Indicador clave de desempeño para medir el progreso o la realización de un beneficio.</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PMO</w:t>
            </w:r>
          </w:p>
        </w:tc>
        <w:tc>
          <w:tcPr>
            <w:tcW w:type="dxa" w:w="69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Oficina de gestión de proyectos que coordina y estandariza el portafolio.</w:t>
            </w:r>
          </w:p>
        </w:tc>
      </w:tr>
      <w:tr>
        <w:tc>
          <w:tcPr>
            <w:tcW w:type="dxa" w:w="280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PIDE</w:t>
            </w:r>
          </w:p>
        </w:tc>
        <w:tc>
          <w:tcPr>
            <w:tcW w:type="dxa" w:w="6920"/>
            <w:tcBorders>
              <w:top w:val="single" w:color="BFD3E6" w:sz="4"/>
              <w:left w:val="single" w:color="BFD3E6" w:sz="4"/>
              <w:bottom w:val="single" w:color="BFD3E6" w:sz="4"/>
              <w:right w:val="single" w:color="BFD3E6" w:sz="4"/>
            </w:tcBorders>
            <w:shd w:fill="EBF3FB"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Plataforma de Interoperabilidad del Estado peruano.</w:t>
            </w:r>
          </w:p>
        </w:tc>
      </w:tr>
      <w:tr>
        <w:tc>
          <w:tcPr>
            <w:tcW w:type="dxa" w:w="280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TUPA</w:t>
            </w:r>
          </w:p>
        </w:tc>
        <w:tc>
          <w:tcPr>
            <w:tcW w:type="dxa" w:w="6920"/>
            <w:tcBorders>
              <w:top w:val="single" w:color="BFD3E6" w:sz="4"/>
              <w:left w:val="single" w:color="BFD3E6" w:sz="4"/>
              <w:bottom w:val="single" w:color="BFD3E6" w:sz="4"/>
              <w:right w:val="single" w:color="BFD3E6" w:sz="4"/>
            </w:tcBorders>
            <w:shd w:fill="FFFFFF" w:color="auto" w:val="clear"/>
            <w:tcMar>
              <w:top w:type="dxa" w:w="60"/>
              <w:left w:type="dxa" w:w="110"/>
              <w:bottom w:type="dxa" w:w="60"/>
              <w:right w:type="dxa" w:w="110"/>
            </w:tcMar>
            <w:vAlign w:val="center"/>
          </w:tcPr>
          <w:p>
            <w:pPr>
              <w:spacing w:after="0" w:line="252"/>
              <w:jc w:val="left"/>
            </w:pPr>
            <w:r>
              <w:rPr>
                <w:rFonts w:ascii="Arial" w:cs="Arial" w:eastAsia="Arial" w:hAnsi="Arial"/>
                <w:b w:val="false"/>
                <w:bCs w:val="false"/>
                <w:i w:val="false"/>
                <w:iCs w:val="false"/>
                <w:color w:val="222222"/>
                <w:sz w:val="20"/>
                <w:szCs w:val="20"/>
              </w:rPr>
              <w:t xml:space="preserve">Texto Único de Procedimientos Administrativos de la entidad.</w:t>
            </w:r>
          </w:p>
        </w:tc>
      </w:tr>
    </w:tbl>
    <w:p>
      <w:pPr>
        <w:pStyle w:val="Heading1"/>
        <w:spacing w:after="140" w:before="300"/>
      </w:pPr>
      <w:r>
        <w:rPr>
          <w:rFonts w:ascii="Arial" w:cs="Arial" w:eastAsia="Arial" w:hAnsi="Arial"/>
          <w:b/>
          <w:bCs/>
          <w:color w:val="1F3864"/>
          <w:sz w:val="32"/>
          <w:szCs w:val="32"/>
        </w:rPr>
        <w:t xml:space="preserve">22. Referencias</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The Open Group. TOGAF® Standard, Version 9.2. Van Haren Publishing, 2018.</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Decreto Legislativo N.° 1412 — Ley de Gobierno Digital. Perú, 2018.</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Ley N.° 27658 — Ley Marco de Modernización de la Gestión del Estado.</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Política Nacional de Modernización de la Gestión Pública (PNMGP).</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Ley N.° 29733 — Ley de Protección de Datos Personales.</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Architecture Roadmap — Versión 0.1 de Fase E (MML).</w:t>
      </w:r>
    </w:p>
    <w:p>
      <w:pPr>
        <w:pStyle w:val="ListParagraph"/>
        <w:numPr>
          <w:ilvl w:val="0"/>
          <w:numId w:val="3"/>
        </w:numPr>
        <w:spacing w:after="70" w:line="252"/>
      </w:pPr>
      <w:r>
        <w:rPr>
          <w:rFonts w:ascii="Arial" w:cs="Arial" w:eastAsia="Arial" w:hAnsi="Arial"/>
          <w:b w:val="false"/>
          <w:bCs w:val="false"/>
          <w:i w:val="false"/>
          <w:iCs w:val="false"/>
          <w:color w:val="222222"/>
          <w:sz w:val="20"/>
          <w:szCs w:val="20"/>
        </w:rPr>
        <w:t xml:space="preserve">Arquitectura de Transición TA-001 (MML) — entregable complementario de Fase E.</w:t>
      </w:r>
    </w:p>
    <w:p>
      <w:pPr>
        <w:pStyle w:val="Heading1"/>
        <w:spacing w:after="140" w:before="300"/>
      </w:pPr>
      <w:r>
        <w:rPr>
          <w:rFonts w:ascii="Arial" w:cs="Arial" w:eastAsia="Arial" w:hAnsi="Arial"/>
          <w:b/>
          <w:bCs/>
          <w:color w:val="1F3864"/>
          <w:sz w:val="32"/>
          <w:szCs w:val="32"/>
        </w:rPr>
        <w:t xml:space="preserve">23. Anexos</w:t>
      </w:r>
    </w:p>
    <w:p>
      <w:pPr>
        <w:pStyle w:val="Heading2"/>
        <w:spacing w:after="100" w:before="200"/>
      </w:pPr>
      <w:r>
        <w:rPr>
          <w:rFonts w:ascii="Arial" w:cs="Arial" w:eastAsia="Arial" w:hAnsi="Arial"/>
          <w:b/>
          <w:bCs/>
          <w:color w:val="2E75B6"/>
          <w:sz w:val="26"/>
          <w:szCs w:val="26"/>
        </w:rPr>
        <w:t xml:space="preserve">Anexo A — Diagramas del Plan</w:t>
      </w:r>
    </w:p>
    <w:p>
      <w:pPr>
        <w:pStyle w:val="Heading3"/>
        <w:spacing w:after="80" w:before="160"/>
      </w:pPr>
      <w:r>
        <w:rPr>
          <w:rFonts w:ascii="Arial" w:cs="Arial" w:eastAsia="Arial" w:hAnsi="Arial"/>
          <w:b/>
          <w:bCs/>
          <w:color w:val="404040"/>
          <w:sz w:val="24"/>
          <w:szCs w:val="24"/>
        </w:rPr>
        <w:t xml:space="preserve">A.1  Grafo de dependencias entre Work Packages (Sección 9)</w:t>
      </w:r>
    </w:p>
    <w:p>
      <w:pPr>
        <w:spacing w:after="120" w:line="264"/>
      </w:pPr>
      <w:r>
        <w:rPr>
          <w:rFonts w:ascii="Arial" w:cs="Arial" w:eastAsia="Arial" w:hAnsi="Arial"/>
          <w:b w:val="false"/>
          <w:bCs w:val="false"/>
          <w:i w:val="false"/>
          <w:iCs w:val="false"/>
          <w:color w:val="222222"/>
          <w:sz w:val="20"/>
          <w:szCs w:val="20"/>
        </w:rPr>
        <w:t xml:space="preserve">Grafo dirigido de precedencia: la dirección de la flecha indica «debe completarse antes de». Las líneas punteadas representan habilitadores transversales (infraestructura y seguridad).</w:t>
      </w:r>
    </w:p>
    <w:p>
      <w:pPr>
        <w:spacing w:after="120" w:before="120"/>
        <w:jc w:val="center"/>
      </w:pPr>
      <w:r>
        <w:drawing>
          <wp:inline distT="0" distB="0" distL="0" distR="0">
            <wp:extent cx="61722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238500"/>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Figura A.1 — Dependencias de precedencia entre los 10 work packages.</w:t>
      </w:r>
    </w:p>
    <w:p>
      <w:pPr>
        <w:pStyle w:val="Heading3"/>
        <w:spacing w:after="80" w:before="160"/>
      </w:pPr>
      <w:r>
        <w:rPr>
          <w:rFonts w:ascii="Arial" w:cs="Arial" w:eastAsia="Arial" w:hAnsi="Arial"/>
          <w:b/>
          <w:bCs/>
          <w:color w:val="404040"/>
          <w:sz w:val="24"/>
          <w:szCs w:val="24"/>
        </w:rPr>
        <w:t xml:space="preserve">A.2  Roadmap de implementación — diagrama Gantt (Sección 11.1)</w:t>
      </w:r>
    </w:p>
    <w:p>
      <w:pPr>
        <w:spacing w:after="120" w:line="264"/>
      </w:pPr>
      <w:r>
        <w:rPr>
          <w:rFonts w:ascii="Arial" w:cs="Arial" w:eastAsia="Arial" w:hAnsi="Arial"/>
          <w:b w:val="false"/>
          <w:bCs w:val="false"/>
          <w:i w:val="false"/>
          <w:iCs w:val="false"/>
          <w:color w:val="222222"/>
          <w:sz w:val="20"/>
          <w:szCs w:val="20"/>
        </w:rPr>
        <w:t xml:space="preserve">Vista Gantt con barras de duración por work package, agrupadas por transición, con una franja inferior que marca los hitos de transición T1, T2 y Target.</w:t>
      </w:r>
    </w:p>
    <w:p>
      <w:pPr>
        <w:spacing w:after="120" w:before="120"/>
        <w:jc w:val="center"/>
      </w:pPr>
      <w:r>
        <w:drawing>
          <wp:inline distT="0" distB="0" distL="0" distR="0">
            <wp:extent cx="61722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657600"/>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Figura A.2 — Roadmap por trimestre con hitos de transición.</w:t>
      </w:r>
    </w:p>
    <w:p>
      <w:pPr>
        <w:pStyle w:val="Heading2"/>
        <w:spacing w:after="100" w:before="200"/>
      </w:pPr>
      <w:r>
        <w:rPr>
          <w:rFonts w:ascii="Arial" w:cs="Arial" w:eastAsia="Arial" w:hAnsi="Arial"/>
          <w:b/>
          <w:bCs/>
          <w:color w:val="2E75B6"/>
          <w:sz w:val="26"/>
          <w:szCs w:val="26"/>
        </w:rPr>
        <w:t xml:space="preserve">Anexo B — Fichas Individuales de Work Package</w:t>
      </w:r>
    </w:p>
    <w:p>
      <w:pPr>
        <w:spacing w:after="120" w:line="264"/>
      </w:pPr>
      <w:r>
        <w:rPr>
          <w:rFonts w:ascii="Arial" w:cs="Arial" w:eastAsia="Arial" w:hAnsi="Arial"/>
          <w:b w:val="false"/>
          <w:bCs w:val="false"/>
          <w:i w:val="false"/>
          <w:iCs w:val="false"/>
          <w:color w:val="222222"/>
          <w:sz w:val="20"/>
          <w:szCs w:val="20"/>
        </w:rPr>
        <w:t xml:space="preserve">Para cada work package de alta complejidad (WP-001, WP-002, WP-005, WP-008) se elaborará una ficha con alcance detallado, recursos específicos, cronograma desglosado y criterios de aceptación, a completar en la planificación de proyectos de la Fase F.</w:t>
      </w:r>
    </w:p>
    <w:p>
      <w:pPr>
        <w:pStyle w:val="Heading2"/>
        <w:spacing w:after="100" w:before="200"/>
      </w:pPr>
      <w:r>
        <w:rPr>
          <w:rFonts w:ascii="Arial" w:cs="Arial" w:eastAsia="Arial" w:hAnsi="Arial"/>
          <w:b/>
          <w:bCs/>
          <w:color w:val="2E75B6"/>
          <w:sz w:val="26"/>
          <w:szCs w:val="26"/>
        </w:rPr>
        <w:t xml:space="preserve">Anexo C — Matriz de Beneficios Completa</w:t>
      </w:r>
    </w:p>
    <w:p>
      <w:pPr>
        <w:spacing w:after="120" w:line="264"/>
      </w:pPr>
      <w:r>
        <w:rPr>
          <w:rFonts w:ascii="Arial" w:cs="Arial" w:eastAsia="Arial" w:hAnsi="Arial"/>
          <w:b w:val="false"/>
          <w:bCs w:val="false"/>
          <w:i w:val="false"/>
          <w:iCs w:val="false"/>
          <w:color w:val="222222"/>
          <w:sz w:val="20"/>
          <w:szCs w:val="20"/>
        </w:rPr>
        <w:t xml:space="preserve">La matriz extendida de beneficios (driver → beneficio → KPI → línea base → meta → responsable) se mantiene en el Architecture Repository y se actualiza por transición.</w:t>
      </w:r>
    </w:p>
    <w:p>
      <w:pPr>
        <w:pStyle w:val="Heading2"/>
        <w:spacing w:after="100" w:before="200"/>
      </w:pPr>
      <w:r>
        <w:rPr>
          <w:rFonts w:ascii="Arial" w:cs="Arial" w:eastAsia="Arial" w:hAnsi="Arial"/>
          <w:b/>
          <w:bCs/>
          <w:color w:val="2E75B6"/>
          <w:sz w:val="26"/>
          <w:szCs w:val="26"/>
        </w:rPr>
        <w:t xml:space="preserve">Anexo D — Documentación de Decisiones de Arquitectura</w:t>
      </w:r>
    </w:p>
    <w:p>
      <w:pPr>
        <w:spacing w:after="120" w:line="264"/>
      </w:pPr>
      <w:r>
        <w:rPr>
          <w:rFonts w:ascii="Arial" w:cs="Arial" w:eastAsia="Arial" w:hAnsi="Arial"/>
          <w:b w:val="false"/>
          <w:bCs w:val="false"/>
          <w:i w:val="false"/>
          <w:iCs w:val="false"/>
          <w:color w:val="222222"/>
          <w:sz w:val="20"/>
          <w:szCs w:val="20"/>
        </w:rPr>
        <w:t xml:space="preserve">Registrar las decisiones de arquitectura (ADR) significativas de las Fases E y F, con justificación, alternativas evaluadas y responsable.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3E6" w:sz="4" w:space="4"/>
      </w:pBdr>
      <w:tabs>
        <w:tab w:val="right" w:pos="9720"/>
      </w:tabs>
    </w:pPr>
    <w:r>
      <w:rPr>
        <w:rFonts w:ascii="Arial" w:cs="Arial" w:eastAsia="Arial" w:hAnsi="Arial"/>
        <w:color w:val="7E94AC"/>
        <w:sz w:val="16"/>
        <w:szCs w:val="16"/>
      </w:rPr>
      <w:t xml:space="preserve">Confidencial — Uso Interno</w:t>
    </w:r>
    <w:r>
      <w:rPr>
        <w:rFonts w:ascii="Arial" w:cs="Arial" w:eastAsia="Arial" w:hAnsi="Arial"/>
        <w:color w:val="7E94AC"/>
        <w:sz w:val="16"/>
        <w:szCs w:val="16"/>
      </w:rPr>
      <w:t xml:space="preserve">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3E6" w:sz="4" w:space="4"/>
      </w:pBdr>
      <w:tabs>
        <w:tab w:val="right" w:pos="9720"/>
      </w:tabs>
    </w:pPr>
    <w:r>
      <w:rPr>
        <w:rFonts w:ascii="Arial" w:cs="Arial" w:eastAsia="Arial" w:hAnsi="Arial"/>
        <w:color w:val="7E94AC"/>
        <w:sz w:val="16"/>
        <w:szCs w:val="16"/>
      </w:rPr>
      <w:t xml:space="preserve">TOGAF 9.2 | Plan de Implementación y Migración</w:t>
    </w:r>
    <w:r>
      <w:rPr>
        <w:rFonts w:ascii="Arial" w:cs="Arial" w:eastAsia="Arial" w:hAnsi="Arial"/>
        <w:color w:val="7E94AC"/>
        <w:sz w:val="16"/>
        <w:szCs w:val="16"/>
      </w:rPr>
      <w:t xml:space="preserve">	Municipalidad Metropolitana de Lima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aff35600e5ac8b4fb56600da0551630e0c4a55.png"/><Relationship Id="rId10" Type="http://schemas.openxmlformats.org/officeDocument/2006/relationships/image" Target="media/f300592b168e3ea6e5d4c2317b4de692ca2861d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2026-06-28T20:46:24.081Z</dcterms:created>
  <dcterms:modified xsi:type="dcterms:W3CDTF">2026-06-28T20:46:24.081Z</dcterms:modified>
</cp:coreProperties>
</file>

<file path=docProps/custom.xml><?xml version="1.0" encoding="utf-8"?>
<Properties xmlns="http://schemas.openxmlformats.org/officeDocument/2006/custom-properties" xmlns:vt="http://schemas.openxmlformats.org/officeDocument/2006/docPropsVTypes"/>
</file>