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60" w:before="200"/>
        <w:jc w:val="center"/>
      </w:pPr>
      <w:r>
        <w:rPr>
          <w:b/>
          <w:bCs/>
          <w:color w:val="1E3A5F"/>
          <w:sz w:val="30"/>
          <w:szCs w:val="30"/>
        </w:rPr>
        <w:t xml:space="preserve">UNIVERSIDAD NACIONAL DE INGENIERÍA</w:t>
      </w:r>
    </w:p>
    <w:p>
      <w:pPr>
        <w:spacing w:after="400"/>
        <w:jc w:val="center"/>
      </w:pPr>
      <w:r>
        <w:rPr>
          <w:b/>
          <w:bCs/>
          <w:color w:val="1F2937"/>
          <w:sz w:val="24"/>
          <w:szCs w:val="24"/>
        </w:rPr>
        <w:t xml:space="preserve">FACULTAD DE INGENIERÍA INDUSTRIAL Y SISTEMAS</w:t>
      </w:r>
    </w:p>
    <w:p>
      <w:pPr>
        <w:spacing w:after="60"/>
        <w:jc w:val="center"/>
      </w:pPr>
      <w:r>
        <w:rPr>
          <w:b/>
          <w:bCs/>
          <w:sz w:val="26"/>
          <w:szCs w:val="26"/>
        </w:rPr>
        <w:t xml:space="preserve">APLICACIÓN DE TOGAF A LA MUNICIPALIDAD</w:t>
      </w:r>
    </w:p>
    <w:p>
      <w:pPr>
        <w:spacing w:after="300"/>
        <w:jc w:val="center"/>
      </w:pPr>
      <w:r>
        <w:rPr>
          <w:b/>
          <w:bCs/>
          <w:sz w:val="26"/>
          <w:szCs w:val="26"/>
        </w:rPr>
        <w:t xml:space="preserve">METROPOLITANA DE LIMA</w:t>
      </w:r>
    </w:p>
    <w:p>
      <w:pPr>
        <w:spacing w:after="60"/>
        <w:jc w:val="center"/>
      </w:pPr>
      <w:r>
        <w:rPr>
          <w:b/>
          <w:bCs/>
          <w:color w:val="1E3A5F"/>
          <w:sz w:val="24"/>
          <w:szCs w:val="24"/>
        </w:rPr>
        <w:t xml:space="preserve">Gestión de Requisitos — Proceso Transversal del ADM</w:t>
      </w:r>
    </w:p>
    <w:p>
      <w:pPr>
        <w:spacing w:after="500"/>
        <w:jc w:val="center"/>
      </w:pPr>
      <w:r>
        <w:rPr>
          <w:b/>
          <w:bCs/>
          <w:color w:val="1F2937"/>
          <w:sz w:val="32"/>
          <w:szCs w:val="32"/>
        </w:rPr>
        <w:t xml:space="preserve">Evaluación de Impacto de Requisitos</w:t>
      </w:r>
    </w:p>
    <w:p>
      <w:pPr>
        <w:spacing w:after="60"/>
        <w:jc w:val="center"/>
      </w:pPr>
      <w:r>
        <w:rPr>
          <w:i/>
          <w:iCs/>
          <w:sz w:val="22"/>
          <w:szCs w:val="22"/>
        </w:rPr>
        <w:t xml:space="preserve">Entregable TOGAF — Requirements Impact Assessment</w:t>
      </w:r>
    </w:p>
    <w:p>
      <w:pPr>
        <w:spacing w:after="400"/>
        <w:jc w:val="center"/>
      </w:pPr>
      <w:r>
        <w:rPr>
          <w:i/>
          <w:iCs/>
          <w:color w:val="6B7280"/>
          <w:sz w:val="20"/>
          <w:szCs w:val="20"/>
        </w:rPr>
        <w:t xml:space="preserve">(Originado por la revisión de alineamiento cruzado al cierre de la Fase C)</w:t>
      </w:r>
    </w:p>
    <w:p>
      <w:pPr>
        <w:spacing w:after="40"/>
        <w:jc w:val="center"/>
      </w:pPr>
      <w:r>
        <w:rPr>
          <w:b/>
          <w:bCs/>
          <w:sz w:val="22"/>
          <w:szCs w:val="22"/>
        </w:rPr>
        <w:t xml:space="preserve">Integrantes:</w:t>
      </w:r>
    </w:p>
    <w:p>
      <w:pPr>
        <w:spacing w:after="20"/>
        <w:jc w:val="center"/>
      </w:pPr>
      <w:r>
        <w:rPr>
          <w:sz w:val="20"/>
          <w:szCs w:val="20"/>
        </w:rPr>
        <w:t xml:space="preserve">Chirinos Paredes, Fernando Angel — 20221247C</w:t>
      </w:r>
    </w:p>
    <w:p>
      <w:pPr>
        <w:spacing w:after="20"/>
        <w:jc w:val="center"/>
      </w:pPr>
      <w:r>
        <w:rPr>
          <w:sz w:val="20"/>
          <w:szCs w:val="20"/>
        </w:rPr>
        <w:t xml:space="preserve">Ruiz Luna, Dair Aldrin — 20212141A</w:t>
      </w:r>
    </w:p>
    <w:p>
      <w:pPr>
        <w:spacing w:after="20"/>
        <w:jc w:val="center"/>
      </w:pPr>
      <w:r>
        <w:rPr>
          <w:sz w:val="20"/>
          <w:szCs w:val="20"/>
        </w:rPr>
        <w:t xml:space="preserve">Garcia Retuerto, Jholvis Juan — 20221013B</w:t>
      </w:r>
    </w:p>
    <w:p>
      <w:pPr>
        <w:spacing w:after="20"/>
        <w:jc w:val="center"/>
      </w:pPr>
      <w:r>
        <w:rPr>
          <w:sz w:val="20"/>
          <w:szCs w:val="20"/>
        </w:rPr>
        <w:t xml:space="preserve">Jaramillo Blanco, Lenin Anderson — 20212632E</w:t>
      </w:r>
    </w:p>
    <w:p>
      <w:pPr>
        <w:spacing w:after="20"/>
        <w:jc w:val="center"/>
      </w:pPr>
      <w:r>
        <w:rPr>
          <w:sz w:val="20"/>
          <w:szCs w:val="20"/>
        </w:rPr>
        <w:t xml:space="preserve">Ramos Lopez, Denilson David Giovanni — 20191240F</w:t>
      </w:r>
    </w:p>
    <w:p>
      <w:pPr>
        <w:spacing w:after="20"/>
        <w:jc w:val="center"/>
      </w:pPr>
      <w:r>
        <w:rPr>
          <w:sz w:val="20"/>
          <w:szCs w:val="20"/>
        </w:rPr>
        <w:t xml:space="preserve">Vila Chahua, Jean Paul — 20170035D</w:t>
      </w:r>
    </w:p>
    <w:p>
      <w:pPr>
        <w:spacing w:after="20"/>
        <w:jc w:val="center"/>
      </w:pPr>
      <w:r>
        <w:rPr>
          <w:sz w:val="20"/>
          <w:szCs w:val="20"/>
        </w:rPr>
        <w:t xml:space="preserve">Chauvet, Loriano Celso Gaby — II2026102</w:t>
      </w:r>
    </w:p>
    <w:p>
      <w:pPr>
        <w:spacing w:after="20" w:before="300"/>
        <w:jc w:val="center"/>
      </w:pPr>
      <w:r>
        <w:rPr>
          <w:b/>
          <w:bCs/>
          <w:sz w:val="21"/>
          <w:szCs w:val="21"/>
        </w:rPr>
        <w:t xml:space="preserve">Docente: Tobías Enrique Aliaga Vilchez</w:t>
      </w:r>
    </w:p>
    <w:p>
      <w:pPr>
        <w:spacing w:after="20"/>
        <w:jc w:val="center"/>
      </w:pPr>
      <w:r>
        <w:rPr>
          <w:sz w:val="21"/>
          <w:szCs w:val="21"/>
        </w:rPr>
        <w:t xml:space="preserve">SI605U: Arquitectura Empresarial</w:t>
      </w:r>
    </w:p>
    <w:p>
      <w:pPr>
        <w:spacing w:after="20"/>
        <w:jc w:val="center"/>
      </w:pPr>
      <w:r>
        <w:rPr>
          <w:sz w:val="21"/>
          <w:szCs w:val="21"/>
        </w:rPr>
        <w:t xml:space="preserve">Lima – Perú · 2026</w:t>
      </w:r>
    </w:p>
    <w:p>
      <w:r>
        <w:br w:type="page"/>
      </w:r>
    </w:p>
    <w:p>
      <w:pPr>
        <w:pStyle w:val="Heading1"/>
        <w:pBdr>
          <w:bottom w:val="single" w:color="1E3A5F" w:sz="6" w:space="4"/>
        </w:pBdr>
        <w:spacing w:after="140" w:before="320"/>
      </w:pPr>
      <w:r>
        <w:rPr>
          <w:b/>
          <w:bCs/>
          <w:color w:val="1E3A5F"/>
          <w:sz w:val="28"/>
          <w:szCs w:val="28"/>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E3A5F" w:sz="6" w:space="4"/>
        </w:pBdr>
        <w:spacing w:after="140" w:before="320"/>
      </w:pPr>
      <w:r>
        <w:rPr>
          <w:b/>
          <w:bCs/>
          <w:color w:val="1E3A5F"/>
          <w:sz w:val="28"/>
          <w:szCs w:val="28"/>
        </w:rPr>
        <w:t xml:space="preserve">Información del Documento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EAF0F6" w:val="clear"/>
            <w:tcMar>
              <w:top w:type="dxa" w:w="70"/>
              <w:left w:type="dxa" w:w="100"/>
              <w:bottom w:type="dxa" w:w="70"/>
              <w:right w:type="dxa" w:w="100"/>
            </w:tcMar>
            <w:vAlign w:val="center"/>
          </w:tcPr>
          <w:p>
            <w:pPr>
              <w:jc w:val="left"/>
            </w:pPr>
            <w:r>
              <w:rPr>
                <w:b/>
                <w:bCs/>
                <w:sz w:val="20"/>
                <w:szCs w:val="20"/>
              </w:rPr>
              <w:t xml:space="preserve">Proyecto:</w:t>
            </w:r>
          </w:p>
        </w:tc>
        <w:tc>
          <w:tcPr>
            <w:tcW w:type="dxa" w:w="3600"/>
            <w:tcMar>
              <w:top w:type="dxa" w:w="70"/>
              <w:left w:type="dxa" w:w="100"/>
              <w:bottom w:type="dxa" w:w="70"/>
              <w:right w:type="dxa" w:w="100"/>
            </w:tcMar>
            <w:vAlign w:val="center"/>
          </w:tcPr>
          <w:p>
            <w:pPr>
              <w:jc w:val="left"/>
            </w:pPr>
            <w:r>
              <w:rPr>
                <w:b w:val="false"/>
                <w:bCs w:val="false"/>
                <w:sz w:val="20"/>
                <w:szCs w:val="20"/>
              </w:rPr>
              <w:t xml:space="preserve">Aplicación de TOGAF — Municipalidad Metropolitana de Lima</w:t>
            </w:r>
          </w:p>
        </w:tc>
        <w:tc>
          <w:tcPr>
            <w:tcW w:type="dxa" w:w="2000"/>
            <w:shd w:fill="EAF0F6" w:val="clear"/>
            <w:tcMar>
              <w:top w:type="dxa" w:w="70"/>
              <w:left w:type="dxa" w:w="100"/>
              <w:bottom w:type="dxa" w:w="70"/>
              <w:right w:type="dxa" w:w="100"/>
            </w:tcMar>
            <w:vAlign w:val="center"/>
          </w:tcPr>
          <w:p>
            <w:pPr>
              <w:jc w:val="left"/>
            </w:pPr>
            <w:r>
              <w:rPr>
                <w:b/>
                <w:bCs/>
                <w:sz w:val="20"/>
                <w:szCs w:val="20"/>
              </w:rPr>
              <w:t xml:space="preserve">Aplicación de TOGAF</w:t>
            </w:r>
          </w:p>
        </w:tc>
        <w:tc>
          <w:tcPr>
            <w:tcW w:type="dxa" w:w="2200"/>
            <w:tcMar>
              <w:top w:type="dxa" w:w="70"/>
              <w:left w:type="dxa" w:w="100"/>
              <w:bottom w:type="dxa" w:w="70"/>
              <w:right w:type="dxa" w:w="100"/>
            </w:tcMar>
            <w:vAlign w:val="center"/>
          </w:tcPr>
          <w:p>
            <w:pPr>
              <w:jc w:val="left"/>
            </w:pPr>
            <w:r>
              <w:rPr>
                <w:b w:val="false"/>
                <w:bCs w:val="false"/>
                <w:sz w:val="20"/>
                <w:szCs w:val="20"/>
              </w:rPr>
              <w:t xml:space="preserve">Municipalidad Metropolitana de Lima</w:t>
            </w:r>
          </w:p>
        </w:tc>
      </w:tr>
      <w:tr>
        <w:tc>
          <w:tcPr>
            <w:tcW w:type="dxa" w:w="2400"/>
            <w:shd w:fill="EAF0F6" w:val="clear"/>
            <w:tcMar>
              <w:top w:type="dxa" w:w="70"/>
              <w:left w:type="dxa" w:w="100"/>
              <w:bottom w:type="dxa" w:w="70"/>
              <w:right w:type="dxa" w:w="100"/>
            </w:tcMar>
            <w:vAlign w:val="center"/>
          </w:tcPr>
          <w:p>
            <w:pPr>
              <w:jc w:val="left"/>
            </w:pPr>
            <w:r>
              <w:rPr>
                <w:b/>
                <w:bCs/>
                <w:sz w:val="20"/>
                <w:szCs w:val="20"/>
              </w:rPr>
              <w:t xml:space="preserve">Preparado por:</w:t>
            </w:r>
          </w:p>
        </w:tc>
        <w:tc>
          <w:tcPr>
            <w:tcW w:type="dxa" w:w="3600"/>
            <w:tcMar>
              <w:top w:type="dxa" w:w="70"/>
              <w:left w:type="dxa" w:w="100"/>
              <w:bottom w:type="dxa" w:w="70"/>
              <w:right w:type="dxa" w:w="100"/>
            </w:tcMar>
            <w:vAlign w:val="center"/>
          </w:tcPr>
          <w:p>
            <w:pPr>
              <w:jc w:val="left"/>
            </w:pPr>
            <w:r>
              <w:rPr>
                <w:b w:val="false"/>
                <w:bCs w:val="false"/>
                <w:sz w:val="20"/>
                <w:szCs w:val="20"/>
              </w:rPr>
              <w:t xml:space="preserve">Equipo de Arquitectura Empresarial — FIIS-UNI (Grupo 3)</w:t>
            </w:r>
          </w:p>
        </w:tc>
        <w:tc>
          <w:tcPr>
            <w:tcW w:type="dxa" w:w="2000"/>
            <w:shd w:fill="EAF0F6" w:val="clear"/>
            <w:tcMar>
              <w:top w:type="dxa" w:w="70"/>
              <w:left w:type="dxa" w:w="100"/>
              <w:bottom w:type="dxa" w:w="70"/>
              <w:right w:type="dxa" w:w="100"/>
            </w:tcMar>
            <w:vAlign w:val="center"/>
          </w:tcPr>
          <w:p>
            <w:pPr>
              <w:jc w:val="left"/>
            </w:pPr>
            <w:r>
              <w:rPr>
                <w:b/>
                <w:bCs/>
                <w:sz w:val="20"/>
                <w:szCs w:val="20"/>
              </w:rPr>
              <w:t xml:space="preserve">N.º de Versión:</w:t>
            </w:r>
          </w:p>
        </w:tc>
        <w:tc>
          <w:tcPr>
            <w:tcW w:type="dxa" w:w="2200"/>
            <w:tcMar>
              <w:top w:type="dxa" w:w="70"/>
              <w:left w:type="dxa" w:w="100"/>
              <w:bottom w:type="dxa" w:w="70"/>
              <w:right w:type="dxa" w:w="100"/>
            </w:tcMar>
            <w:vAlign w:val="center"/>
          </w:tcPr>
          <w:p>
            <w:pPr>
              <w:jc w:val="left"/>
            </w:pPr>
            <w:r>
              <w:rPr>
                <w:b w:val="false"/>
                <w:bCs w:val="false"/>
                <w:sz w:val="20"/>
                <w:szCs w:val="20"/>
              </w:rPr>
              <w:t xml:space="preserve">0.1</w:t>
            </w:r>
          </w:p>
        </w:tc>
      </w:tr>
      <w:tr>
        <w:tc>
          <w:tcPr>
            <w:tcW w:type="dxa" w:w="2400"/>
            <w:shd w:fill="EAF0F6" w:val="clear"/>
            <w:tcMar>
              <w:top w:type="dxa" w:w="70"/>
              <w:left w:type="dxa" w:w="100"/>
              <w:bottom w:type="dxa" w:w="70"/>
              <w:right w:type="dxa" w:w="100"/>
            </w:tcMar>
            <w:vAlign w:val="center"/>
          </w:tcPr>
          <w:p>
            <w:pPr>
              <w:jc w:val="left"/>
            </w:pPr>
            <w:r>
              <w:rPr>
                <w:b/>
                <w:bCs/>
                <w:sz w:val="20"/>
                <w:szCs w:val="20"/>
              </w:rPr>
              <w:t xml:space="preserve">Título:</w:t>
            </w:r>
          </w:p>
        </w:tc>
        <w:tc>
          <w:tcPr>
            <w:tcW w:type="dxa" w:w="3600"/>
            <w:tcMar>
              <w:top w:type="dxa" w:w="70"/>
              <w:left w:type="dxa" w:w="100"/>
              <w:bottom w:type="dxa" w:w="70"/>
              <w:right w:type="dxa" w:w="100"/>
            </w:tcMar>
            <w:vAlign w:val="center"/>
          </w:tcPr>
          <w:p>
            <w:pPr>
              <w:jc w:val="left"/>
            </w:pPr>
            <w:r>
              <w:rPr>
                <w:b w:val="false"/>
                <w:bCs w:val="false"/>
                <w:sz w:val="20"/>
                <w:szCs w:val="20"/>
              </w:rPr>
              <w:t xml:space="preserve">Evaluación de Impacto de Requisitos (Requirements Impact Assessment)</w:t>
            </w:r>
          </w:p>
        </w:tc>
        <w:tc>
          <w:tcPr>
            <w:tcW w:type="dxa" w:w="2000"/>
            <w:shd w:fill="EAF0F6" w:val="clear"/>
            <w:tcMar>
              <w:top w:type="dxa" w:w="70"/>
              <w:left w:type="dxa" w:w="100"/>
              <w:bottom w:type="dxa" w:w="70"/>
              <w:right w:type="dxa" w:w="100"/>
            </w:tcMar>
            <w:vAlign w:val="center"/>
          </w:tcPr>
          <w:p>
            <w:pPr>
              <w:jc w:val="left"/>
            </w:pPr>
            <w:r>
              <w:rPr>
                <w:b/>
                <w:bCs/>
                <w:sz w:val="20"/>
                <w:szCs w:val="20"/>
              </w:rPr>
              <w:t xml:space="preserve">Fecha de Versión:</w:t>
            </w:r>
          </w:p>
        </w:tc>
        <w:tc>
          <w:tcPr>
            <w:tcW w:type="dxa" w:w="2200"/>
            <w:tcMar>
              <w:top w:type="dxa" w:w="70"/>
              <w:left w:type="dxa" w:w="100"/>
              <w:bottom w:type="dxa" w:w="70"/>
              <w:right w:type="dxa" w:w="100"/>
            </w:tcMar>
            <w:vAlign w:val="center"/>
          </w:tcPr>
          <w:p>
            <w:pPr>
              <w:jc w:val="left"/>
            </w:pPr>
            <w:r>
              <w:rPr>
                <w:b w:val="false"/>
                <w:bCs w:val="false"/>
                <w:sz w:val="20"/>
                <w:szCs w:val="20"/>
              </w:rPr>
              <w:t xml:space="preserve">01-07-2026</w:t>
            </w:r>
          </w:p>
        </w:tc>
      </w:tr>
      <w:tr>
        <w:tc>
          <w:tcPr>
            <w:tcW w:type="dxa" w:w="2400"/>
            <w:shd w:fill="EAF0F6" w:val="clear"/>
            <w:tcMar>
              <w:top w:type="dxa" w:w="70"/>
              <w:left w:type="dxa" w:w="100"/>
              <w:bottom w:type="dxa" w:w="70"/>
              <w:right w:type="dxa" w:w="100"/>
            </w:tcMar>
            <w:vAlign w:val="center"/>
          </w:tcPr>
          <w:p>
            <w:pPr>
              <w:jc w:val="left"/>
            </w:pPr>
            <w:r>
              <w:rPr>
                <w:b/>
                <w:bCs/>
                <w:sz w:val="20"/>
                <w:szCs w:val="20"/>
              </w:rPr>
              <w:t xml:space="preserve">Revisado por:</w:t>
            </w:r>
          </w:p>
        </w:tc>
        <w:tc>
          <w:tcPr>
            <w:tcW w:type="dxa" w:w="3600"/>
            <w:tcMar>
              <w:top w:type="dxa" w:w="70"/>
              <w:left w:type="dxa" w:w="100"/>
              <w:bottom w:type="dxa" w:w="70"/>
              <w:right w:type="dxa" w:w="100"/>
            </w:tcMar>
            <w:vAlign w:val="center"/>
          </w:tcPr>
          <w:p>
            <w:pPr>
              <w:jc w:val="left"/>
            </w:pPr>
            <w:r>
              <w:rPr>
                <w:b w:val="false"/>
                <w:bCs w:val="false"/>
                <w:sz w:val="20"/>
                <w:szCs w:val="20"/>
              </w:rPr>
              <w:t xml:space="preserve">Ing. Tobías Enrique Aliaga Vilchez</w:t>
            </w:r>
          </w:p>
        </w:tc>
        <w:tc>
          <w:tcPr>
            <w:tcW w:type="dxa" w:w="2000"/>
            <w:shd w:fill="EAF0F6" w:val="clear"/>
            <w:tcMar>
              <w:top w:type="dxa" w:w="70"/>
              <w:left w:type="dxa" w:w="100"/>
              <w:bottom w:type="dxa" w:w="70"/>
              <w:right w:type="dxa" w:w="100"/>
            </w:tcMar>
            <w:vAlign w:val="center"/>
          </w:tcPr>
          <w:p>
            <w:pPr>
              <w:jc w:val="left"/>
            </w:pPr>
            <w:r>
              <w:rPr>
                <w:b/>
                <w:bCs/>
                <w:sz w:val="20"/>
                <w:szCs w:val="20"/>
              </w:rPr>
              <w:t xml:space="preserve">Fecha de Revisión:</w:t>
            </w:r>
          </w:p>
        </w:tc>
        <w:tc>
          <w:tcPr>
            <w:tcW w:type="dxa" w:w="2200"/>
            <w:tcMar>
              <w:top w:type="dxa" w:w="70"/>
              <w:left w:type="dxa" w:w="100"/>
              <w:bottom w:type="dxa" w:w="70"/>
              <w:right w:type="dxa" w:w="100"/>
            </w:tcMar>
            <w:vAlign w:val="center"/>
          </w:tcPr>
          <w:p>
            <w:pPr>
              <w:jc w:val="left"/>
            </w:pPr>
            <w:r>
              <w:rPr>
                <w:b w:val="false"/>
                <w:bCs w:val="false"/>
                <w:sz w:val="20"/>
                <w:szCs w:val="20"/>
              </w:rPr>
              <w:t xml:space="preserve">03-07-2026</w:t>
            </w:r>
          </w:p>
        </w:tc>
      </w:tr>
    </w:tbl>
    <w:p>
      <w:pPr>
        <w:spacing w:after="100" w:before="240"/>
      </w:pPr>
    </w:p>
    <w:p>
      <w:pPr>
        <w:pStyle w:val="Heading2"/>
        <w:spacing w:after="100" w:before="220"/>
      </w:pPr>
      <w:r>
        <w:rPr>
          <w:b/>
          <w:bCs/>
          <w:color w:val="1F2937"/>
          <w:sz w:val="24"/>
          <w:szCs w:val="24"/>
        </w:rPr>
        <w:t xml:space="preserve">Lista de Distribución</w:t>
      </w:r>
    </w:p>
    <w:p>
      <w:pPr>
        <w:spacing w:after="160" w:line="300"/>
      </w:pPr>
      <w:r>
        <w:rPr>
          <w:i w:val="false"/>
          <w:iCs w:val="false"/>
          <w:sz w:val="21"/>
          <w:szCs w:val="21"/>
        </w:rPr>
        <w:t xml:space="preserve">Origen: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300"/>
            <w:shd w:fill="1E3A5F" w:val="clear"/>
            <w:tcMar>
              <w:top w:type="dxa" w:w="80"/>
              <w:left w:type="dxa" w:w="100"/>
              <w:bottom w:type="dxa" w:w="80"/>
              <w:right w:type="dxa" w:w="100"/>
            </w:tcMar>
            <w:vAlign w:val="center"/>
          </w:tcPr>
          <w:p>
            <w:pPr>
              <w:jc w:val="left"/>
            </w:pPr>
            <w:r>
              <w:rPr>
                <w:b/>
                <w:bCs/>
                <w:color w:val="FFFFFF"/>
                <w:sz w:val="19"/>
                <w:szCs w:val="19"/>
              </w:rPr>
              <w:t xml:space="preserve">De</w:t>
            </w:r>
          </w:p>
        </w:tc>
        <w:tc>
          <w:tcPr>
            <w:tcW w:type="dxa" w:w="3300"/>
            <w:shd w:fill="1E3A5F" w:val="clear"/>
            <w:tcMar>
              <w:top w:type="dxa" w:w="80"/>
              <w:left w:type="dxa" w:w="100"/>
              <w:bottom w:type="dxa" w:w="80"/>
              <w:right w:type="dxa" w:w="100"/>
            </w:tcMar>
            <w:vAlign w:val="center"/>
          </w:tcPr>
          <w:p>
            <w:pPr>
              <w:jc w:val="left"/>
            </w:pPr>
            <w:r>
              <w:rPr>
                <w:b/>
                <w:bCs/>
                <w:color w:val="FFFFFF"/>
                <w:sz w:val="19"/>
                <w:szCs w:val="19"/>
              </w:rPr>
              <w:t xml:space="preserve">Fecha</w:t>
            </w:r>
          </w:p>
        </w:tc>
        <w:tc>
          <w:tcPr>
            <w:tcW w:type="dxa" w:w="3300"/>
            <w:shd w:fill="1E3A5F" w:val="clear"/>
            <w:tcMar>
              <w:top w:type="dxa" w:w="80"/>
              <w:left w:type="dxa" w:w="100"/>
              <w:bottom w:type="dxa" w:w="80"/>
              <w:right w:type="dxa" w:w="100"/>
            </w:tcMar>
            <w:vAlign w:val="center"/>
          </w:tcPr>
          <w:p>
            <w:pPr>
              <w:jc w:val="left"/>
            </w:pPr>
            <w:r>
              <w:rPr>
                <w:b/>
                <w:bCs/>
                <w:color w:val="FFFFFF"/>
                <w:sz w:val="19"/>
                <w:szCs w:val="19"/>
              </w:rPr>
              <w:t xml:space="preserve">Teléfono / Email</w:t>
            </w:r>
          </w:p>
        </w:tc>
      </w:tr>
      <w:tr>
        <w:tc>
          <w:tcPr>
            <w:tcW w:type="dxa" w:w="3300"/>
            <w:tcMar>
              <w:top w:type="dxa" w:w="70"/>
              <w:left w:type="dxa" w:w="100"/>
              <w:bottom w:type="dxa" w:w="70"/>
              <w:right w:type="dxa" w:w="100"/>
            </w:tcMar>
            <w:vAlign w:val="center"/>
          </w:tcPr>
          <w:p>
            <w:pPr>
              <w:jc w:val="left"/>
            </w:pPr>
            <w:r>
              <w:rPr>
                <w:b w:val="false"/>
                <w:bCs w:val="false"/>
                <w:sz w:val="20"/>
                <w:szCs w:val="20"/>
              </w:rPr>
              <w:t xml:space="preserve">Grupo 3 — Equipo de Arquitectura Empresarial</w:t>
            </w:r>
          </w:p>
        </w:tc>
        <w:tc>
          <w:tcPr>
            <w:tcW w:type="dxa" w:w="3300"/>
            <w:tcMar>
              <w:top w:type="dxa" w:w="70"/>
              <w:left w:type="dxa" w:w="100"/>
              <w:bottom w:type="dxa" w:w="70"/>
              <w:right w:type="dxa" w:w="100"/>
            </w:tcMar>
            <w:vAlign w:val="center"/>
          </w:tcPr>
          <w:p>
            <w:pPr>
              <w:jc w:val="left"/>
            </w:pPr>
            <w:r>
              <w:rPr>
                <w:b w:val="false"/>
                <w:bCs w:val="false"/>
                <w:sz w:val="20"/>
                <w:szCs w:val="20"/>
              </w:rPr>
              <w:t xml:space="preserve">01-07-2026</w:t>
            </w:r>
          </w:p>
        </w:tc>
        <w:tc>
          <w:tcPr>
            <w:tcW w:type="dxa" w:w="3300"/>
            <w:tcMar>
              <w:top w:type="dxa" w:w="70"/>
              <w:left w:type="dxa" w:w="100"/>
              <w:bottom w:type="dxa" w:w="70"/>
              <w:right w:type="dxa" w:w="100"/>
            </w:tcMar>
            <w:vAlign w:val="center"/>
          </w:tcPr>
          <w:p>
            <w:pPr>
              <w:jc w:val="left"/>
            </w:pPr>
            <w:r>
              <w:rPr>
                <w:b w:val="false"/>
                <w:bCs w:val="false"/>
                <w:sz w:val="20"/>
                <w:szCs w:val="20"/>
              </w:rPr>
              <w:t xml:space="preserve">928314486</w:t>
            </w:r>
          </w:p>
        </w:tc>
      </w:tr>
    </w:tbl>
    <w:p>
      <w:pPr>
        <w:spacing w:after="100" w:before="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200"/>
            <w:shd w:fill="1E3A5F" w:val="clear"/>
            <w:tcMar>
              <w:top w:type="dxa" w:w="80"/>
              <w:left w:type="dxa" w:w="100"/>
              <w:bottom w:type="dxa" w:w="80"/>
              <w:right w:type="dxa" w:w="100"/>
            </w:tcMar>
            <w:vAlign w:val="center"/>
          </w:tcPr>
          <w:p>
            <w:pPr>
              <w:jc w:val="left"/>
            </w:pPr>
            <w:r>
              <w:rPr>
                <w:b/>
                <w:bCs/>
                <w:color w:val="FFFFFF"/>
                <w:sz w:val="19"/>
                <w:szCs w:val="19"/>
              </w:rPr>
              <w:t xml:space="preserve">Para</w:t>
            </w:r>
          </w:p>
        </w:tc>
        <w:tc>
          <w:tcPr>
            <w:tcW w:type="dxa" w:w="1900"/>
            <w:shd w:fill="1E3A5F" w:val="clear"/>
            <w:tcMar>
              <w:top w:type="dxa" w:w="80"/>
              <w:left w:type="dxa" w:w="100"/>
              <w:bottom w:type="dxa" w:w="80"/>
              <w:right w:type="dxa" w:w="100"/>
            </w:tcMar>
            <w:vAlign w:val="center"/>
          </w:tcPr>
          <w:p>
            <w:pPr>
              <w:jc w:val="left"/>
            </w:pPr>
            <w:r>
              <w:rPr>
                <w:b/>
                <w:bCs/>
                <w:color w:val="FFFFFF"/>
                <w:sz w:val="19"/>
                <w:szCs w:val="19"/>
              </w:rPr>
              <w:t xml:space="preserve">Acción*</w:t>
            </w:r>
          </w:p>
        </w:tc>
        <w:tc>
          <w:tcPr>
            <w:tcW w:type="dxa" w:w="1900"/>
            <w:shd w:fill="1E3A5F" w:val="clear"/>
            <w:tcMar>
              <w:top w:type="dxa" w:w="80"/>
              <w:left w:type="dxa" w:w="100"/>
              <w:bottom w:type="dxa" w:w="80"/>
              <w:right w:type="dxa" w:w="100"/>
            </w:tcMar>
            <w:vAlign w:val="center"/>
          </w:tcPr>
          <w:p>
            <w:pPr>
              <w:jc w:val="left"/>
            </w:pPr>
            <w:r>
              <w:rPr>
                <w:b/>
                <w:bCs/>
                <w:color w:val="FFFFFF"/>
                <w:sz w:val="19"/>
                <w:szCs w:val="19"/>
              </w:rPr>
              <w:t xml:space="preserve">Fecha Límite</w:t>
            </w:r>
          </w:p>
        </w:tc>
        <w:tc>
          <w:tcPr>
            <w:tcW w:type="dxa" w:w="2600"/>
            <w:shd w:fill="1E3A5F" w:val="clear"/>
            <w:tcMar>
              <w:top w:type="dxa" w:w="80"/>
              <w:left w:type="dxa" w:w="100"/>
              <w:bottom w:type="dxa" w:w="80"/>
              <w:right w:type="dxa" w:w="100"/>
            </w:tcMar>
            <w:vAlign w:val="center"/>
          </w:tcPr>
          <w:p>
            <w:pPr>
              <w:jc w:val="left"/>
            </w:pPr>
            <w:r>
              <w:rPr>
                <w:b/>
                <w:bCs/>
                <w:color w:val="FFFFFF"/>
                <w:sz w:val="19"/>
                <w:szCs w:val="19"/>
              </w:rPr>
              <w:t xml:space="preserve">Teléfono / Email</w:t>
            </w:r>
          </w:p>
        </w:tc>
      </w:tr>
      <w:tr>
        <w:tc>
          <w:tcPr>
            <w:tcW w:type="dxa" w:w="3200"/>
            <w:tcMar>
              <w:top w:type="dxa" w:w="70"/>
              <w:left w:type="dxa" w:w="100"/>
              <w:bottom w:type="dxa" w:w="70"/>
              <w:right w:type="dxa" w:w="100"/>
            </w:tcMar>
            <w:vAlign w:val="center"/>
          </w:tcPr>
          <w:p>
            <w:pPr>
              <w:jc w:val="left"/>
            </w:pPr>
            <w:r>
              <w:rPr>
                <w:b w:val="false"/>
                <w:bCs w:val="false"/>
                <w:sz w:val="20"/>
                <w:szCs w:val="20"/>
              </w:rPr>
              <w:t xml:space="preserve">Ing. Tobías Enrique Aliaga Vilchez (Docente – SI605U)</w:t>
            </w:r>
          </w:p>
        </w:tc>
        <w:tc>
          <w:tcPr>
            <w:tcW w:type="dxa" w:w="1900"/>
            <w:tcMar>
              <w:top w:type="dxa" w:w="70"/>
              <w:left w:type="dxa" w:w="100"/>
              <w:bottom w:type="dxa" w:w="70"/>
              <w:right w:type="dxa" w:w="100"/>
            </w:tcMar>
            <w:vAlign w:val="center"/>
          </w:tcPr>
          <w:p>
            <w:pPr>
              <w:jc w:val="left"/>
            </w:pPr>
            <w:r>
              <w:rPr>
                <w:b w:val="false"/>
                <w:bCs w:val="false"/>
                <w:sz w:val="20"/>
                <w:szCs w:val="20"/>
              </w:rPr>
              <w:t xml:space="preserve">Revisar / Aprobar</w:t>
            </w:r>
          </w:p>
        </w:tc>
        <w:tc>
          <w:tcPr>
            <w:tcW w:type="dxa" w:w="1900"/>
            <w:tcMar>
              <w:top w:type="dxa" w:w="70"/>
              <w:left w:type="dxa" w:w="100"/>
              <w:bottom w:type="dxa" w:w="70"/>
              <w:right w:type="dxa" w:w="100"/>
            </w:tcMar>
            <w:vAlign w:val="center"/>
          </w:tcPr>
          <w:p>
            <w:pPr>
              <w:jc w:val="left"/>
            </w:pPr>
            <w:r>
              <w:rPr>
                <w:b w:val="false"/>
                <w:bCs w:val="false"/>
                <w:sz w:val="20"/>
                <w:szCs w:val="20"/>
              </w:rPr>
              <w:t xml:space="preserve">03-07-2026</w:t>
            </w:r>
          </w:p>
        </w:tc>
        <w:tc>
          <w:tcPr>
            <w:tcW w:type="dxa" w:w="2600"/>
            <w:tcMar>
              <w:top w:type="dxa" w:w="70"/>
              <w:left w:type="dxa" w:w="100"/>
              <w:bottom w:type="dxa" w:w="70"/>
              <w:right w:type="dxa" w:w="100"/>
            </w:tcMar>
            <w:vAlign w:val="center"/>
          </w:tcPr>
          <w:p>
            <w:pPr>
              <w:jc w:val="left"/>
            </w:pPr>
            <w:r>
              <w:rPr>
                <w:b w:val="false"/>
                <w:bCs w:val="false"/>
                <w:sz w:val="20"/>
                <w:szCs w:val="20"/>
              </w:rPr>
              <w:t xml:space="preserve">—</w:t>
            </w:r>
          </w:p>
        </w:tc>
      </w:tr>
      <w:tr>
        <w:tc>
          <w:tcPr>
            <w:tcW w:type="dxa" w:w="3200"/>
            <w:shd w:fill="EAF0F6" w:val="clear"/>
            <w:tcMar>
              <w:top w:type="dxa" w:w="70"/>
              <w:left w:type="dxa" w:w="100"/>
              <w:bottom w:type="dxa" w:w="70"/>
              <w:right w:type="dxa" w:w="100"/>
            </w:tcMar>
            <w:vAlign w:val="center"/>
          </w:tcPr>
          <w:p>
            <w:pPr>
              <w:jc w:val="left"/>
            </w:pPr>
            <w:r>
              <w:rPr>
                <w:b w:val="false"/>
                <w:bCs w:val="false"/>
                <w:sz w:val="20"/>
                <w:szCs w:val="20"/>
              </w:rPr>
              <w:t xml:space="preserve">Comité de Arquitectura Empresarial — MML</w:t>
            </w:r>
          </w:p>
        </w:tc>
        <w:tc>
          <w:tcPr>
            <w:tcW w:type="dxa" w:w="1900"/>
            <w:shd w:fill="EAF0F6" w:val="clear"/>
            <w:tcMar>
              <w:top w:type="dxa" w:w="70"/>
              <w:left w:type="dxa" w:w="100"/>
              <w:bottom w:type="dxa" w:w="70"/>
              <w:right w:type="dxa" w:w="100"/>
            </w:tcMar>
            <w:vAlign w:val="center"/>
          </w:tcPr>
          <w:p>
            <w:pPr>
              <w:jc w:val="left"/>
            </w:pPr>
            <w:r>
              <w:rPr>
                <w:b w:val="false"/>
                <w:bCs w:val="false"/>
                <w:sz w:val="20"/>
                <w:szCs w:val="20"/>
              </w:rPr>
              <w:t xml:space="preserve">Acción Requerida</w:t>
            </w:r>
          </w:p>
        </w:tc>
        <w:tc>
          <w:tcPr>
            <w:tcW w:type="dxa" w:w="1900"/>
            <w:shd w:fill="EAF0F6" w:val="clear"/>
            <w:tcMar>
              <w:top w:type="dxa" w:w="70"/>
              <w:left w:type="dxa" w:w="100"/>
              <w:bottom w:type="dxa" w:w="70"/>
              <w:right w:type="dxa" w:w="100"/>
            </w:tcMar>
            <w:vAlign w:val="center"/>
          </w:tcPr>
          <w:p>
            <w:pPr>
              <w:jc w:val="left"/>
            </w:pPr>
            <w:r>
              <w:rPr>
                <w:b w:val="false"/>
                <w:bCs w:val="false"/>
                <w:sz w:val="20"/>
                <w:szCs w:val="20"/>
              </w:rPr>
              <w:t xml:space="preserve">10-07-2026</w:t>
            </w:r>
          </w:p>
        </w:tc>
        <w:tc>
          <w:tcPr>
            <w:tcW w:type="dxa" w:w="2600"/>
            <w:shd w:fill="EAF0F6" w:val="clear"/>
            <w:tcMar>
              <w:top w:type="dxa" w:w="70"/>
              <w:left w:type="dxa" w:w="100"/>
              <w:bottom w:type="dxa" w:w="70"/>
              <w:right w:type="dxa" w:w="100"/>
            </w:tcMar>
            <w:vAlign w:val="center"/>
          </w:tcPr>
          <w:p>
            <w:pPr>
              <w:jc w:val="left"/>
            </w:pPr>
            <w:r>
              <w:rPr>
                <w:b w:val="false"/>
                <w:bCs w:val="false"/>
                <w:sz w:val="20"/>
                <w:szCs w:val="20"/>
              </w:rPr>
              <w:t xml:space="preserve">comitearquitectura@mml.gob.pe</w:t>
            </w:r>
          </w:p>
        </w:tc>
      </w:tr>
      <w:tr>
        <w:tc>
          <w:tcPr>
            <w:tcW w:type="dxa" w:w="3200"/>
            <w:tcMar>
              <w:top w:type="dxa" w:w="70"/>
              <w:left w:type="dxa" w:w="100"/>
              <w:bottom w:type="dxa" w:w="70"/>
              <w:right w:type="dxa" w:w="100"/>
            </w:tcMar>
            <w:vAlign w:val="center"/>
          </w:tcPr>
          <w:p>
            <w:pPr>
              <w:jc w:val="left"/>
            </w:pPr>
            <w:r>
              <w:rPr>
                <w:b w:val="false"/>
                <w:bCs w:val="false"/>
                <w:sz w:val="20"/>
                <w:szCs w:val="20"/>
              </w:rPr>
              <w:t xml:space="preserve">Gerencia de Tecnologías de la Información — MML</w:t>
            </w:r>
          </w:p>
        </w:tc>
        <w:tc>
          <w:tcPr>
            <w:tcW w:type="dxa" w:w="1900"/>
            <w:tcMar>
              <w:top w:type="dxa" w:w="70"/>
              <w:left w:type="dxa" w:w="100"/>
              <w:bottom w:type="dxa" w:w="70"/>
              <w:right w:type="dxa" w:w="100"/>
            </w:tcMar>
            <w:vAlign w:val="center"/>
          </w:tcPr>
          <w:p>
            <w:pPr>
              <w:jc w:val="left"/>
            </w:pPr>
            <w:r>
              <w:rPr>
                <w:b w:val="false"/>
                <w:bCs w:val="false"/>
                <w:sz w:val="20"/>
                <w:szCs w:val="20"/>
              </w:rPr>
              <w:t xml:space="preserve">Informar</w:t>
            </w:r>
          </w:p>
        </w:tc>
        <w:tc>
          <w:tcPr>
            <w:tcW w:type="dxa" w:w="1900"/>
            <w:tcMar>
              <w:top w:type="dxa" w:w="70"/>
              <w:left w:type="dxa" w:w="100"/>
              <w:bottom w:type="dxa" w:w="70"/>
              <w:right w:type="dxa" w:w="100"/>
            </w:tcMar>
            <w:vAlign w:val="center"/>
          </w:tcPr>
          <w:p>
            <w:pPr>
              <w:jc w:val="left"/>
            </w:pPr>
            <w:r>
              <w:rPr>
                <w:b w:val="false"/>
                <w:bCs w:val="false"/>
                <w:sz w:val="20"/>
                <w:szCs w:val="20"/>
              </w:rPr>
              <w:t xml:space="preserve">10-07-2026</w:t>
            </w:r>
          </w:p>
        </w:tc>
        <w:tc>
          <w:tcPr>
            <w:tcW w:type="dxa" w:w="2600"/>
            <w:tcMar>
              <w:top w:type="dxa" w:w="70"/>
              <w:left w:type="dxa" w:w="100"/>
              <w:bottom w:type="dxa" w:w="70"/>
              <w:right w:type="dxa" w:w="100"/>
            </w:tcMar>
            <w:vAlign w:val="center"/>
          </w:tcPr>
          <w:p>
            <w:pPr>
              <w:jc w:val="left"/>
            </w:pPr>
            <w:r>
              <w:rPr>
                <w:b w:val="false"/>
                <w:bCs w:val="false"/>
                <w:sz w:val="20"/>
                <w:szCs w:val="20"/>
              </w:rPr>
              <w:t xml:space="preserve">gti@mml.gob.pe</w:t>
            </w:r>
          </w:p>
        </w:tc>
      </w:tr>
      <w:tr>
        <w:tc>
          <w:tcPr>
            <w:tcW w:type="dxa" w:w="3200"/>
            <w:shd w:fill="EAF0F6" w:val="clear"/>
            <w:tcMar>
              <w:top w:type="dxa" w:w="70"/>
              <w:left w:type="dxa" w:w="100"/>
              <w:bottom w:type="dxa" w:w="70"/>
              <w:right w:type="dxa" w:w="100"/>
            </w:tcMar>
            <w:vAlign w:val="center"/>
          </w:tcPr>
          <w:p>
            <w:pPr>
              <w:jc w:val="left"/>
            </w:pPr>
            <w:r>
              <w:rPr>
                <w:b w:val="false"/>
                <w:bCs w:val="false"/>
                <w:sz w:val="20"/>
                <w:szCs w:val="20"/>
              </w:rPr>
              <w:t xml:space="preserve">Equipo de Arquitectura Empresarial (Fases A–H)</w:t>
            </w:r>
          </w:p>
        </w:tc>
        <w:tc>
          <w:tcPr>
            <w:tcW w:type="dxa" w:w="1900"/>
            <w:shd w:fill="EAF0F6" w:val="clear"/>
            <w:tcMar>
              <w:top w:type="dxa" w:w="70"/>
              <w:left w:type="dxa" w:w="100"/>
              <w:bottom w:type="dxa" w:w="70"/>
              <w:right w:type="dxa" w:w="100"/>
            </w:tcMar>
            <w:vAlign w:val="center"/>
          </w:tcPr>
          <w:p>
            <w:pPr>
              <w:jc w:val="left"/>
            </w:pPr>
            <w:r>
              <w:rPr>
                <w:b w:val="false"/>
                <w:bCs w:val="false"/>
                <w:sz w:val="20"/>
                <w:szCs w:val="20"/>
              </w:rPr>
              <w:t xml:space="preserve">Archivar</w:t>
            </w:r>
          </w:p>
        </w:tc>
        <w:tc>
          <w:tcPr>
            <w:tcW w:type="dxa" w:w="1900"/>
            <w:shd w:fill="EAF0F6" w:val="clear"/>
            <w:tcMar>
              <w:top w:type="dxa" w:w="70"/>
              <w:left w:type="dxa" w:w="100"/>
              <w:bottom w:type="dxa" w:w="70"/>
              <w:right w:type="dxa" w:w="100"/>
            </w:tcMar>
            <w:vAlign w:val="center"/>
          </w:tcPr>
          <w:p>
            <w:pPr>
              <w:jc w:val="left"/>
            </w:pPr>
            <w:r>
              <w:rPr>
                <w:b w:val="false"/>
                <w:bCs w:val="false"/>
                <w:sz w:val="20"/>
                <w:szCs w:val="20"/>
              </w:rPr>
              <w:t xml:space="preserve">01-07-2026</w:t>
            </w:r>
          </w:p>
        </w:tc>
        <w:tc>
          <w:tcPr>
            <w:tcW w:type="dxa" w:w="2600"/>
            <w:shd w:fill="EAF0F6" w:val="clear"/>
            <w:tcMar>
              <w:top w:type="dxa" w:w="70"/>
              <w:left w:type="dxa" w:w="100"/>
              <w:bottom w:type="dxa" w:w="70"/>
              <w:right w:type="dxa" w:w="100"/>
            </w:tcMar>
            <w:vAlign w:val="center"/>
          </w:tcPr>
          <w:p>
            <w:pPr>
              <w:jc w:val="left"/>
            </w:pPr>
            <w:r>
              <w:rPr>
                <w:b w:val="false"/>
                <w:bCs w:val="false"/>
                <w:sz w:val="20"/>
                <w:szCs w:val="20"/>
              </w:rPr>
              <w:t xml:space="preserve">grupo3@uni.pe</w:t>
            </w:r>
          </w:p>
        </w:tc>
      </w:tr>
    </w:tbl>
    <w:p>
      <w:pPr>
        <w:spacing w:after="200"/>
      </w:pPr>
      <w:r>
        <w:rPr>
          <w:i/>
          <w:iCs/>
          <w:color w:val="6B7280"/>
          <w:sz w:val="20"/>
          <w:szCs w:val="20"/>
        </w:rPr>
        <w:t xml:space="preserve">* Tipos de acción: Aprobar, Revisar, Informar, Archivar, Acción Requerida, Asistir a Reunión, Otro (especificar).</w:t>
      </w:r>
    </w:p>
    <w:p>
      <w:pPr>
        <w:pStyle w:val="Heading2"/>
        <w:spacing w:after="100" w:before="220"/>
      </w:pPr>
      <w:r>
        <w:rPr>
          <w:b/>
          <w:bCs/>
          <w:color w:val="1F2937"/>
          <w:sz w:val="24"/>
          <w:szCs w:val="24"/>
        </w:rPr>
        <w:t xml:space="preserve">Historial de Versiones del Documento</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300"/>
            <w:shd w:fill="1E3A5F" w:val="clear"/>
            <w:tcMar>
              <w:top w:type="dxa" w:w="80"/>
              <w:left w:type="dxa" w:w="100"/>
              <w:bottom w:type="dxa" w:w="80"/>
              <w:right w:type="dxa" w:w="100"/>
            </w:tcMar>
            <w:vAlign w:val="center"/>
          </w:tcPr>
          <w:p>
            <w:pPr>
              <w:jc w:val="left"/>
            </w:pPr>
            <w:r>
              <w:rPr>
                <w:b/>
                <w:bCs/>
                <w:color w:val="FFFFFF"/>
                <w:sz w:val="19"/>
                <w:szCs w:val="19"/>
              </w:rPr>
              <w:t xml:space="preserve">Ver.</w:t>
            </w:r>
          </w:p>
        </w:tc>
        <w:tc>
          <w:tcPr>
            <w:tcW w:type="dxa" w:w="1300"/>
            <w:shd w:fill="1E3A5F" w:val="clear"/>
            <w:tcMar>
              <w:top w:type="dxa" w:w="80"/>
              <w:left w:type="dxa" w:w="100"/>
              <w:bottom w:type="dxa" w:w="80"/>
              <w:right w:type="dxa" w:w="100"/>
            </w:tcMar>
            <w:vAlign w:val="center"/>
          </w:tcPr>
          <w:p>
            <w:pPr>
              <w:jc w:val="left"/>
            </w:pPr>
            <w:r>
              <w:rPr>
                <w:b/>
                <w:bCs/>
                <w:color w:val="FFFFFF"/>
                <w:sz w:val="19"/>
                <w:szCs w:val="19"/>
              </w:rPr>
              <w:t xml:space="preserve">Fecha</w:t>
            </w:r>
          </w:p>
        </w:tc>
        <w:tc>
          <w:tcPr>
            <w:tcW w:type="dxa" w:w="1700"/>
            <w:shd w:fill="1E3A5F" w:val="clear"/>
            <w:tcMar>
              <w:top w:type="dxa" w:w="80"/>
              <w:left w:type="dxa" w:w="100"/>
              <w:bottom w:type="dxa" w:w="80"/>
              <w:right w:type="dxa" w:w="100"/>
            </w:tcMar>
            <w:vAlign w:val="center"/>
          </w:tcPr>
          <w:p>
            <w:pPr>
              <w:jc w:val="left"/>
            </w:pPr>
            <w:r>
              <w:rPr>
                <w:b/>
                <w:bCs/>
                <w:color w:val="FFFFFF"/>
                <w:sz w:val="19"/>
                <w:szCs w:val="19"/>
              </w:rPr>
              <w:t xml:space="preserve">Revisado por</w:t>
            </w:r>
          </w:p>
        </w:tc>
        <w:tc>
          <w:tcPr>
            <w:tcW w:type="dxa" w:w="4600"/>
            <w:shd w:fill="1E3A5F" w:val="clear"/>
            <w:tcMar>
              <w:top w:type="dxa" w:w="80"/>
              <w:left w:type="dxa" w:w="100"/>
              <w:bottom w:type="dxa" w:w="80"/>
              <w:right w:type="dxa" w:w="100"/>
            </w:tcMar>
            <w:vAlign w:val="center"/>
          </w:tcPr>
          <w:p>
            <w:pPr>
              <w:jc w:val="left"/>
            </w:pPr>
            <w:r>
              <w:rPr>
                <w:b/>
                <w:bCs/>
                <w:color w:val="FFFFFF"/>
                <w:sz w:val="19"/>
                <w:szCs w:val="19"/>
              </w:rPr>
              <w:t xml:space="preserve">Descripción</w:t>
            </w:r>
          </w:p>
        </w:tc>
        <w:tc>
          <w:tcPr>
            <w:tcW w:type="dxa" w:w="1500"/>
            <w:shd w:fill="1E3A5F" w:val="clear"/>
            <w:tcMar>
              <w:top w:type="dxa" w:w="80"/>
              <w:left w:type="dxa" w:w="100"/>
              <w:bottom w:type="dxa" w:w="80"/>
              <w:right w:type="dxa" w:w="100"/>
            </w:tcMar>
            <w:vAlign w:val="center"/>
          </w:tcPr>
          <w:p>
            <w:pPr>
              <w:jc w:val="left"/>
            </w:pPr>
            <w:r>
              <w:rPr>
                <w:b/>
                <w:bCs/>
                <w:color w:val="FFFFFF"/>
                <w:sz w:val="19"/>
                <w:szCs w:val="19"/>
              </w:rPr>
              <w:t xml:space="preserve">Archivo</w:t>
            </w:r>
          </w:p>
        </w:tc>
      </w:tr>
      <w:tr>
        <w:tc>
          <w:tcPr>
            <w:tcW w:type="dxa" w:w="1300"/>
            <w:tcMar>
              <w:top w:type="dxa" w:w="70"/>
              <w:left w:type="dxa" w:w="100"/>
              <w:bottom w:type="dxa" w:w="70"/>
              <w:right w:type="dxa" w:w="100"/>
            </w:tcMar>
            <w:vAlign w:val="center"/>
          </w:tcPr>
          <w:p>
            <w:pPr>
              <w:jc w:val="left"/>
            </w:pPr>
            <w:r>
              <w:rPr>
                <w:b w:val="false"/>
                <w:bCs w:val="false"/>
                <w:sz w:val="20"/>
                <w:szCs w:val="20"/>
              </w:rPr>
              <w:t xml:space="preserve">0.1</w:t>
            </w:r>
          </w:p>
        </w:tc>
        <w:tc>
          <w:tcPr>
            <w:tcW w:type="dxa" w:w="1300"/>
            <w:tcMar>
              <w:top w:type="dxa" w:w="70"/>
              <w:left w:type="dxa" w:w="100"/>
              <w:bottom w:type="dxa" w:w="70"/>
              <w:right w:type="dxa" w:w="100"/>
            </w:tcMar>
            <w:vAlign w:val="center"/>
          </w:tcPr>
          <w:p>
            <w:pPr>
              <w:jc w:val="left"/>
            </w:pPr>
            <w:r>
              <w:rPr>
                <w:b w:val="false"/>
                <w:bCs w:val="false"/>
                <w:sz w:val="20"/>
                <w:szCs w:val="20"/>
              </w:rPr>
              <w:t xml:space="preserve">2026</w:t>
            </w:r>
          </w:p>
        </w:tc>
        <w:tc>
          <w:tcPr>
            <w:tcW w:type="dxa" w:w="1700"/>
            <w:tcMar>
              <w:top w:type="dxa" w:w="70"/>
              <w:left w:type="dxa" w:w="100"/>
              <w:bottom w:type="dxa" w:w="70"/>
              <w:right w:type="dxa" w:w="100"/>
            </w:tcMar>
            <w:vAlign w:val="center"/>
          </w:tcPr>
          <w:p>
            <w:pPr>
              <w:jc w:val="left"/>
            </w:pPr>
            <w:r>
              <w:rPr>
                <w:b w:val="false"/>
                <w:bCs w:val="false"/>
                <w:sz w:val="20"/>
                <w:szCs w:val="20"/>
              </w:rPr>
              <w:t xml:space="preserve">Equipo AE</w:t>
            </w:r>
          </w:p>
        </w:tc>
        <w:tc>
          <w:tcPr>
            <w:tcW w:type="dxa" w:w="4600"/>
            <w:tcMar>
              <w:top w:type="dxa" w:w="70"/>
              <w:left w:type="dxa" w:w="100"/>
              <w:bottom w:type="dxa" w:w="70"/>
              <w:right w:type="dxa" w:w="100"/>
            </w:tcMar>
            <w:vAlign w:val="center"/>
          </w:tcPr>
          <w:p>
            <w:pPr>
              <w:jc w:val="left"/>
            </w:pPr>
            <w:r>
              <w:rPr>
                <w:b w:val="false"/>
                <w:bCs w:val="false"/>
                <w:sz w:val="20"/>
                <w:szCs w:val="20"/>
              </w:rPr>
              <w:t xml:space="preserve">Estructura inicial a partir de la plantilla TOGAF 9.</w:t>
            </w:r>
          </w:p>
        </w:tc>
        <w:tc>
          <w:tcPr>
            <w:tcW w:type="dxa" w:w="1500"/>
            <w:tcMar>
              <w:top w:type="dxa" w:w="70"/>
              <w:left w:type="dxa" w:w="100"/>
              <w:bottom w:type="dxa" w:w="70"/>
              <w:right w:type="dxa" w:w="100"/>
            </w:tcMar>
            <w:vAlign w:val="center"/>
          </w:tcPr>
          <w:p>
            <w:pPr>
              <w:jc w:val="left"/>
            </w:pPr>
            <w:r>
              <w:rPr>
                <w:b w:val="false"/>
                <w:bCs w:val="false"/>
                <w:sz w:val="20"/>
                <w:szCs w:val="20"/>
              </w:rPr>
              <w:t xml:space="preserve">—</w:t>
            </w:r>
          </w:p>
        </w:tc>
      </w:tr>
      <w:tr>
        <w:tc>
          <w:tcPr>
            <w:tcW w:type="dxa" w:w="1300"/>
            <w:shd w:fill="EAF0F6" w:val="clear"/>
            <w:tcMar>
              <w:top w:type="dxa" w:w="70"/>
              <w:left w:type="dxa" w:w="100"/>
              <w:bottom w:type="dxa" w:w="70"/>
              <w:right w:type="dxa" w:w="100"/>
            </w:tcMar>
            <w:vAlign w:val="center"/>
          </w:tcPr>
          <w:p>
            <w:pPr>
              <w:jc w:val="left"/>
            </w:pPr>
            <w:r>
              <w:rPr>
                <w:b w:val="false"/>
                <w:bCs w:val="false"/>
                <w:sz w:val="20"/>
                <w:szCs w:val="20"/>
              </w:rPr>
              <w:t xml:space="preserve">0.2</w:t>
            </w:r>
          </w:p>
        </w:tc>
        <w:tc>
          <w:tcPr>
            <w:tcW w:type="dxa" w:w="1300"/>
            <w:shd w:fill="EAF0F6" w:val="clear"/>
            <w:tcMar>
              <w:top w:type="dxa" w:w="70"/>
              <w:left w:type="dxa" w:w="100"/>
              <w:bottom w:type="dxa" w:w="70"/>
              <w:right w:type="dxa" w:w="100"/>
            </w:tcMar>
            <w:vAlign w:val="center"/>
          </w:tcPr>
          <w:p>
            <w:pPr>
              <w:jc w:val="left"/>
            </w:pPr>
            <w:r>
              <w:rPr>
                <w:b w:val="false"/>
                <w:bCs w:val="false"/>
                <w:sz w:val="20"/>
                <w:szCs w:val="20"/>
              </w:rPr>
              <w:t xml:space="preserve">26-06-2026</w:t>
            </w:r>
          </w:p>
        </w:tc>
        <w:tc>
          <w:tcPr>
            <w:tcW w:type="dxa" w:w="1700"/>
            <w:shd w:fill="EAF0F6" w:val="clear"/>
            <w:tcMar>
              <w:top w:type="dxa" w:w="70"/>
              <w:left w:type="dxa" w:w="100"/>
              <w:bottom w:type="dxa" w:w="70"/>
              <w:right w:type="dxa" w:w="100"/>
            </w:tcMar>
            <w:vAlign w:val="center"/>
          </w:tcPr>
          <w:p>
            <w:pPr>
              <w:jc w:val="left"/>
            </w:pPr>
            <w:r>
              <w:rPr>
                <w:b w:val="false"/>
                <w:bCs w:val="false"/>
                <w:sz w:val="20"/>
                <w:szCs w:val="20"/>
              </w:rPr>
              <w:t xml:space="preserve">Equipo AE</w:t>
            </w:r>
          </w:p>
        </w:tc>
        <w:tc>
          <w:tcPr>
            <w:tcW w:type="dxa" w:w="4600"/>
            <w:shd w:fill="EAF0F6" w:val="clear"/>
            <w:tcMar>
              <w:top w:type="dxa" w:w="70"/>
              <w:left w:type="dxa" w:w="100"/>
              <w:bottom w:type="dxa" w:w="70"/>
              <w:right w:type="dxa" w:w="100"/>
            </w:tcMar>
            <w:vAlign w:val="center"/>
          </w:tcPr>
          <w:p>
            <w:pPr>
              <w:jc w:val="left"/>
            </w:pPr>
            <w:r>
              <w:rPr>
                <w:b w:val="false"/>
                <w:bCs w:val="false"/>
                <w:sz w:val="20"/>
                <w:szCs w:val="20"/>
              </w:rPr>
              <w:t xml:space="preserve">Incorporación de hallazgos de la revisión de alineamiento cruzado realizada al cierre de la Fase C (ERA / Hoja de Ruta).</w:t>
            </w:r>
          </w:p>
        </w:tc>
        <w:tc>
          <w:tcPr>
            <w:tcW w:type="dxa" w:w="1500"/>
            <w:shd w:fill="EAF0F6" w:val="clear"/>
            <w:tcMar>
              <w:top w:type="dxa" w:w="70"/>
              <w:left w:type="dxa" w:w="100"/>
              <w:bottom w:type="dxa" w:w="70"/>
              <w:right w:type="dxa" w:w="100"/>
            </w:tcMar>
            <w:vAlign w:val="center"/>
          </w:tcPr>
          <w:p>
            <w:pPr>
              <w:jc w:val="left"/>
            </w:pPr>
            <w:r>
              <w:rPr>
                <w:b w:val="false"/>
                <w:bCs w:val="false"/>
                <w:sz w:val="20"/>
                <w:szCs w:val="20"/>
              </w:rPr>
              <w:t xml:space="preserve">—</w:t>
            </w:r>
          </w:p>
        </w:tc>
      </w:tr>
      <w:tr>
        <w:tc>
          <w:tcPr>
            <w:tcW w:type="dxa" w:w="1300"/>
            <w:tcMar>
              <w:top w:type="dxa" w:w="70"/>
              <w:left w:type="dxa" w:w="100"/>
              <w:bottom w:type="dxa" w:w="70"/>
              <w:right w:type="dxa" w:w="100"/>
            </w:tcMar>
            <w:vAlign w:val="center"/>
          </w:tcPr>
          <w:p>
            <w:pPr>
              <w:jc w:val="left"/>
            </w:pPr>
            <w:r>
              <w:rPr>
                <w:b w:val="false"/>
                <w:bCs w:val="false"/>
                <w:sz w:val="20"/>
                <w:szCs w:val="20"/>
              </w:rPr>
              <w:t xml:space="preserve">1.0</w:t>
            </w:r>
          </w:p>
        </w:tc>
        <w:tc>
          <w:tcPr>
            <w:tcW w:type="dxa" w:w="1300"/>
            <w:tcMar>
              <w:top w:type="dxa" w:w="70"/>
              <w:left w:type="dxa" w:w="100"/>
              <w:bottom w:type="dxa" w:w="70"/>
              <w:right w:type="dxa" w:w="100"/>
            </w:tcMar>
            <w:vAlign w:val="center"/>
          </w:tcPr>
          <w:p>
            <w:pPr>
              <w:jc w:val="left"/>
            </w:pPr>
            <w:r>
              <w:rPr>
                <w:b w:val="false"/>
                <w:bCs w:val="false"/>
                <w:sz w:val="20"/>
                <w:szCs w:val="20"/>
              </w:rPr>
              <w:t xml:space="preserve">01-07-2026</w:t>
            </w:r>
          </w:p>
        </w:tc>
        <w:tc>
          <w:tcPr>
            <w:tcW w:type="dxa" w:w="1700"/>
            <w:tcMar>
              <w:top w:type="dxa" w:w="70"/>
              <w:left w:type="dxa" w:w="100"/>
              <w:bottom w:type="dxa" w:w="70"/>
              <w:right w:type="dxa" w:w="100"/>
            </w:tcMar>
            <w:vAlign w:val="center"/>
          </w:tcPr>
          <w:p>
            <w:pPr>
              <w:jc w:val="left"/>
            </w:pPr>
            <w:r>
              <w:rPr>
                <w:b w:val="false"/>
                <w:bCs w:val="false"/>
                <w:sz w:val="20"/>
                <w:szCs w:val="20"/>
              </w:rPr>
              <w:t xml:space="preserve">Grupo 3</w:t>
            </w:r>
          </w:p>
        </w:tc>
        <w:tc>
          <w:tcPr>
            <w:tcW w:type="dxa" w:w="4600"/>
            <w:tcMar>
              <w:top w:type="dxa" w:w="70"/>
              <w:left w:type="dxa" w:w="100"/>
              <w:bottom w:type="dxa" w:w="70"/>
              <w:right w:type="dxa" w:w="100"/>
            </w:tcMar>
            <w:vAlign w:val="center"/>
          </w:tcPr>
          <w:p>
            <w:pPr>
              <w:jc w:val="left"/>
            </w:pPr>
            <w:r>
              <w:rPr>
                <w:b w:val="false"/>
                <w:bCs w:val="false"/>
                <w:sz w:val="20"/>
                <w:szCs w:val="20"/>
              </w:rPr>
              <w:t xml:space="preserve">Versión completa: evaluación de impacto sobre el desajuste de alcance Visión (Fase A) vs. Negocio/Sistemas de Información (Fases B–C), recomendaciones y priorización revisada.</w:t>
            </w:r>
          </w:p>
        </w:tc>
        <w:tc>
          <w:tcPr>
            <w:tcW w:type="dxa" w:w="1500"/>
            <w:tcMar>
              <w:top w:type="dxa" w:w="70"/>
              <w:left w:type="dxa" w:w="100"/>
              <w:bottom w:type="dxa" w:w="70"/>
              <w:right w:type="dxa" w:w="100"/>
            </w:tcMar>
            <w:vAlign w:val="center"/>
          </w:tcPr>
          <w:p>
            <w:pPr>
              <w:jc w:val="left"/>
            </w:pPr>
            <w:r>
              <w:rPr>
                <w:b w:val="false"/>
                <w:bCs w:val="false"/>
                <w:sz w:val="20"/>
                <w:szCs w:val="20"/>
              </w:rPr>
              <w:t xml:space="preserve">TOGAF_9_Template_-_Requirements_Impact_Assessment_MML.docx</w:t>
            </w:r>
          </w:p>
        </w:tc>
      </w:tr>
    </w:tbl>
    <w:p>
      <w:r>
        <w:br w:type="page"/>
      </w:r>
    </w:p>
    <w:p>
      <w:pPr>
        <w:pStyle w:val="Heading1"/>
        <w:pBdr>
          <w:bottom w:val="single" w:color="1E3A5F" w:sz="6" w:space="4"/>
        </w:pBdr>
        <w:spacing w:after="140" w:before="320"/>
      </w:pPr>
      <w:r>
        <w:rPr>
          <w:b/>
          <w:bCs/>
          <w:color w:val="1E3A5F"/>
          <w:sz w:val="28"/>
          <w:szCs w:val="28"/>
        </w:rPr>
        <w:t xml:space="preserve">Propósito del Documento</w:t>
      </w:r>
    </w:p>
    <w:p>
      <w:pPr>
        <w:spacing w:after="160" w:line="300"/>
      </w:pPr>
      <w:r>
        <w:rPr>
          <w:i w:val="false"/>
          <w:iCs w:val="false"/>
          <w:sz w:val="21"/>
          <w:szCs w:val="21"/>
        </w:rPr>
        <w:t xml:space="preserve">Este documento detalla la Evaluación de Impacto de Requisitos (Requirements Impact Assessment) para el proyecto Aplicación de TOGAF a la Municipalidad Metropolitana de Lima (MML), desarrollado por el Grupo 3 en el marco del curso SI605U — Arquitectura Empresarial.</w:t>
      </w:r>
    </w:p>
    <w:p>
      <w:pPr>
        <w:spacing w:after="160" w:line="300"/>
      </w:pPr>
      <w:r>
        <w:rPr>
          <w:i w:val="false"/>
          <w:iCs w:val="false"/>
          <w:sz w:val="21"/>
          <w:szCs w:val="21"/>
        </w:rPr>
        <w:t xml:space="preserve">A lo largo del ADM se recopila nueva información conforme avanza cada fase. Durante la revisión de alineamiento cruzado realizada al cierre de la Fase C (Arquitectura de Sistemas de Información), el equipo identificó que el alcance descrito en el Documento de Definición de Arquitectura y en el Modelo Organizativo de la versión preliminar (PC3) —centrado en seguridad ciudadana y el servicio de Serenazgo— no coincide con el alcance institucional amplio (mesa de partes, licencias, tributos, fiscalización y atención ciudadana) que finalmente se consolidó en el Statement of Architecture Work, la Architecture Vision, la Arquitectura de Negocio (Fase B) y la Arquitectura de Sistemas de Información (Fase C) vigentes.</w:t>
      </w:r>
    </w:p>
    <w:p>
      <w:pPr>
        <w:spacing w:after="160" w:line="300"/>
      </w:pPr>
      <w:r>
        <w:rPr>
          <w:i w:val="false"/>
          <w:iCs w:val="false"/>
          <w:sz w:val="21"/>
          <w:szCs w:val="21"/>
        </w:rPr>
        <w:t xml:space="preserve">Esta evaluación analiza el impacto de dicho desajuste sobre los requisitos y especificaciones ya aprobados, identifica las fases que deben revisarse y propone recomendaciones para reconciliar el alcance antes de avanzar hacia la Fase D (Arquitectura de Tecnología) y las fases de implementación.</w:t>
      </w:r>
    </w:p>
    <w:p>
      <w:pPr>
        <w:spacing w:after="160" w:line="300"/>
      </w:pPr>
      <w:r>
        <w:rPr>
          <w:i w:val="false"/>
          <w:iCs w:val="false"/>
          <w:sz w:val="21"/>
          <w:szCs w:val="21"/>
        </w:rPr>
        <w:t xml:space="preserve">Esta plantilla adapta el formato «típico» de Evaluación de Impacto de Requisitos de TOGAF 9 al caso específico del proyecto MML.</w:t>
      </w:r>
    </w:p>
    <w:p>
      <w:pPr>
        <w:pStyle w:val="Heading1"/>
        <w:pBdr>
          <w:bottom w:val="single" w:color="1E3A5F" w:sz="6" w:space="4"/>
        </w:pBdr>
        <w:spacing w:after="140" w:before="320"/>
      </w:pPr>
      <w:r>
        <w:rPr>
          <w:b/>
          <w:bCs/>
          <w:color w:val="1E3A5F"/>
          <w:sz w:val="28"/>
          <w:szCs w:val="28"/>
        </w:rPr>
        <w:t xml:space="preserve">Resumen de Requisitos</w:t>
      </w:r>
    </w:p>
    <w:p>
      <w:pPr>
        <w:pStyle w:val="Heading2"/>
        <w:spacing w:after="100" w:before="220"/>
      </w:pPr>
      <w:r>
        <w:rPr>
          <w:b/>
          <w:bCs/>
          <w:color w:val="1F2937"/>
          <w:sz w:val="24"/>
          <w:szCs w:val="24"/>
        </w:rPr>
        <w:t xml:space="preserve">Referencia a Requisitos Específicos</w:t>
      </w:r>
    </w:p>
    <w:p>
      <w:pPr>
        <w:spacing w:after="160" w:line="300"/>
      </w:pPr>
      <w:r>
        <w:rPr>
          <w:i w:val="false"/>
          <w:iCs w:val="false"/>
          <w:sz w:val="21"/>
          <w:szCs w:val="21"/>
        </w:rPr>
        <w:t xml:space="preserve">La siguiente tabla resume los requisitos y objetivos de negocio afectados por el desajuste de alcance identificado, indicando su documento de origen y su estado tras la revisión.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shd w:fill="1E3A5F"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4200"/>
            <w:shd w:fill="1E3A5F" w:val="clear"/>
            <w:tcMar>
              <w:top w:type="dxa" w:w="80"/>
              <w:left w:type="dxa" w:w="100"/>
              <w:bottom w:type="dxa" w:w="80"/>
              <w:right w:type="dxa" w:w="100"/>
            </w:tcMar>
            <w:vAlign w:val="center"/>
          </w:tcPr>
          <w:p>
            <w:pPr>
              <w:jc w:val="left"/>
            </w:pPr>
            <w:r>
              <w:rPr>
                <w:b/>
                <w:bCs/>
                <w:color w:val="FFFFFF"/>
                <w:sz w:val="19"/>
                <w:szCs w:val="19"/>
              </w:rPr>
              <w:t xml:space="preserve">Requisito afectado</w:t>
            </w:r>
          </w:p>
        </w:tc>
        <w:tc>
          <w:tcPr>
            <w:tcW w:type="dxa" w:w="2200"/>
            <w:shd w:fill="1E3A5F" w:val="clear"/>
            <w:tcMar>
              <w:top w:type="dxa" w:w="80"/>
              <w:left w:type="dxa" w:w="100"/>
              <w:bottom w:type="dxa" w:w="80"/>
              <w:right w:type="dxa" w:w="100"/>
            </w:tcMar>
            <w:vAlign w:val="center"/>
          </w:tcPr>
          <w:p>
            <w:pPr>
              <w:jc w:val="left"/>
            </w:pPr>
            <w:r>
              <w:rPr>
                <w:b/>
                <w:bCs/>
                <w:color w:val="FFFFFF"/>
                <w:sz w:val="19"/>
                <w:szCs w:val="19"/>
              </w:rPr>
              <w:t xml:space="preserve">Origen</w:t>
            </w:r>
          </w:p>
        </w:tc>
        <w:tc>
          <w:tcPr>
            <w:tcW w:type="dxa" w:w="1700"/>
            <w:shd w:fill="1E3A5F" w:val="clear"/>
            <w:tcMar>
              <w:top w:type="dxa" w:w="80"/>
              <w:left w:type="dxa" w:w="100"/>
              <w:bottom w:type="dxa" w:w="80"/>
              <w:right w:type="dxa" w:w="100"/>
            </w:tcMar>
            <w:vAlign w:val="center"/>
          </w:tcPr>
          <w:p>
            <w:pPr>
              <w:jc w:val="left"/>
            </w:pPr>
            <w:r>
              <w:rPr>
                <w:b/>
                <w:bCs/>
                <w:color w:val="FFFFFF"/>
                <w:sz w:val="19"/>
                <w:szCs w:val="19"/>
              </w:rPr>
              <w:t xml:space="preserve">Estado</w:t>
            </w:r>
          </w:p>
        </w:tc>
      </w:tr>
      <w:tr>
        <w:tc>
          <w:tcPr>
            <w:tcW w:type="dxa" w:w="1300"/>
            <w:tcMar>
              <w:top w:type="dxa" w:w="70"/>
              <w:left w:type="dxa" w:w="100"/>
              <w:bottom w:type="dxa" w:w="70"/>
              <w:right w:type="dxa" w:w="100"/>
            </w:tcMar>
            <w:vAlign w:val="center"/>
          </w:tcPr>
          <w:p>
            <w:pPr>
              <w:jc w:val="left"/>
            </w:pPr>
            <w:r>
              <w:rPr>
                <w:b w:val="false"/>
                <w:bCs w:val="false"/>
                <w:sz w:val="20"/>
                <w:szCs w:val="20"/>
              </w:rPr>
              <w:t xml:space="preserve">RA-01</w:t>
            </w:r>
          </w:p>
        </w:tc>
        <w:tc>
          <w:tcPr>
            <w:tcW w:type="dxa" w:w="4200"/>
            <w:tcMar>
              <w:top w:type="dxa" w:w="70"/>
              <w:left w:type="dxa" w:w="100"/>
              <w:bottom w:type="dxa" w:w="70"/>
              <w:right w:type="dxa" w:w="100"/>
            </w:tcMar>
            <w:vAlign w:val="center"/>
          </w:tcPr>
          <w:p>
            <w:pPr>
              <w:jc w:val="left"/>
            </w:pPr>
            <w:r>
              <w:rPr>
                <w:b w:val="false"/>
                <w:bCs w:val="false"/>
                <w:sz w:val="20"/>
                <w:szCs w:val="20"/>
              </w:rPr>
              <w:t xml:space="preserve">Habilitar una mesa de partes virtual para la recepción de documentos.</w:t>
            </w:r>
          </w:p>
        </w:tc>
        <w:tc>
          <w:tcPr>
            <w:tcW w:type="dxa" w:w="2200"/>
            <w:tcMar>
              <w:top w:type="dxa" w:w="70"/>
              <w:left w:type="dxa" w:w="100"/>
              <w:bottom w:type="dxa" w:w="70"/>
              <w:right w:type="dxa" w:w="100"/>
            </w:tcMar>
            <w:vAlign w:val="center"/>
          </w:tcPr>
          <w:p>
            <w:pPr>
              <w:jc w:val="left"/>
            </w:pPr>
            <w:r>
              <w:rPr>
                <w:b w:val="false"/>
                <w:bCs w:val="false"/>
                <w:sz w:val="20"/>
                <w:szCs w:val="20"/>
              </w:rPr>
              <w:t xml:space="preserve">ARS Fase B</w:t>
            </w:r>
          </w:p>
        </w:tc>
        <w:tc>
          <w:tcPr>
            <w:tcW w:type="dxa" w:w="1700"/>
            <w:tcMar>
              <w:top w:type="dxa" w:w="70"/>
              <w:left w:type="dxa" w:w="100"/>
              <w:bottom w:type="dxa" w:w="70"/>
              <w:right w:type="dxa" w:w="100"/>
            </w:tcMar>
            <w:vAlign w:val="center"/>
          </w:tcPr>
          <w:p>
            <w:pPr>
              <w:jc w:val="left"/>
            </w:pPr>
            <w:r>
              <w:rPr>
                <w:b w:val="false"/>
                <w:bCs w:val="false"/>
                <w:sz w:val="20"/>
                <w:szCs w:val="20"/>
              </w:rPr>
              <w:t xml:space="preserve">Sin cambio</w:t>
            </w:r>
          </w:p>
        </w:tc>
      </w:tr>
      <w:tr>
        <w:tc>
          <w:tcPr>
            <w:tcW w:type="dxa" w:w="1300"/>
            <w:shd w:fill="EAF0F6" w:val="clear"/>
            <w:tcMar>
              <w:top w:type="dxa" w:w="70"/>
              <w:left w:type="dxa" w:w="100"/>
              <w:bottom w:type="dxa" w:w="70"/>
              <w:right w:type="dxa" w:w="100"/>
            </w:tcMar>
            <w:vAlign w:val="center"/>
          </w:tcPr>
          <w:p>
            <w:pPr>
              <w:jc w:val="left"/>
            </w:pPr>
            <w:r>
              <w:rPr>
                <w:b w:val="false"/>
                <w:bCs w:val="false"/>
                <w:sz w:val="20"/>
                <w:szCs w:val="20"/>
              </w:rPr>
              <w:t xml:space="preserve">RA-02</w:t>
            </w:r>
          </w:p>
        </w:tc>
        <w:tc>
          <w:tcPr>
            <w:tcW w:type="dxa" w:w="4200"/>
            <w:shd w:fill="EAF0F6" w:val="clear"/>
            <w:tcMar>
              <w:top w:type="dxa" w:w="70"/>
              <w:left w:type="dxa" w:w="100"/>
              <w:bottom w:type="dxa" w:w="70"/>
              <w:right w:type="dxa" w:w="100"/>
            </w:tcMar>
            <w:vAlign w:val="center"/>
          </w:tcPr>
          <w:p>
            <w:pPr>
              <w:jc w:val="left"/>
            </w:pPr>
            <w:r>
              <w:rPr>
                <w:b w:val="false"/>
                <w:bCs w:val="false"/>
                <w:sz w:val="20"/>
                <w:szCs w:val="20"/>
              </w:rPr>
              <w:t xml:space="preserve">Digitalizar los trámites ciudadanos prioritarios (≥70% en canal digital).</w:t>
            </w:r>
          </w:p>
        </w:tc>
        <w:tc>
          <w:tcPr>
            <w:tcW w:type="dxa" w:w="2200"/>
            <w:shd w:fill="EAF0F6" w:val="clear"/>
            <w:tcMar>
              <w:top w:type="dxa" w:w="70"/>
              <w:left w:type="dxa" w:w="100"/>
              <w:bottom w:type="dxa" w:w="70"/>
              <w:right w:type="dxa" w:w="100"/>
            </w:tcMar>
            <w:vAlign w:val="center"/>
          </w:tcPr>
          <w:p>
            <w:pPr>
              <w:jc w:val="left"/>
            </w:pPr>
            <w:r>
              <w:rPr>
                <w:b w:val="false"/>
                <w:bCs w:val="false"/>
                <w:sz w:val="20"/>
                <w:szCs w:val="20"/>
              </w:rPr>
              <w:t xml:space="preserve">ARS Fase B</w:t>
            </w:r>
          </w:p>
        </w:tc>
        <w:tc>
          <w:tcPr>
            <w:tcW w:type="dxa" w:w="1700"/>
            <w:shd w:fill="EAF0F6" w:val="clear"/>
            <w:tcMar>
              <w:top w:type="dxa" w:w="70"/>
              <w:left w:type="dxa" w:w="100"/>
              <w:bottom w:type="dxa" w:w="70"/>
              <w:right w:type="dxa" w:w="100"/>
            </w:tcMar>
            <w:vAlign w:val="center"/>
          </w:tcPr>
          <w:p>
            <w:pPr>
              <w:jc w:val="left"/>
            </w:pPr>
            <w:r>
              <w:rPr>
                <w:b w:val="false"/>
                <w:bCs w:val="false"/>
                <w:sz w:val="20"/>
                <w:szCs w:val="20"/>
              </w:rPr>
              <w:t xml:space="preserve">Sin cambio</w:t>
            </w:r>
          </w:p>
        </w:tc>
      </w:tr>
      <w:tr>
        <w:tc>
          <w:tcPr>
            <w:tcW w:type="dxa" w:w="1300"/>
            <w:tcMar>
              <w:top w:type="dxa" w:w="70"/>
              <w:left w:type="dxa" w:w="100"/>
              <w:bottom w:type="dxa" w:w="70"/>
              <w:right w:type="dxa" w:w="100"/>
            </w:tcMar>
            <w:vAlign w:val="center"/>
          </w:tcPr>
          <w:p>
            <w:pPr>
              <w:jc w:val="left"/>
            </w:pPr>
            <w:r>
              <w:rPr>
                <w:b w:val="false"/>
                <w:bCs w:val="false"/>
                <w:sz w:val="20"/>
                <w:szCs w:val="20"/>
              </w:rPr>
              <w:t xml:space="preserve">RA-06</w:t>
            </w:r>
          </w:p>
        </w:tc>
        <w:tc>
          <w:tcPr>
            <w:tcW w:type="dxa" w:w="4200"/>
            <w:tcMar>
              <w:top w:type="dxa" w:w="70"/>
              <w:left w:type="dxa" w:w="100"/>
              <w:bottom w:type="dxa" w:w="70"/>
              <w:right w:type="dxa" w:w="100"/>
            </w:tcMar>
            <w:vAlign w:val="center"/>
          </w:tcPr>
          <w:p>
            <w:pPr>
              <w:jc w:val="left"/>
            </w:pPr>
            <w:r>
              <w:rPr>
                <w:b w:val="false"/>
                <w:bCs w:val="false"/>
                <w:sz w:val="20"/>
                <w:szCs w:val="20"/>
              </w:rPr>
              <w:t xml:space="preserve">Establecer un registro único del ciudadano.</w:t>
            </w:r>
          </w:p>
        </w:tc>
        <w:tc>
          <w:tcPr>
            <w:tcW w:type="dxa" w:w="2200"/>
            <w:tcMar>
              <w:top w:type="dxa" w:w="70"/>
              <w:left w:type="dxa" w:w="100"/>
              <w:bottom w:type="dxa" w:w="70"/>
              <w:right w:type="dxa" w:w="100"/>
            </w:tcMar>
            <w:vAlign w:val="center"/>
          </w:tcPr>
          <w:p>
            <w:pPr>
              <w:jc w:val="left"/>
            </w:pPr>
            <w:r>
              <w:rPr>
                <w:b w:val="false"/>
                <w:bCs w:val="false"/>
                <w:sz w:val="20"/>
                <w:szCs w:val="20"/>
              </w:rPr>
              <w:t xml:space="preserve">ARS Fase B</w:t>
            </w:r>
          </w:p>
        </w:tc>
        <w:tc>
          <w:tcPr>
            <w:tcW w:type="dxa" w:w="1700"/>
            <w:tcMar>
              <w:top w:type="dxa" w:w="70"/>
              <w:left w:type="dxa" w:w="100"/>
              <w:bottom w:type="dxa" w:w="70"/>
              <w:right w:type="dxa" w:w="100"/>
            </w:tcMar>
            <w:vAlign w:val="center"/>
          </w:tcPr>
          <w:p>
            <w:pPr>
              <w:jc w:val="left"/>
            </w:pPr>
            <w:r>
              <w:rPr>
                <w:b w:val="false"/>
                <w:bCs w:val="false"/>
                <w:sz w:val="20"/>
                <w:szCs w:val="20"/>
              </w:rPr>
              <w:t xml:space="preserve">Sin cambio</w:t>
            </w:r>
          </w:p>
        </w:tc>
      </w:tr>
      <w:tr>
        <w:tc>
          <w:tcPr>
            <w:tcW w:type="dxa" w:w="1300"/>
            <w:shd w:fill="EAF0F6" w:val="clear"/>
            <w:tcMar>
              <w:top w:type="dxa" w:w="70"/>
              <w:left w:type="dxa" w:w="100"/>
              <w:bottom w:type="dxa" w:w="70"/>
              <w:right w:type="dxa" w:w="100"/>
            </w:tcMar>
            <w:vAlign w:val="center"/>
          </w:tcPr>
          <w:p>
            <w:pPr>
              <w:jc w:val="left"/>
            </w:pPr>
            <w:r>
              <w:rPr>
                <w:b w:val="false"/>
                <w:bCs w:val="false"/>
                <w:sz w:val="20"/>
                <w:szCs w:val="20"/>
              </w:rPr>
              <w:t xml:space="preserve">RA-01 (Fase C)</w:t>
            </w:r>
          </w:p>
        </w:tc>
        <w:tc>
          <w:tcPr>
            <w:tcW w:type="dxa" w:w="4200"/>
            <w:shd w:fill="EAF0F6" w:val="clear"/>
            <w:tcMar>
              <w:top w:type="dxa" w:w="70"/>
              <w:left w:type="dxa" w:w="100"/>
              <w:bottom w:type="dxa" w:w="70"/>
              <w:right w:type="dxa" w:w="100"/>
            </w:tcMar>
            <w:vAlign w:val="center"/>
          </w:tcPr>
          <w:p>
            <w:pPr>
              <w:jc w:val="left"/>
            </w:pPr>
            <w:r>
              <w:rPr>
                <w:b w:val="false"/>
                <w:bCs w:val="false"/>
                <w:sz w:val="20"/>
                <w:szCs w:val="20"/>
              </w:rPr>
              <w:t xml:space="preserve">Centralizar la información de ciudadanos, expedientes y trámites en una base de datos institucional.</w:t>
            </w:r>
          </w:p>
        </w:tc>
        <w:tc>
          <w:tcPr>
            <w:tcW w:type="dxa" w:w="2200"/>
            <w:shd w:fill="EAF0F6" w:val="clear"/>
            <w:tcMar>
              <w:top w:type="dxa" w:w="70"/>
              <w:left w:type="dxa" w:w="100"/>
              <w:bottom w:type="dxa" w:w="70"/>
              <w:right w:type="dxa" w:w="100"/>
            </w:tcMar>
            <w:vAlign w:val="center"/>
          </w:tcPr>
          <w:p>
            <w:pPr>
              <w:jc w:val="left"/>
            </w:pPr>
            <w:r>
              <w:rPr>
                <w:b w:val="false"/>
                <w:bCs w:val="false"/>
                <w:sz w:val="20"/>
                <w:szCs w:val="20"/>
              </w:rPr>
              <w:t xml:space="preserve">ARS Fase C</w:t>
            </w:r>
          </w:p>
        </w:tc>
        <w:tc>
          <w:tcPr>
            <w:tcW w:type="dxa" w:w="1700"/>
            <w:shd w:fill="EAF0F6" w:val="clear"/>
            <w:tcMar>
              <w:top w:type="dxa" w:w="70"/>
              <w:left w:type="dxa" w:w="100"/>
              <w:bottom w:type="dxa" w:w="70"/>
              <w:right w:type="dxa" w:w="100"/>
            </w:tcMar>
            <w:vAlign w:val="center"/>
          </w:tcPr>
          <w:p>
            <w:pPr>
              <w:jc w:val="left"/>
            </w:pPr>
            <w:r>
              <w:rPr>
                <w:b w:val="false"/>
                <w:bCs w:val="false"/>
                <w:sz w:val="20"/>
                <w:szCs w:val="20"/>
              </w:rPr>
              <w:t xml:space="preserve">Reafirmado</w:t>
            </w:r>
          </w:p>
        </w:tc>
      </w:tr>
      <w:tr>
        <w:tc>
          <w:tcPr>
            <w:tcW w:type="dxa" w:w="1300"/>
            <w:tcMar>
              <w:top w:type="dxa" w:w="70"/>
              <w:left w:type="dxa" w:w="100"/>
              <w:bottom w:type="dxa" w:w="70"/>
              <w:right w:type="dxa" w:w="100"/>
            </w:tcMar>
            <w:vAlign w:val="center"/>
          </w:tcPr>
          <w:p>
            <w:pPr>
              <w:jc w:val="left"/>
            </w:pPr>
            <w:r>
              <w:rPr>
                <w:b w:val="false"/>
                <w:bCs w:val="false"/>
                <w:sz w:val="20"/>
                <w:szCs w:val="20"/>
              </w:rPr>
              <w:t xml:space="preserve">RA-02 (Fase C)</w:t>
            </w:r>
          </w:p>
        </w:tc>
        <w:tc>
          <w:tcPr>
            <w:tcW w:type="dxa" w:w="4200"/>
            <w:tcMar>
              <w:top w:type="dxa" w:w="70"/>
              <w:left w:type="dxa" w:w="100"/>
              <w:bottom w:type="dxa" w:w="70"/>
              <w:right w:type="dxa" w:w="100"/>
            </w:tcMar>
            <w:vAlign w:val="center"/>
          </w:tcPr>
          <w:p>
            <w:pPr>
              <w:jc w:val="left"/>
            </w:pPr>
            <w:r>
              <w:rPr>
                <w:b w:val="false"/>
                <w:bCs w:val="false"/>
                <w:sz w:val="20"/>
                <w:szCs w:val="20"/>
              </w:rPr>
              <w:t xml:space="preserve">Integrar aplicaciones de licencias, tributación, expedientes y fiscalización.</w:t>
            </w:r>
          </w:p>
        </w:tc>
        <w:tc>
          <w:tcPr>
            <w:tcW w:type="dxa" w:w="2200"/>
            <w:tcMar>
              <w:top w:type="dxa" w:w="70"/>
              <w:left w:type="dxa" w:w="100"/>
              <w:bottom w:type="dxa" w:w="70"/>
              <w:right w:type="dxa" w:w="100"/>
            </w:tcMar>
            <w:vAlign w:val="center"/>
          </w:tcPr>
          <w:p>
            <w:pPr>
              <w:jc w:val="left"/>
            </w:pPr>
            <w:r>
              <w:rPr>
                <w:b w:val="false"/>
                <w:bCs w:val="false"/>
                <w:sz w:val="20"/>
                <w:szCs w:val="20"/>
              </w:rPr>
              <w:t xml:space="preserve">ARS Fase C</w:t>
            </w:r>
          </w:p>
        </w:tc>
        <w:tc>
          <w:tcPr>
            <w:tcW w:type="dxa" w:w="1700"/>
            <w:tcMar>
              <w:top w:type="dxa" w:w="70"/>
              <w:left w:type="dxa" w:w="100"/>
              <w:bottom w:type="dxa" w:w="70"/>
              <w:right w:type="dxa" w:w="100"/>
            </w:tcMar>
            <w:vAlign w:val="center"/>
          </w:tcPr>
          <w:p>
            <w:pPr>
              <w:jc w:val="left"/>
            </w:pPr>
            <w:r>
              <w:rPr>
                <w:b w:val="false"/>
                <w:bCs w:val="false"/>
                <w:sz w:val="20"/>
                <w:szCs w:val="20"/>
              </w:rPr>
              <w:t xml:space="preserve">Reafirmado</w:t>
            </w:r>
          </w:p>
        </w:tc>
      </w:tr>
      <w:tr>
        <w:tc>
          <w:tcPr>
            <w:tcW w:type="dxa" w:w="1300"/>
            <w:shd w:fill="EAF0F6" w:val="clear"/>
            <w:tcMar>
              <w:top w:type="dxa" w:w="70"/>
              <w:left w:type="dxa" w:w="100"/>
              <w:bottom w:type="dxa" w:w="70"/>
              <w:right w:type="dxa" w:w="100"/>
            </w:tcMar>
            <w:vAlign w:val="center"/>
          </w:tcPr>
          <w:p>
            <w:pPr>
              <w:jc w:val="left"/>
            </w:pPr>
            <w:r>
              <w:rPr>
                <w:b w:val="false"/>
                <w:bCs w:val="false"/>
                <w:sz w:val="20"/>
                <w:szCs w:val="20"/>
              </w:rPr>
              <w:t xml:space="preserve">BG-01…BG-05</w:t>
            </w:r>
          </w:p>
        </w:tc>
        <w:tc>
          <w:tcPr>
            <w:tcW w:type="dxa" w:w="4200"/>
            <w:shd w:fill="EAF0F6" w:val="clear"/>
            <w:tcMar>
              <w:top w:type="dxa" w:w="70"/>
              <w:left w:type="dxa" w:w="100"/>
              <w:bottom w:type="dxa" w:w="70"/>
              <w:right w:type="dxa" w:w="100"/>
            </w:tcMar>
            <w:vAlign w:val="center"/>
          </w:tcPr>
          <w:p>
            <w:pPr>
              <w:jc w:val="left"/>
            </w:pPr>
            <w:r>
              <w:rPr>
                <w:b w:val="false"/>
                <w:bCs w:val="false"/>
                <w:sz w:val="20"/>
                <w:szCs w:val="20"/>
              </w:rPr>
              <w:t xml:space="preserve">Objetivos estratégicos del alcance original de seguridad ciudadana (digitalización, recaudación, interoperabilidad con RENIEC/SUNAT/SUNARP, transparencia, modernización de infraestructura TI).</w:t>
            </w:r>
          </w:p>
        </w:tc>
        <w:tc>
          <w:tcPr>
            <w:tcW w:type="dxa" w:w="2200"/>
            <w:shd w:fill="EAF0F6" w:val="clear"/>
            <w:tcMar>
              <w:top w:type="dxa" w:w="70"/>
              <w:left w:type="dxa" w:w="100"/>
              <w:bottom w:type="dxa" w:w="70"/>
              <w:right w:type="dxa" w:w="100"/>
            </w:tcMar>
            <w:vAlign w:val="center"/>
          </w:tcPr>
          <w:p>
            <w:pPr>
              <w:jc w:val="left"/>
            </w:pPr>
            <w:r>
              <w:rPr>
                <w:b w:val="false"/>
                <w:bCs w:val="false"/>
                <w:sz w:val="20"/>
                <w:szCs w:val="20"/>
              </w:rPr>
              <w:t xml:space="preserve">Visión Fase A (versión PC3)</w:t>
            </w:r>
          </w:p>
        </w:tc>
        <w:tc>
          <w:tcPr>
            <w:tcW w:type="dxa" w:w="1700"/>
            <w:shd w:fill="EAF0F6" w:val="clear"/>
            <w:tcMar>
              <w:top w:type="dxa" w:w="70"/>
              <w:left w:type="dxa" w:w="100"/>
              <w:bottom w:type="dxa" w:w="70"/>
              <w:right w:type="dxa" w:w="100"/>
            </w:tcMar>
            <w:vAlign w:val="center"/>
          </w:tcPr>
          <w:p>
            <w:pPr>
              <w:jc w:val="left"/>
            </w:pPr>
            <w:r>
              <w:rPr>
                <w:b w:val="false"/>
                <w:bCs w:val="false"/>
                <w:sz w:val="20"/>
                <w:szCs w:val="20"/>
              </w:rPr>
              <w:t xml:space="preserve">En conflicto de alcance</w:t>
            </w:r>
          </w:p>
        </w:tc>
      </w:tr>
      <w:tr>
        <w:tc>
          <w:tcPr>
            <w:tcW w:type="dxa" w:w="1300"/>
            <w:tcMar>
              <w:top w:type="dxa" w:w="70"/>
              <w:left w:type="dxa" w:w="100"/>
              <w:bottom w:type="dxa" w:w="70"/>
              <w:right w:type="dxa" w:w="100"/>
            </w:tcMar>
            <w:vAlign w:val="center"/>
          </w:tcPr>
          <w:p>
            <w:pPr>
              <w:jc w:val="left"/>
            </w:pPr>
            <w:r>
              <w:rPr>
                <w:b w:val="false"/>
                <w:bCs w:val="false"/>
                <w:sz w:val="20"/>
                <w:szCs w:val="20"/>
              </w:rPr>
              <w:t xml:space="preserve">Alcance Serenazgo</w:t>
            </w:r>
          </w:p>
        </w:tc>
        <w:tc>
          <w:tcPr>
            <w:tcW w:type="dxa" w:w="4200"/>
            <w:tcMar>
              <w:top w:type="dxa" w:w="70"/>
              <w:left w:type="dxa" w:w="100"/>
              <w:bottom w:type="dxa" w:w="70"/>
              <w:right w:type="dxa" w:w="100"/>
            </w:tcMar>
            <w:vAlign w:val="center"/>
          </w:tcPr>
          <w:p>
            <w:pPr>
              <w:jc w:val="left"/>
            </w:pPr>
            <w:r>
              <w:rPr>
                <w:b w:val="false"/>
                <w:bCs w:val="false"/>
                <w:sz w:val="20"/>
                <w:szCs w:val="20"/>
              </w:rPr>
              <w:t xml:space="preserve">Capacidades de videovigilancia, cámaras inteligentes, IA para detección de eventos, alertas ciudadanas y coordinación con PNP/Ministerio Público/PJ/MININTER.</w:t>
            </w:r>
          </w:p>
        </w:tc>
        <w:tc>
          <w:tcPr>
            <w:tcW w:type="dxa" w:w="2200"/>
            <w:tcMar>
              <w:top w:type="dxa" w:w="70"/>
              <w:left w:type="dxa" w:w="100"/>
              <w:bottom w:type="dxa" w:w="70"/>
              <w:right w:type="dxa" w:w="100"/>
            </w:tcMar>
            <w:vAlign w:val="center"/>
          </w:tcPr>
          <w:p>
            <w:pPr>
              <w:jc w:val="left"/>
            </w:pPr>
            <w:r>
              <w:rPr>
                <w:b w:val="false"/>
                <w:bCs w:val="false"/>
                <w:sz w:val="20"/>
                <w:szCs w:val="20"/>
              </w:rPr>
              <w:t xml:space="preserve">Visión Fase A (versión PC3) / Modelo Organizativo</w:t>
            </w:r>
          </w:p>
        </w:tc>
        <w:tc>
          <w:tcPr>
            <w:tcW w:type="dxa" w:w="1700"/>
            <w:tcMar>
              <w:top w:type="dxa" w:w="70"/>
              <w:left w:type="dxa" w:w="100"/>
              <w:bottom w:type="dxa" w:w="70"/>
              <w:right w:type="dxa" w:w="100"/>
            </w:tcMar>
            <w:vAlign w:val="center"/>
          </w:tcPr>
          <w:p>
            <w:pPr>
              <w:jc w:val="left"/>
            </w:pPr>
            <w:r>
              <w:rPr>
                <w:b w:val="false"/>
                <w:bCs w:val="false"/>
                <w:sz w:val="20"/>
                <w:szCs w:val="20"/>
              </w:rPr>
              <w:t xml:space="preserve">Sin trazabilidad en ARS/DDA de Fases B–C</w:t>
            </w:r>
          </w:p>
        </w:tc>
      </w:tr>
    </w:tbl>
    <w:p>
      <w:pPr>
        <w:spacing w:after="100" w:before="240"/>
      </w:pPr>
    </w:p>
    <w:p>
      <w:pPr>
        <w:pStyle w:val="Heading2"/>
        <w:spacing w:after="100" w:before="220"/>
      </w:pPr>
      <w:r>
        <w:rPr>
          <w:b/>
          <w:bCs/>
          <w:color w:val="1F2937"/>
          <w:sz w:val="24"/>
          <w:szCs w:val="24"/>
        </w:rPr>
        <w:t xml:space="preserve">Prioridad de los Requisitos según los Interesados (a la Fecha)</w:t>
      </w:r>
    </w:p>
    <w:p>
      <w:pPr>
        <w:spacing w:after="160" w:line="300"/>
      </w:pPr>
      <w:r>
        <w:rPr>
          <w:i w:val="false"/>
          <w:iCs w:val="false"/>
          <w:sz w:val="21"/>
          <w:szCs w:val="21"/>
        </w:rPr>
        <w:t xml:space="preserve">La siguiente tabla compara la prioridad que cada grupo de interesados otorgaba a los distintos dominios de alcance antes de la revisión de alineamiento cruzado, frente a la prioridad revisada tras el hallazgo.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shd w:fill="1E3A5F" w:val="clear"/>
            <w:tcMar>
              <w:top w:type="dxa" w:w="80"/>
              <w:left w:type="dxa" w:w="100"/>
              <w:bottom w:type="dxa" w:w="80"/>
              <w:right w:type="dxa" w:w="100"/>
            </w:tcMar>
            <w:vAlign w:val="center"/>
          </w:tcPr>
          <w:p>
            <w:pPr>
              <w:jc w:val="left"/>
            </w:pPr>
            <w:r>
              <w:rPr>
                <w:b/>
                <w:bCs/>
                <w:color w:val="FFFFFF"/>
                <w:sz w:val="19"/>
                <w:szCs w:val="19"/>
              </w:rPr>
              <w:t xml:space="preserve">Stakeholder</w:t>
            </w:r>
          </w:p>
        </w:tc>
        <w:tc>
          <w:tcPr>
            <w:tcW w:type="dxa" w:w="2200"/>
            <w:shd w:fill="1E3A5F" w:val="clear"/>
            <w:tcMar>
              <w:top w:type="dxa" w:w="80"/>
              <w:left w:type="dxa" w:w="100"/>
              <w:bottom w:type="dxa" w:w="80"/>
              <w:right w:type="dxa" w:w="100"/>
            </w:tcMar>
            <w:vAlign w:val="center"/>
          </w:tcPr>
          <w:p>
            <w:pPr>
              <w:jc w:val="left"/>
            </w:pPr>
            <w:r>
              <w:rPr>
                <w:b/>
                <w:bCs/>
                <w:color w:val="FFFFFF"/>
                <w:sz w:val="19"/>
                <w:szCs w:val="19"/>
              </w:rPr>
              <w:t xml:space="preserve">Prioridad previa</w:t>
            </w:r>
          </w:p>
        </w:tc>
        <w:tc>
          <w:tcPr>
            <w:tcW w:type="dxa" w:w="2200"/>
            <w:shd w:fill="1E3A5F" w:val="clear"/>
            <w:tcMar>
              <w:top w:type="dxa" w:w="80"/>
              <w:left w:type="dxa" w:w="100"/>
              <w:bottom w:type="dxa" w:w="80"/>
              <w:right w:type="dxa" w:w="100"/>
            </w:tcMar>
            <w:vAlign w:val="center"/>
          </w:tcPr>
          <w:p>
            <w:pPr>
              <w:jc w:val="left"/>
            </w:pPr>
            <w:r>
              <w:rPr>
                <w:b/>
                <w:bCs/>
                <w:color w:val="FFFFFF"/>
                <w:sz w:val="19"/>
                <w:szCs w:val="19"/>
              </w:rPr>
              <w:t xml:space="preserve">Prioridad revisada</w:t>
            </w:r>
          </w:p>
        </w:tc>
        <w:tc>
          <w:tcPr>
            <w:tcW w:type="dxa" w:w="2400"/>
            <w:shd w:fill="1E3A5F" w:val="clear"/>
            <w:tcMar>
              <w:top w:type="dxa" w:w="80"/>
              <w:left w:type="dxa" w:w="100"/>
              <w:bottom w:type="dxa" w:w="80"/>
              <w:right w:type="dxa" w:w="100"/>
            </w:tcMar>
            <w:vAlign w:val="center"/>
          </w:tcPr>
          <w:p>
            <w:pPr>
              <w:jc w:val="left"/>
            </w:pPr>
            <w:r>
              <w:rPr>
                <w:b/>
                <w:bCs/>
                <w:color w:val="FFFFFF"/>
                <w:sz w:val="19"/>
                <w:szCs w:val="19"/>
              </w:rPr>
              <w:t xml:space="preserve">Comentario</w:t>
            </w:r>
          </w:p>
        </w:tc>
      </w:tr>
      <w:tr>
        <w:tc>
          <w:tcPr>
            <w:tcW w:type="dxa" w:w="2600"/>
            <w:tcMar>
              <w:top w:type="dxa" w:w="70"/>
              <w:left w:type="dxa" w:w="100"/>
              <w:bottom w:type="dxa" w:w="70"/>
              <w:right w:type="dxa" w:w="100"/>
            </w:tcMar>
            <w:vAlign w:val="center"/>
          </w:tcPr>
          <w:p>
            <w:pPr>
              <w:jc w:val="left"/>
            </w:pPr>
            <w:r>
              <w:rPr>
                <w:b w:val="false"/>
                <w:bCs w:val="false"/>
                <w:sz w:val="20"/>
                <w:szCs w:val="20"/>
              </w:rPr>
              <w:t xml:space="preserve">Gerencia Municipal / Alcaldía</w:t>
            </w:r>
          </w:p>
        </w:tc>
        <w:tc>
          <w:tcPr>
            <w:tcW w:type="dxa" w:w="2200"/>
            <w:tcMar>
              <w:top w:type="dxa" w:w="70"/>
              <w:left w:type="dxa" w:w="100"/>
              <w:bottom w:type="dxa" w:w="70"/>
              <w:right w:type="dxa" w:w="100"/>
            </w:tcMar>
            <w:vAlign w:val="center"/>
          </w:tcPr>
          <w:p>
            <w:pPr>
              <w:jc w:val="center"/>
            </w:pPr>
            <w:r>
              <w:rPr>
                <w:b w:val="false"/>
                <w:bCs w:val="false"/>
                <w:sz w:val="20"/>
                <w:szCs w:val="20"/>
              </w:rPr>
              <w:t xml:space="preserve">Alta</w:t>
            </w:r>
          </w:p>
        </w:tc>
        <w:tc>
          <w:tcPr>
            <w:tcW w:type="dxa" w:w="2200"/>
            <w:tcMar>
              <w:top w:type="dxa" w:w="70"/>
              <w:left w:type="dxa" w:w="100"/>
              <w:bottom w:type="dxa" w:w="70"/>
              <w:right w:type="dxa" w:w="100"/>
            </w:tcMar>
            <w:vAlign w:val="center"/>
          </w:tcPr>
          <w:p>
            <w:pPr>
              <w:jc w:val="center"/>
            </w:pPr>
            <w:r>
              <w:rPr>
                <w:b w:val="false"/>
                <w:bCs w:val="false"/>
                <w:sz w:val="20"/>
                <w:szCs w:val="20"/>
              </w:rPr>
              <w:t xml:space="preserve">Alta</w:t>
            </w:r>
          </w:p>
        </w:tc>
        <w:tc>
          <w:tcPr>
            <w:tcW w:type="dxa" w:w="2400"/>
            <w:tcMar>
              <w:top w:type="dxa" w:w="70"/>
              <w:left w:type="dxa" w:w="100"/>
              <w:bottom w:type="dxa" w:w="70"/>
              <w:right w:type="dxa" w:w="100"/>
            </w:tcMar>
            <w:vAlign w:val="center"/>
          </w:tcPr>
          <w:p>
            <w:pPr>
              <w:jc w:val="left"/>
            </w:pPr>
            <w:r>
              <w:rPr>
                <w:b w:val="false"/>
                <w:bCs w:val="false"/>
                <w:sz w:val="20"/>
                <w:szCs w:val="20"/>
              </w:rPr>
              <w:t xml:space="preserve">Exige una definición única de alcance antes de continuar con Fase D.</w:t>
            </w:r>
          </w:p>
        </w:tc>
      </w:tr>
      <w:tr>
        <w:tc>
          <w:tcPr>
            <w:tcW w:type="dxa" w:w="2600"/>
            <w:shd w:fill="EAF0F6" w:val="clear"/>
            <w:tcMar>
              <w:top w:type="dxa" w:w="70"/>
              <w:left w:type="dxa" w:w="100"/>
              <w:bottom w:type="dxa" w:w="70"/>
              <w:right w:type="dxa" w:w="100"/>
            </w:tcMar>
            <w:vAlign w:val="center"/>
          </w:tcPr>
          <w:p>
            <w:pPr>
              <w:jc w:val="left"/>
            </w:pPr>
            <w:r>
              <w:rPr>
                <w:b w:val="false"/>
                <w:bCs w:val="false"/>
                <w:sz w:val="20"/>
                <w:szCs w:val="20"/>
              </w:rPr>
              <w:t xml:space="preserve">Gerencia de TI / Gobierno Digital</w:t>
            </w:r>
          </w:p>
        </w:tc>
        <w:tc>
          <w:tcPr>
            <w:tcW w:type="dxa" w:w="2200"/>
            <w:shd w:fill="EAF0F6" w:val="clear"/>
            <w:tcMar>
              <w:top w:type="dxa" w:w="70"/>
              <w:left w:type="dxa" w:w="100"/>
              <w:bottom w:type="dxa" w:w="70"/>
              <w:right w:type="dxa" w:w="100"/>
            </w:tcMar>
            <w:vAlign w:val="center"/>
          </w:tcPr>
          <w:p>
            <w:pPr>
              <w:jc w:val="center"/>
            </w:pPr>
            <w:r>
              <w:rPr>
                <w:b w:val="false"/>
                <w:bCs w:val="false"/>
                <w:sz w:val="20"/>
                <w:szCs w:val="20"/>
              </w:rPr>
              <w:t xml:space="preserve">Alta</w:t>
            </w:r>
          </w:p>
        </w:tc>
        <w:tc>
          <w:tcPr>
            <w:tcW w:type="dxa" w:w="2200"/>
            <w:shd w:fill="EAF0F6" w:val="clear"/>
            <w:tcMar>
              <w:top w:type="dxa" w:w="70"/>
              <w:left w:type="dxa" w:w="100"/>
              <w:bottom w:type="dxa" w:w="70"/>
              <w:right w:type="dxa" w:w="100"/>
            </w:tcMar>
            <w:vAlign w:val="center"/>
          </w:tcPr>
          <w:p>
            <w:pPr>
              <w:jc w:val="center"/>
            </w:pPr>
            <w:r>
              <w:rPr>
                <w:b w:val="false"/>
                <w:bCs w:val="false"/>
                <w:sz w:val="20"/>
                <w:szCs w:val="20"/>
              </w:rPr>
              <w:t xml:space="preserve">Alta</w:t>
            </w:r>
          </w:p>
        </w:tc>
        <w:tc>
          <w:tcPr>
            <w:tcW w:type="dxa" w:w="2400"/>
            <w:shd w:fill="EAF0F6" w:val="clear"/>
            <w:tcMar>
              <w:top w:type="dxa" w:w="70"/>
              <w:left w:type="dxa" w:w="100"/>
              <w:bottom w:type="dxa" w:w="70"/>
              <w:right w:type="dxa" w:w="100"/>
            </w:tcMar>
            <w:vAlign w:val="center"/>
          </w:tcPr>
          <w:p>
            <w:pPr>
              <w:jc w:val="left"/>
            </w:pPr>
            <w:r>
              <w:rPr>
                <w:b w:val="false"/>
                <w:bCs w:val="false"/>
                <w:sz w:val="20"/>
                <w:szCs w:val="20"/>
              </w:rPr>
              <w:t xml:space="preserve">Prioriza la interoperabilidad de datos (RA-01/RA-02 Fase C) sobre el dominio de seguridad.</w:t>
            </w:r>
          </w:p>
        </w:tc>
      </w:tr>
      <w:tr>
        <w:tc>
          <w:tcPr>
            <w:tcW w:type="dxa" w:w="2600"/>
            <w:tcMar>
              <w:top w:type="dxa" w:w="70"/>
              <w:left w:type="dxa" w:w="100"/>
              <w:bottom w:type="dxa" w:w="70"/>
              <w:right w:type="dxa" w:w="100"/>
            </w:tcMar>
            <w:vAlign w:val="center"/>
          </w:tcPr>
          <w:p>
            <w:pPr>
              <w:jc w:val="left"/>
            </w:pPr>
            <w:r>
              <w:rPr>
                <w:b w:val="false"/>
                <w:bCs w:val="false"/>
                <w:sz w:val="20"/>
                <w:szCs w:val="20"/>
              </w:rPr>
              <w:t xml:space="preserve">Gerencia de Seguridad Ciudadana</w:t>
            </w:r>
          </w:p>
        </w:tc>
        <w:tc>
          <w:tcPr>
            <w:tcW w:type="dxa" w:w="2200"/>
            <w:tcMar>
              <w:top w:type="dxa" w:w="70"/>
              <w:left w:type="dxa" w:w="100"/>
              <w:bottom w:type="dxa" w:w="70"/>
              <w:right w:type="dxa" w:w="100"/>
            </w:tcMar>
            <w:vAlign w:val="center"/>
          </w:tcPr>
          <w:p>
            <w:pPr>
              <w:jc w:val="center"/>
            </w:pPr>
            <w:r>
              <w:rPr>
                <w:b w:val="false"/>
                <w:bCs w:val="false"/>
                <w:sz w:val="20"/>
                <w:szCs w:val="20"/>
              </w:rPr>
              <w:t xml:space="preserve">Media–Alta</w:t>
            </w:r>
          </w:p>
        </w:tc>
        <w:tc>
          <w:tcPr>
            <w:tcW w:type="dxa" w:w="2200"/>
            <w:tcMar>
              <w:top w:type="dxa" w:w="70"/>
              <w:left w:type="dxa" w:w="100"/>
              <w:bottom w:type="dxa" w:w="70"/>
              <w:right w:type="dxa" w:w="100"/>
            </w:tcMar>
            <w:vAlign w:val="center"/>
          </w:tcPr>
          <w:p>
            <w:pPr>
              <w:jc w:val="center"/>
            </w:pPr>
            <w:r>
              <w:rPr>
                <w:b w:val="false"/>
                <w:bCs w:val="false"/>
                <w:sz w:val="20"/>
                <w:szCs w:val="20"/>
              </w:rPr>
              <w:t xml:space="preserve">Media</w:t>
            </w:r>
          </w:p>
        </w:tc>
        <w:tc>
          <w:tcPr>
            <w:tcW w:type="dxa" w:w="2400"/>
            <w:tcMar>
              <w:top w:type="dxa" w:w="70"/>
              <w:left w:type="dxa" w:w="100"/>
              <w:bottom w:type="dxa" w:w="70"/>
              <w:right w:type="dxa" w:w="100"/>
            </w:tcMar>
            <w:vAlign w:val="center"/>
          </w:tcPr>
          <w:p>
            <w:pPr>
              <w:jc w:val="left"/>
            </w:pPr>
            <w:r>
              <w:rPr>
                <w:b w:val="false"/>
                <w:bCs w:val="false"/>
                <w:sz w:val="20"/>
                <w:szCs w:val="20"/>
              </w:rPr>
              <w:t xml:space="preserve">Su alcance (Serenazgo, videovigilancia) queda pendiente de re-incorporación formal o de tratarse como iniciativa independiente.</w:t>
            </w:r>
          </w:p>
        </w:tc>
      </w:tr>
      <w:tr>
        <w:tc>
          <w:tcPr>
            <w:tcW w:type="dxa" w:w="2600"/>
            <w:shd w:fill="EAF0F6" w:val="clear"/>
            <w:tcMar>
              <w:top w:type="dxa" w:w="70"/>
              <w:left w:type="dxa" w:w="100"/>
              <w:bottom w:type="dxa" w:w="70"/>
              <w:right w:type="dxa" w:w="100"/>
            </w:tcMar>
            <w:vAlign w:val="center"/>
          </w:tcPr>
          <w:p>
            <w:pPr>
              <w:jc w:val="left"/>
            </w:pPr>
            <w:r>
              <w:rPr>
                <w:b w:val="false"/>
                <w:bCs w:val="false"/>
                <w:sz w:val="20"/>
                <w:szCs w:val="20"/>
              </w:rPr>
              <w:t xml:space="preserve">Áreas usuarias (Licencias, Tributos, Mesa de Partes)</w:t>
            </w:r>
          </w:p>
        </w:tc>
        <w:tc>
          <w:tcPr>
            <w:tcW w:type="dxa" w:w="2200"/>
            <w:shd w:fill="EAF0F6" w:val="clear"/>
            <w:tcMar>
              <w:top w:type="dxa" w:w="70"/>
              <w:left w:type="dxa" w:w="100"/>
              <w:bottom w:type="dxa" w:w="70"/>
              <w:right w:type="dxa" w:w="100"/>
            </w:tcMar>
            <w:vAlign w:val="center"/>
          </w:tcPr>
          <w:p>
            <w:pPr>
              <w:jc w:val="center"/>
            </w:pPr>
            <w:r>
              <w:rPr>
                <w:b w:val="false"/>
                <w:bCs w:val="false"/>
                <w:sz w:val="20"/>
                <w:szCs w:val="20"/>
              </w:rPr>
              <w:t xml:space="preserve">Media</w:t>
            </w:r>
          </w:p>
        </w:tc>
        <w:tc>
          <w:tcPr>
            <w:tcW w:type="dxa" w:w="2200"/>
            <w:shd w:fill="EAF0F6" w:val="clear"/>
            <w:tcMar>
              <w:top w:type="dxa" w:w="70"/>
              <w:left w:type="dxa" w:w="100"/>
              <w:bottom w:type="dxa" w:w="70"/>
              <w:right w:type="dxa" w:w="100"/>
            </w:tcMar>
            <w:vAlign w:val="center"/>
          </w:tcPr>
          <w:p>
            <w:pPr>
              <w:jc w:val="center"/>
            </w:pPr>
            <w:r>
              <w:rPr>
                <w:b w:val="false"/>
                <w:bCs w:val="false"/>
                <w:sz w:val="20"/>
                <w:szCs w:val="20"/>
              </w:rPr>
              <w:t xml:space="preserve">Alta</w:t>
            </w:r>
          </w:p>
        </w:tc>
        <w:tc>
          <w:tcPr>
            <w:tcW w:type="dxa" w:w="2400"/>
            <w:shd w:fill="EAF0F6" w:val="clear"/>
            <w:tcMar>
              <w:top w:type="dxa" w:w="70"/>
              <w:left w:type="dxa" w:w="100"/>
              <w:bottom w:type="dxa" w:w="70"/>
              <w:right w:type="dxa" w:w="100"/>
            </w:tcMar>
            <w:vAlign w:val="center"/>
          </w:tcPr>
          <w:p>
            <w:pPr>
              <w:jc w:val="left"/>
            </w:pPr>
            <w:r>
              <w:rPr>
                <w:b w:val="false"/>
                <w:bCs w:val="false"/>
                <w:sz w:val="20"/>
                <w:szCs w:val="20"/>
              </w:rPr>
              <w:t xml:space="preserve">Ganan prioridad al ser el foco confirmado de las Fases B y C.</w:t>
            </w:r>
          </w:p>
        </w:tc>
      </w:tr>
      <w:tr>
        <w:tc>
          <w:tcPr>
            <w:tcW w:type="dxa" w:w="2600"/>
            <w:tcMar>
              <w:top w:type="dxa" w:w="70"/>
              <w:left w:type="dxa" w:w="100"/>
              <w:bottom w:type="dxa" w:w="70"/>
              <w:right w:type="dxa" w:w="100"/>
            </w:tcMar>
            <w:vAlign w:val="center"/>
          </w:tcPr>
          <w:p>
            <w:pPr>
              <w:jc w:val="left"/>
            </w:pPr>
            <w:r>
              <w:rPr>
                <w:b w:val="false"/>
                <w:bCs w:val="false"/>
                <w:sz w:val="20"/>
                <w:szCs w:val="20"/>
              </w:rPr>
              <w:t xml:space="preserve">Ciudadanía</w:t>
            </w:r>
          </w:p>
        </w:tc>
        <w:tc>
          <w:tcPr>
            <w:tcW w:type="dxa" w:w="2200"/>
            <w:tcMar>
              <w:top w:type="dxa" w:w="70"/>
              <w:left w:type="dxa" w:w="100"/>
              <w:bottom w:type="dxa" w:w="70"/>
              <w:right w:type="dxa" w:w="100"/>
            </w:tcMar>
            <w:vAlign w:val="center"/>
          </w:tcPr>
          <w:p>
            <w:pPr>
              <w:jc w:val="center"/>
            </w:pPr>
            <w:r>
              <w:rPr>
                <w:b w:val="false"/>
                <w:bCs w:val="false"/>
                <w:sz w:val="20"/>
                <w:szCs w:val="20"/>
              </w:rPr>
              <w:t xml:space="preserve">Alta</w:t>
            </w:r>
          </w:p>
        </w:tc>
        <w:tc>
          <w:tcPr>
            <w:tcW w:type="dxa" w:w="2200"/>
            <w:tcMar>
              <w:top w:type="dxa" w:w="70"/>
              <w:left w:type="dxa" w:w="100"/>
              <w:bottom w:type="dxa" w:w="70"/>
              <w:right w:type="dxa" w:w="100"/>
            </w:tcMar>
            <w:vAlign w:val="center"/>
          </w:tcPr>
          <w:p>
            <w:pPr>
              <w:jc w:val="center"/>
            </w:pPr>
            <w:r>
              <w:rPr>
                <w:b w:val="false"/>
                <w:bCs w:val="false"/>
                <w:sz w:val="20"/>
                <w:szCs w:val="20"/>
              </w:rPr>
              <w:t xml:space="preserve">Alta</w:t>
            </w:r>
          </w:p>
        </w:tc>
        <w:tc>
          <w:tcPr>
            <w:tcW w:type="dxa" w:w="2400"/>
            <w:tcMar>
              <w:top w:type="dxa" w:w="70"/>
              <w:left w:type="dxa" w:w="100"/>
              <w:bottom w:type="dxa" w:w="70"/>
              <w:right w:type="dxa" w:w="100"/>
            </w:tcMar>
            <w:vAlign w:val="center"/>
          </w:tcPr>
          <w:p>
            <w:pPr>
              <w:jc w:val="left"/>
            </w:pPr>
            <w:r>
              <w:rPr>
                <w:b w:val="false"/>
                <w:bCs w:val="false"/>
                <w:sz w:val="20"/>
                <w:szCs w:val="20"/>
              </w:rPr>
              <w:t xml:space="preserve">Espera mejoras tangibles en atención y trámites, independientemente del dominio elegido.</w:t>
            </w:r>
          </w:p>
        </w:tc>
      </w:tr>
    </w:tbl>
    <w:p>
      <w:pPr>
        <w:pStyle w:val="Heading1"/>
        <w:pBdr>
          <w:bottom w:val="single" w:color="1E3A5F" w:sz="6" w:space="4"/>
        </w:pBdr>
        <w:spacing w:after="140" w:before="320"/>
      </w:pPr>
      <w:r>
        <w:rPr>
          <w:b/>
          <w:bCs/>
          <w:color w:val="1E3A5F"/>
          <w:sz w:val="28"/>
          <w:szCs w:val="28"/>
        </w:rPr>
        <w:t xml:space="preserve">Evaluación de Impacto</w:t>
      </w:r>
    </w:p>
    <w:p>
      <w:pPr>
        <w:spacing w:after="160" w:line="300"/>
      </w:pPr>
      <w:r>
        <w:rPr>
          <w:i w:val="false"/>
          <w:iCs w:val="false"/>
          <w:sz w:val="21"/>
          <w:szCs w:val="21"/>
        </w:rPr>
        <w:t xml:space="preserve">El desajuste de alcance no invalida los requisitos ya aprobados en las Fases B y C (mesa de partes virtual, digitalización de trámites, registro único del ciudadano, integración de licencias y tributación), pero sí deja sin trazabilidad formal a los objetivos estratégicos BG-01 a BG-05 y a las capacidades de seguridad ciudadana (videovigilancia, cámaras inteligentes, IA de detección de eventos, alertas ciudadanas) descritos en el Modelo Organizativo y la Arquitectura Framework de la versión PC3.</w:t>
      </w:r>
    </w:p>
    <w:p>
      <w:pPr>
        <w:spacing w:after="160" w:line="300"/>
      </w:pPr>
      <w:r>
        <w:rPr>
          <w:i w:val="false"/>
          <w:iCs w:val="false"/>
          <w:sz w:val="21"/>
          <w:szCs w:val="21"/>
        </w:rPr>
        <w:t xml:space="preserve">De no resolverse, este vacío podría generar: (1) incertidumbre sobre qué gerencia municipal es la propietaria final de la arquitectura objetivo, (2) duplicidad de esfuerzos si en el futuro se retoma el dominio de seguridad ciudadana sin trazabilidad hacia los entregables ya aprobados, y (3) riesgo de no conformidad en la evaluación de la Fase G, al no existir un registro explícito de la exclusión o inclusión del dominio de seguridad.</w:t>
      </w:r>
    </w:p>
    <w:p>
      <w:pPr>
        <w:pStyle w:val="Heading2"/>
        <w:spacing w:after="100" w:before="220"/>
      </w:pPr>
      <w:r>
        <w:rPr>
          <w:b/>
          <w:bCs/>
          <w:color w:val="1F2937"/>
          <w:sz w:val="24"/>
          <w:szCs w:val="24"/>
        </w:rPr>
        <w:t xml:space="preserve">Fases a Revisitar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00"/>
            <w:shd w:fill="1E3A5F" w:val="clear"/>
            <w:tcMar>
              <w:top w:type="dxa" w:w="80"/>
              <w:left w:type="dxa" w:w="100"/>
              <w:bottom w:type="dxa" w:w="80"/>
              <w:right w:type="dxa" w:w="100"/>
            </w:tcMar>
            <w:vAlign w:val="center"/>
          </w:tcPr>
          <w:p>
            <w:pPr>
              <w:jc w:val="left"/>
            </w:pPr>
            <w:r>
              <w:rPr>
                <w:b/>
                <w:bCs/>
                <w:color w:val="FFFFFF"/>
                <w:sz w:val="19"/>
                <w:szCs w:val="19"/>
              </w:rPr>
              <w:t xml:space="preserve">Fase</w:t>
            </w:r>
          </w:p>
        </w:tc>
        <w:tc>
          <w:tcPr>
            <w:tcW w:type="dxa" w:w="4200"/>
            <w:shd w:fill="1E3A5F" w:val="clear"/>
            <w:tcMar>
              <w:top w:type="dxa" w:w="80"/>
              <w:left w:type="dxa" w:w="100"/>
              <w:bottom w:type="dxa" w:w="80"/>
              <w:right w:type="dxa" w:w="100"/>
            </w:tcMar>
            <w:vAlign w:val="center"/>
          </w:tcPr>
          <w:p>
            <w:pPr>
              <w:jc w:val="left"/>
            </w:pPr>
            <w:r>
              <w:rPr>
                <w:b/>
                <w:bCs/>
                <w:color w:val="FFFFFF"/>
                <w:sz w:val="19"/>
                <w:szCs w:val="19"/>
              </w:rPr>
              <w:t xml:space="preserve">Motivo de revisión</w:t>
            </w:r>
          </w:p>
        </w:tc>
        <w:tc>
          <w:tcPr>
            <w:tcW w:type="dxa" w:w="3400"/>
            <w:shd w:fill="1E3A5F" w:val="clear"/>
            <w:tcMar>
              <w:top w:type="dxa" w:w="80"/>
              <w:left w:type="dxa" w:w="100"/>
              <w:bottom w:type="dxa" w:w="80"/>
              <w:right w:type="dxa" w:w="100"/>
            </w:tcMar>
            <w:vAlign w:val="center"/>
          </w:tcPr>
          <w:p>
            <w:pPr>
              <w:jc w:val="left"/>
            </w:pPr>
            <w:r>
              <w:rPr>
                <w:b/>
                <w:bCs/>
                <w:color w:val="FFFFFF"/>
                <w:sz w:val="19"/>
                <w:szCs w:val="19"/>
              </w:rPr>
              <w:t xml:space="preserve">Acción propuesta</w:t>
            </w:r>
          </w:p>
        </w:tc>
      </w:tr>
      <w:tr>
        <w:tc>
          <w:tcPr>
            <w:tcW w:type="dxa" w:w="1400"/>
            <w:tcMar>
              <w:top w:type="dxa" w:w="70"/>
              <w:left w:type="dxa" w:w="100"/>
              <w:bottom w:type="dxa" w:w="70"/>
              <w:right w:type="dxa" w:w="100"/>
            </w:tcMar>
            <w:vAlign w:val="center"/>
          </w:tcPr>
          <w:p>
            <w:pPr>
              <w:jc w:val="center"/>
            </w:pPr>
            <w:r>
              <w:rPr>
                <w:b/>
                <w:bCs/>
                <w:sz w:val="20"/>
                <w:szCs w:val="20"/>
              </w:rPr>
              <w:t xml:space="preserve">Fase A — Visión</w:t>
            </w:r>
          </w:p>
        </w:tc>
        <w:tc>
          <w:tcPr>
            <w:tcW w:type="dxa" w:w="4200"/>
            <w:tcMar>
              <w:top w:type="dxa" w:w="70"/>
              <w:left w:type="dxa" w:w="100"/>
              <w:bottom w:type="dxa" w:w="70"/>
              <w:right w:type="dxa" w:w="100"/>
            </w:tcMar>
            <w:vAlign w:val="center"/>
          </w:tcPr>
          <w:p>
            <w:pPr>
              <w:jc w:val="left"/>
            </w:pPr>
            <w:r>
              <w:rPr>
                <w:b w:val="false"/>
                <w:bCs w:val="false"/>
                <w:sz w:val="20"/>
                <w:szCs w:val="20"/>
              </w:rPr>
              <w:t xml:space="preserve">El alcance descrito en la versión PC3 (seguridad ciudadana / Serenazgo) no coincide con el alcance institucional amplio confirmado en el SoAW y en el Documento de Definición de Arquitectura vigentes.</w:t>
            </w:r>
          </w:p>
        </w:tc>
        <w:tc>
          <w:tcPr>
            <w:tcW w:type="dxa" w:w="3400"/>
            <w:tcMar>
              <w:top w:type="dxa" w:w="70"/>
              <w:left w:type="dxa" w:w="100"/>
              <w:bottom w:type="dxa" w:w="70"/>
              <w:right w:type="dxa" w:w="100"/>
            </w:tcMar>
            <w:vAlign w:val="center"/>
          </w:tcPr>
          <w:p>
            <w:pPr>
              <w:jc w:val="left"/>
            </w:pPr>
            <w:r>
              <w:rPr>
                <w:b w:val="false"/>
                <w:bCs w:val="false"/>
                <w:sz w:val="20"/>
                <w:szCs w:val="20"/>
              </w:rPr>
              <w:t xml:space="preserve">Emitir una adenda a la Architecture Vision que declare explícitamente el alcance vigente y el tratamiento del dominio de seguridad ciudadana (incluido, diferido o excluido).</w:t>
            </w:r>
          </w:p>
        </w:tc>
      </w:tr>
      <w:tr>
        <w:tc>
          <w:tcPr>
            <w:tcW w:type="dxa" w:w="1400"/>
            <w:shd w:fill="EAF0F6" w:val="clear"/>
            <w:tcMar>
              <w:top w:type="dxa" w:w="70"/>
              <w:left w:type="dxa" w:w="100"/>
              <w:bottom w:type="dxa" w:w="70"/>
              <w:right w:type="dxa" w:w="100"/>
            </w:tcMar>
            <w:vAlign w:val="center"/>
          </w:tcPr>
          <w:p>
            <w:pPr>
              <w:jc w:val="center"/>
            </w:pPr>
            <w:r>
              <w:rPr>
                <w:b/>
                <w:bCs/>
                <w:sz w:val="20"/>
                <w:szCs w:val="20"/>
              </w:rPr>
              <w:t xml:space="preserve">Fase B — Arquitectura de Negocio</w:t>
            </w:r>
          </w:p>
        </w:tc>
        <w:tc>
          <w:tcPr>
            <w:tcW w:type="dxa" w:w="4200"/>
            <w:shd w:fill="EAF0F6" w:val="clear"/>
            <w:tcMar>
              <w:top w:type="dxa" w:w="70"/>
              <w:left w:type="dxa" w:w="100"/>
              <w:bottom w:type="dxa" w:w="70"/>
              <w:right w:type="dxa" w:w="100"/>
            </w:tcMar>
            <w:vAlign w:val="center"/>
          </w:tcPr>
          <w:p>
            <w:pPr>
              <w:jc w:val="left"/>
            </w:pPr>
            <w:r>
              <w:rPr>
                <w:b w:val="false"/>
                <w:bCs w:val="false"/>
                <w:sz w:val="20"/>
                <w:szCs w:val="20"/>
              </w:rPr>
              <w:t xml:space="preserve">El catálogo de requisitos (RA-01 a RA-10) y el modelo de procesos no referencian los procesos de Serenazgo, fiscalización de seguridad ni gestión de emergencias descritos en el Modelo Organizativo original.</w:t>
            </w:r>
          </w:p>
        </w:tc>
        <w:tc>
          <w:tcPr>
            <w:tcW w:type="dxa" w:w="3400"/>
            <w:shd w:fill="EAF0F6" w:val="clear"/>
            <w:tcMar>
              <w:top w:type="dxa" w:w="70"/>
              <w:left w:type="dxa" w:w="100"/>
              <w:bottom w:type="dxa" w:w="70"/>
              <w:right w:type="dxa" w:w="100"/>
            </w:tcMar>
            <w:vAlign w:val="center"/>
          </w:tcPr>
          <w:p>
            <w:pPr>
              <w:jc w:val="left"/>
            </w:pPr>
            <w:r>
              <w:rPr>
                <w:b w:val="false"/>
                <w:bCs w:val="false"/>
                <w:sz w:val="20"/>
                <w:szCs w:val="20"/>
              </w:rPr>
              <w:t xml:space="preserve">Confirmar si los procesos de seguridad ciudadana se incorporan como un dominio adicional o se documentan como iniciativa fuera de alcance del proyecto académico.</w:t>
            </w:r>
          </w:p>
        </w:tc>
      </w:tr>
      <w:tr>
        <w:tc>
          <w:tcPr>
            <w:tcW w:type="dxa" w:w="1400"/>
            <w:tcMar>
              <w:top w:type="dxa" w:w="70"/>
              <w:left w:type="dxa" w:w="100"/>
              <w:bottom w:type="dxa" w:w="70"/>
              <w:right w:type="dxa" w:w="100"/>
            </w:tcMar>
            <w:vAlign w:val="center"/>
          </w:tcPr>
          <w:p>
            <w:pPr>
              <w:jc w:val="center"/>
            </w:pPr>
            <w:r>
              <w:rPr>
                <w:b/>
                <w:bCs/>
                <w:sz w:val="20"/>
                <w:szCs w:val="20"/>
              </w:rPr>
              <w:t xml:space="preserve">Fase C — Sistemas de Información</w:t>
            </w:r>
          </w:p>
        </w:tc>
        <w:tc>
          <w:tcPr>
            <w:tcW w:type="dxa" w:w="4200"/>
            <w:tcMar>
              <w:top w:type="dxa" w:w="70"/>
              <w:left w:type="dxa" w:w="100"/>
              <w:bottom w:type="dxa" w:w="70"/>
              <w:right w:type="dxa" w:w="100"/>
            </w:tcMar>
            <w:vAlign w:val="center"/>
          </w:tcPr>
          <w:p>
            <w:pPr>
              <w:jc w:val="left"/>
            </w:pPr>
            <w:r>
              <w:rPr>
                <w:b w:val="false"/>
                <w:bCs w:val="false"/>
                <w:sz w:val="20"/>
                <w:szCs w:val="20"/>
              </w:rPr>
              <w:t xml:space="preserve">Los requisitos de datos y aplicaciones (RA-01 a RA-03, RI-01, RI-02) cubren licencias/tributación/expedientes, pero no las capacidades de videovigilancia, IA de detección ni alertas ciudadanas mencionadas en el Modelo Organizativo.</w:t>
            </w:r>
          </w:p>
        </w:tc>
        <w:tc>
          <w:tcPr>
            <w:tcW w:type="dxa" w:w="3400"/>
            <w:tcMar>
              <w:top w:type="dxa" w:w="70"/>
              <w:left w:type="dxa" w:w="100"/>
              <w:bottom w:type="dxa" w:w="70"/>
              <w:right w:type="dxa" w:w="100"/>
            </w:tcMar>
            <w:vAlign w:val="center"/>
          </w:tcPr>
          <w:p>
            <w:pPr>
              <w:jc w:val="left"/>
            </w:pPr>
            <w:r>
              <w:rPr>
                <w:b w:val="false"/>
                <w:bCs w:val="false"/>
                <w:sz w:val="20"/>
                <w:szCs w:val="20"/>
              </w:rPr>
              <w:t xml:space="preserve">Evaluar si corresponde ampliar el catálogo de requisitos de Fase C o dejar constancia formal de exclusión con su respectiva justificación.</w:t>
            </w:r>
          </w:p>
        </w:tc>
      </w:tr>
    </w:tbl>
    <w:p>
      <w:pPr>
        <w:pStyle w:val="Heading2"/>
        <w:spacing w:after="100" w:before="220"/>
      </w:pPr>
      <w:r>
        <w:rPr>
          <w:b/>
          <w:bCs/>
          <w:color w:val="1F2937"/>
          <w:sz w:val="24"/>
          <w:szCs w:val="24"/>
        </w:rPr>
        <w:t xml:space="preserve">Fase que Debe Liderar la Priorización de Requisitos</w:t>
      </w:r>
    </w:p>
    <w:p>
      <w:pPr>
        <w:spacing w:after="160" w:line="300"/>
      </w:pPr>
      <w:r>
        <w:rPr>
          <w:i w:val="false"/>
          <w:iCs w:val="false"/>
          <w:sz w:val="21"/>
          <w:szCs w:val="21"/>
        </w:rPr>
        <w:t xml:space="preserve">Se recomienda que la Fase A (Architecture Vision) lidere la priorización de requisitos, dado que el desajuste se origina en la definición de alcance del negocio y no en un problema técnico de datos, aplicaciones o tecnología. El Comité de Arquitectura Empresarial, con el patrocinio de la Gerencia Municipal, debe validar la decisión antes de que las Fases D (Tecnología), E y F (Oportunidades, Soluciones y Migración) continúen su desarrollo.</w:t>
      </w:r>
    </w:p>
    <w:p>
      <w:pPr>
        <w:pStyle w:val="Heading2"/>
        <w:spacing w:after="100" w:before="220"/>
      </w:pPr>
      <w:r>
        <w:rPr>
          <w:b/>
          <w:bCs/>
          <w:color w:val="1F2937"/>
          <w:sz w:val="24"/>
          <w:szCs w:val="24"/>
        </w:rPr>
        <w:t xml:space="preserve">Resultados de la Investigación por Fase y Prioridades Revisadas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600"/>
            <w:shd w:fill="1E3A5F" w:val="clear"/>
            <w:tcMar>
              <w:top w:type="dxa" w:w="80"/>
              <w:left w:type="dxa" w:w="100"/>
              <w:bottom w:type="dxa" w:w="80"/>
              <w:right w:type="dxa" w:w="100"/>
            </w:tcMar>
            <w:vAlign w:val="center"/>
          </w:tcPr>
          <w:p>
            <w:pPr>
              <w:jc w:val="left"/>
            </w:pPr>
            <w:r>
              <w:rPr>
                <w:b/>
                <w:bCs/>
                <w:color w:val="FFFFFF"/>
                <w:sz w:val="19"/>
                <w:szCs w:val="19"/>
              </w:rPr>
              <w:t xml:space="preserve">Fase investigada</w:t>
            </w:r>
          </w:p>
        </w:tc>
        <w:tc>
          <w:tcPr>
            <w:tcW w:type="dxa" w:w="4400"/>
            <w:shd w:fill="1E3A5F" w:val="clear"/>
            <w:tcMar>
              <w:top w:type="dxa" w:w="80"/>
              <w:left w:type="dxa" w:w="100"/>
              <w:bottom w:type="dxa" w:w="80"/>
              <w:right w:type="dxa" w:w="100"/>
            </w:tcMar>
            <w:vAlign w:val="center"/>
          </w:tcPr>
          <w:p>
            <w:pPr>
              <w:jc w:val="left"/>
            </w:pPr>
            <w:r>
              <w:rPr>
                <w:b/>
                <w:bCs/>
                <w:color w:val="FFFFFF"/>
                <w:sz w:val="19"/>
                <w:szCs w:val="19"/>
              </w:rPr>
              <w:t xml:space="preserve">Resultado de la investigación</w:t>
            </w:r>
          </w:p>
        </w:tc>
        <w:tc>
          <w:tcPr>
            <w:tcW w:type="dxa" w:w="3000"/>
            <w:shd w:fill="1E3A5F" w:val="clear"/>
            <w:tcMar>
              <w:top w:type="dxa" w:w="80"/>
              <w:left w:type="dxa" w:w="100"/>
              <w:bottom w:type="dxa" w:w="80"/>
              <w:right w:type="dxa" w:w="100"/>
            </w:tcMar>
            <w:vAlign w:val="center"/>
          </w:tcPr>
          <w:p>
            <w:pPr>
              <w:jc w:val="left"/>
            </w:pPr>
            <w:r>
              <w:rPr>
                <w:b/>
                <w:bCs/>
                <w:color w:val="FFFFFF"/>
                <w:sz w:val="19"/>
                <w:szCs w:val="19"/>
              </w:rPr>
              <w:t xml:space="preserve">Prioridad revisada</w:t>
            </w:r>
          </w:p>
        </w:tc>
      </w:tr>
      <w:tr>
        <w:tc>
          <w:tcPr>
            <w:tcW w:type="dxa" w:w="1600"/>
            <w:tcMar>
              <w:top w:type="dxa" w:w="70"/>
              <w:left w:type="dxa" w:w="100"/>
              <w:bottom w:type="dxa" w:w="70"/>
              <w:right w:type="dxa" w:w="100"/>
            </w:tcMar>
            <w:vAlign w:val="center"/>
          </w:tcPr>
          <w:p>
            <w:pPr>
              <w:jc w:val="left"/>
            </w:pPr>
            <w:r>
              <w:rPr>
                <w:b/>
                <w:bCs/>
                <w:sz w:val="20"/>
                <w:szCs w:val="20"/>
              </w:rPr>
              <w:t xml:space="preserve">Fase A</w:t>
            </w:r>
          </w:p>
        </w:tc>
        <w:tc>
          <w:tcPr>
            <w:tcW w:type="dxa" w:w="4400"/>
            <w:tcMar>
              <w:top w:type="dxa" w:w="70"/>
              <w:left w:type="dxa" w:w="100"/>
              <w:bottom w:type="dxa" w:w="70"/>
              <w:right w:type="dxa" w:w="100"/>
            </w:tcMar>
            <w:vAlign w:val="center"/>
          </w:tcPr>
          <w:p>
            <w:pPr>
              <w:jc w:val="left"/>
            </w:pPr>
            <w:r>
              <w:rPr>
                <w:b w:val="false"/>
                <w:bCs w:val="false"/>
                <w:sz w:val="20"/>
                <w:szCs w:val="20"/>
              </w:rPr>
              <w:t xml:space="preserve">El SoAW v0.1 y la Architecture Vision vigente ya reflejan un alcance institucional amplio (mesa de partes, licencias, tributos, fiscalización, atención ciudadana), sin mención expresa de Serenazgo o videovigilancia. El material de la versión PC3 corresponde a un alcance preliminar de seguridad ciudadana que fue reemplazado en iteraciones posteriores.</w:t>
            </w:r>
          </w:p>
        </w:tc>
        <w:tc>
          <w:tcPr>
            <w:tcW w:type="dxa" w:w="3000"/>
            <w:tcMar>
              <w:top w:type="dxa" w:w="70"/>
              <w:left w:type="dxa" w:w="100"/>
              <w:bottom w:type="dxa" w:w="70"/>
              <w:right w:type="dxa" w:w="100"/>
            </w:tcMar>
            <w:vAlign w:val="center"/>
          </w:tcPr>
          <w:p>
            <w:pPr>
              <w:jc w:val="left"/>
            </w:pPr>
            <w:r>
              <w:rPr>
                <w:b w:val="false"/>
                <w:bCs w:val="false"/>
                <w:sz w:val="20"/>
                <w:szCs w:val="20"/>
              </w:rPr>
              <w:t xml:space="preserve">Alta — requiere adenda formal de alcance</w:t>
            </w:r>
          </w:p>
        </w:tc>
      </w:tr>
      <w:tr>
        <w:tc>
          <w:tcPr>
            <w:tcW w:type="dxa" w:w="1600"/>
            <w:shd w:fill="EAF0F6" w:val="clear"/>
            <w:tcMar>
              <w:top w:type="dxa" w:w="70"/>
              <w:left w:type="dxa" w:w="100"/>
              <w:bottom w:type="dxa" w:w="70"/>
              <w:right w:type="dxa" w:w="100"/>
            </w:tcMar>
            <w:vAlign w:val="center"/>
          </w:tcPr>
          <w:p>
            <w:pPr>
              <w:jc w:val="left"/>
            </w:pPr>
            <w:r>
              <w:rPr>
                <w:b/>
                <w:bCs/>
                <w:sz w:val="20"/>
                <w:szCs w:val="20"/>
              </w:rPr>
              <w:t xml:space="preserve">Fase B</w:t>
            </w:r>
          </w:p>
        </w:tc>
        <w:tc>
          <w:tcPr>
            <w:tcW w:type="dxa" w:w="4400"/>
            <w:shd w:fill="EAF0F6" w:val="clear"/>
            <w:tcMar>
              <w:top w:type="dxa" w:w="70"/>
              <w:left w:type="dxa" w:w="100"/>
              <w:bottom w:type="dxa" w:w="70"/>
              <w:right w:type="dxa" w:w="100"/>
            </w:tcMar>
            <w:vAlign w:val="center"/>
          </w:tcPr>
          <w:p>
            <w:pPr>
              <w:jc w:val="left"/>
            </w:pPr>
            <w:r>
              <w:rPr>
                <w:b w:val="false"/>
                <w:bCs w:val="false"/>
                <w:sz w:val="20"/>
                <w:szCs w:val="20"/>
              </w:rPr>
              <w:t xml:space="preserve">El catálogo RA-01…RA-10 y los contratos de servicio están alineados al alcance institucional amplio; no existen brechas internas dentro de esta fase.</w:t>
            </w:r>
          </w:p>
        </w:tc>
        <w:tc>
          <w:tcPr>
            <w:tcW w:type="dxa" w:w="3000"/>
            <w:shd w:fill="EAF0F6" w:val="clear"/>
            <w:tcMar>
              <w:top w:type="dxa" w:w="70"/>
              <w:left w:type="dxa" w:w="100"/>
              <w:bottom w:type="dxa" w:w="70"/>
              <w:right w:type="dxa" w:w="100"/>
            </w:tcMar>
            <w:vAlign w:val="center"/>
          </w:tcPr>
          <w:p>
            <w:pPr>
              <w:jc w:val="left"/>
            </w:pPr>
            <w:r>
              <w:rPr>
                <w:b w:val="false"/>
                <w:bCs w:val="false"/>
                <w:sz w:val="20"/>
                <w:szCs w:val="20"/>
              </w:rPr>
              <w:t xml:space="preserve">Media — solo requiere nota de trazabilidad</w:t>
            </w:r>
          </w:p>
        </w:tc>
      </w:tr>
      <w:tr>
        <w:tc>
          <w:tcPr>
            <w:tcW w:type="dxa" w:w="1600"/>
            <w:tcMar>
              <w:top w:type="dxa" w:w="70"/>
              <w:left w:type="dxa" w:w="100"/>
              <w:bottom w:type="dxa" w:w="70"/>
              <w:right w:type="dxa" w:w="100"/>
            </w:tcMar>
            <w:vAlign w:val="center"/>
          </w:tcPr>
          <w:p>
            <w:pPr>
              <w:jc w:val="left"/>
            </w:pPr>
            <w:r>
              <w:rPr>
                <w:b/>
                <w:bCs/>
                <w:sz w:val="20"/>
                <w:szCs w:val="20"/>
              </w:rPr>
              <w:t xml:space="preserve">Fase C</w:t>
            </w:r>
          </w:p>
        </w:tc>
        <w:tc>
          <w:tcPr>
            <w:tcW w:type="dxa" w:w="4400"/>
            <w:tcMar>
              <w:top w:type="dxa" w:w="70"/>
              <w:left w:type="dxa" w:w="100"/>
              <w:bottom w:type="dxa" w:w="70"/>
              <w:right w:type="dxa" w:w="100"/>
            </w:tcMar>
            <w:vAlign w:val="center"/>
          </w:tcPr>
          <w:p>
            <w:pPr>
              <w:jc w:val="left"/>
            </w:pPr>
            <w:r>
              <w:rPr>
                <w:b w:val="false"/>
                <w:bCs w:val="false"/>
                <w:sz w:val="20"/>
                <w:szCs w:val="20"/>
              </w:rPr>
              <w:t xml:space="preserve">La Especificación de Requisitos (Datos y Aplicaciones) es coherente con el alcance de Fase B, pero no cubre los sistemas de videovigilancia ni de detección por IA descritos en el Modelo Organizativo original.</w:t>
            </w:r>
          </w:p>
        </w:tc>
        <w:tc>
          <w:tcPr>
            <w:tcW w:type="dxa" w:w="3000"/>
            <w:tcMar>
              <w:top w:type="dxa" w:w="70"/>
              <w:left w:type="dxa" w:w="100"/>
              <w:bottom w:type="dxa" w:w="70"/>
              <w:right w:type="dxa" w:w="100"/>
            </w:tcMar>
            <w:vAlign w:val="center"/>
          </w:tcPr>
          <w:p>
            <w:pPr>
              <w:jc w:val="left"/>
            </w:pPr>
            <w:r>
              <w:rPr>
                <w:b w:val="false"/>
                <w:bCs w:val="false"/>
                <w:sz w:val="20"/>
                <w:szCs w:val="20"/>
              </w:rPr>
              <w:t xml:space="preserve">Media — decisión pendiente del Comité</w:t>
            </w:r>
          </w:p>
        </w:tc>
      </w:tr>
    </w:tbl>
    <w:p>
      <w:pPr>
        <w:pStyle w:val="Heading1"/>
        <w:pBdr>
          <w:bottom w:val="single" w:color="1E3A5F" w:sz="6" w:space="4"/>
        </w:pBdr>
        <w:spacing w:after="140" w:before="320"/>
      </w:pPr>
      <w:r>
        <w:rPr>
          <w:b/>
          <w:bCs/>
          <w:color w:val="1E3A5F"/>
          <w:sz w:val="28"/>
          <w:szCs w:val="28"/>
        </w:rPr>
        <w:t xml:space="preserve">Recomendaciones</w:t>
      </w:r>
    </w:p>
    <w:p>
      <w:pPr>
        <w:spacing w:after="160" w:line="300"/>
      </w:pPr>
      <w:r>
        <w:rPr>
          <w:i w:val="false"/>
          <w:iCs w:val="false"/>
          <w:sz w:val="21"/>
          <w:szCs w:val="21"/>
        </w:rPr>
        <w:t xml:space="preserve">A partir de la evaluación de impacto, se proponen las siguientes acciones para reconciliar el alcance del proyecto y preservar la integridad de los requisitos ya validados:</w:t>
      </w:r>
    </w:p>
    <w:p>
      <w:pPr>
        <w:pStyle w:val="ListParagraph"/>
        <w:numPr>
          <w:ilvl w:val="0"/>
          <w:numId w:val="1"/>
        </w:numPr>
        <w:spacing w:after="80"/>
      </w:pPr>
      <w:r>
        <w:rPr>
          <w:sz w:val="21"/>
          <w:szCs w:val="21"/>
        </w:rPr>
        <w:t xml:space="preserve">Formalizar el alcance institucional amplio (mesa de partes, licencias, tributos, fiscalización, atención ciudadana) como el alcance oficial y vigente del proyecto, mediante una adenda a la Architecture Vision (Fase A) firmada por el Comité de Arquitectura.</w:t>
      </w:r>
    </w:p>
    <w:p>
      <w:pPr>
        <w:pStyle w:val="ListParagraph"/>
        <w:numPr>
          <w:ilvl w:val="0"/>
          <w:numId w:val="1"/>
        </w:numPr>
        <w:spacing w:after="80"/>
      </w:pPr>
      <w:r>
        <w:rPr>
          <w:sz w:val="21"/>
          <w:szCs w:val="21"/>
        </w:rPr>
        <w:t xml:space="preserve">Documentar el dominio de seguridad ciudadana / Serenazgo de la versión PC3 como una iniciativa complementaria fuera del alcance actual, o como candidata a una futura fase de ampliación (post Fase H), evitando que quede como un requisito huérfano sin trazabilidad.</w:t>
      </w:r>
    </w:p>
    <w:p>
      <w:pPr>
        <w:pStyle w:val="ListParagraph"/>
        <w:numPr>
          <w:ilvl w:val="0"/>
          <w:numId w:val="1"/>
        </w:numPr>
        <w:spacing w:after="80"/>
      </w:pPr>
      <w:r>
        <w:rPr>
          <w:sz w:val="21"/>
          <w:szCs w:val="21"/>
        </w:rPr>
        <w:t xml:space="preserve">Actualizar la matriz de trazabilidad de requisitos (Fase B y Fase C) para dejar explícita la relación —o exclusión— de los objetivos BG-01 a BG-05 originales frente al catálogo RA/RI vigente.</w:t>
      </w:r>
    </w:p>
    <w:p>
      <w:pPr>
        <w:pStyle w:val="ListParagraph"/>
        <w:numPr>
          <w:ilvl w:val="0"/>
          <w:numId w:val="1"/>
        </w:numPr>
        <w:spacing w:after="80"/>
      </w:pPr>
      <w:r>
        <w:rPr>
          <w:sz w:val="21"/>
          <w:szCs w:val="21"/>
        </w:rPr>
        <w:t xml:space="preserve">Registrar este hallazgo como una Solicitud de Cambio adicional (Fase H) complementaria a la CR-001 ya emitida, referida específicamente a la delimitación de alcance, y no a la integración de sistemas.</w:t>
      </w:r>
    </w:p>
    <w:p>
      <w:pPr>
        <w:pStyle w:val="ListParagraph"/>
        <w:numPr>
          <w:ilvl w:val="0"/>
          <w:numId w:val="1"/>
        </w:numPr>
        <w:spacing w:after="80"/>
      </w:pPr>
      <w:r>
        <w:rPr>
          <w:sz w:val="21"/>
          <w:szCs w:val="21"/>
        </w:rPr>
        <w:t xml:space="preserve">Revalidar con la Gerencia de Seguridad Ciudadana si su incorporación es indispensable para la aceptación final del proyecto, dado que fue sponsor técnico en el Modelo Organizativo preliminar.</w:t>
      </w:r>
    </w:p>
    <w:p>
      <w:pPr>
        <w:pStyle w:val="Heading2"/>
        <w:spacing w:after="100" w:before="220"/>
      </w:pPr>
      <w:r>
        <w:rPr>
          <w:b/>
          <w:bCs/>
          <w:color w:val="1F2937"/>
          <w:sz w:val="24"/>
          <w:szCs w:val="24"/>
        </w:rPr>
        <w:t xml:space="preserve">Recomendaciones sobre la Gestión de Requisitos</w:t>
      </w:r>
    </w:p>
    <w:p>
      <w:pPr>
        <w:spacing w:after="160" w:line="300"/>
      </w:pPr>
      <w:r>
        <w:rPr>
          <w:i w:val="false"/>
          <w:iCs w:val="false"/>
          <w:sz w:val="21"/>
          <w:szCs w:val="21"/>
        </w:rPr>
        <w:t xml:space="preserve">Para prevenir futuros desajustes de alcance durante las fases restantes del ADM (D, E, F, G y H), se recomienda:</w:t>
      </w:r>
    </w:p>
    <w:p>
      <w:pPr>
        <w:pStyle w:val="ListParagraph"/>
        <w:numPr>
          <w:ilvl w:val="0"/>
          <w:numId w:val="1"/>
        </w:numPr>
        <w:spacing w:after="80"/>
      </w:pPr>
      <w:r>
        <w:rPr>
          <w:sz w:val="21"/>
          <w:szCs w:val="21"/>
        </w:rPr>
        <w:t xml:space="preserve">Mantener una única fuente de verdad para el alcance del proyecto (Repositorio de Arquitectura) y versionar cualquier cambio mediante control de versiones explícito (v0.1 → v1.0), evitando que coexistan documentos con alcances distintos sin reconciliar.</w:t>
      </w:r>
    </w:p>
    <w:p>
      <w:pPr>
        <w:pStyle w:val="ListParagraph"/>
        <w:numPr>
          <w:ilvl w:val="0"/>
          <w:numId w:val="1"/>
        </w:numPr>
        <w:spacing w:after="80"/>
      </w:pPr>
      <w:r>
        <w:rPr>
          <w:sz w:val="21"/>
          <w:szCs w:val="21"/>
        </w:rPr>
        <w:t xml:space="preserve">Incorporar un punto de control de alineamiento cruzado al cierre de cada fase del ADM (Preliminar, A, B, C…) que compare el alcance vigente contra los entregables de fases anteriores.</w:t>
      </w:r>
    </w:p>
    <w:p>
      <w:pPr>
        <w:pStyle w:val="ListParagraph"/>
        <w:numPr>
          <w:ilvl w:val="0"/>
          <w:numId w:val="1"/>
        </w:numPr>
        <w:spacing w:after="80"/>
      </w:pPr>
      <w:r>
        <w:rPr>
          <w:sz w:val="21"/>
          <w:szCs w:val="21"/>
        </w:rPr>
        <w:t xml:space="preserve">Asignar un identificador único y trazable a cada requisito desde su primera aparición (Fase A, B o C) para facilitar el seguimiento cuando el alcance se ajuste.</w:t>
      </w:r>
    </w:p>
    <w:p>
      <w:pPr>
        <w:pStyle w:val="ListParagraph"/>
        <w:numPr>
          <w:ilvl w:val="0"/>
          <w:numId w:val="1"/>
        </w:numPr>
        <w:spacing w:after="80"/>
      </w:pPr>
      <w:r>
        <w:rPr>
          <w:sz w:val="21"/>
          <w:szCs w:val="21"/>
        </w:rPr>
        <w:t xml:space="preserve">Someter cualquier requisito nuevo o modificado —como los relacionados a seguridad ciudadana— al mismo proceso RACI definido en la Fase Preliminar (Comité de Arquitectura como Accountable) antes de incorporarlo a fases posteriores.</w:t>
      </w:r>
    </w:p>
    <w:p>
      <w:pPr>
        <w:pStyle w:val="Heading1"/>
        <w:pBdr>
          <w:bottom w:val="single" w:color="1E3A5F" w:sz="6" w:space="4"/>
        </w:pBdr>
        <w:spacing w:after="140" w:before="320"/>
      </w:pPr>
      <w:r>
        <w:rPr>
          <w:b/>
          <w:bCs/>
          <w:color w:val="1E3A5F"/>
          <w:sz w:val="28"/>
          <w:szCs w:val="28"/>
        </w:rPr>
        <w:t xml:space="preserve">Número de Referencia del Repositorio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shd w:fill="EAF0F6" w:val="clear"/>
            <w:tcMar>
              <w:top w:type="dxa" w:w="70"/>
              <w:left w:type="dxa" w:w="100"/>
              <w:bottom w:type="dxa" w:w="70"/>
              <w:right w:type="dxa" w:w="100"/>
            </w:tcMar>
            <w:vAlign w:val="center"/>
          </w:tcPr>
          <w:p>
            <w:pPr>
              <w:jc w:val="left"/>
            </w:pPr>
            <w:r>
              <w:rPr>
                <w:b/>
                <w:bCs/>
                <w:sz w:val="20"/>
                <w:szCs w:val="20"/>
              </w:rPr>
              <w:t xml:space="preserve">Referencia:</w:t>
            </w:r>
          </w:p>
        </w:tc>
        <w:tc>
          <w:tcPr>
            <w:tcW w:type="dxa" w:w="3300"/>
            <w:tcMar>
              <w:top w:type="dxa" w:w="70"/>
              <w:left w:type="dxa" w:w="100"/>
              <w:bottom w:type="dxa" w:w="70"/>
              <w:right w:type="dxa" w:w="100"/>
            </w:tcMar>
            <w:vAlign w:val="center"/>
          </w:tcPr>
          <w:p>
            <w:pPr>
              <w:jc w:val="left"/>
            </w:pPr>
            <w:r>
              <w:rPr>
                <w:b w:val="false"/>
                <w:bCs w:val="false"/>
                <w:sz w:val="20"/>
                <w:szCs w:val="20"/>
              </w:rPr>
              <w:t xml:space="preserve">AE-MML-RIA-001</w:t>
            </w:r>
          </w:p>
        </w:tc>
        <w:tc>
          <w:tcPr>
            <w:tcW w:type="dxa" w:w="1600"/>
            <w:shd w:fill="EAF0F6" w:val="clear"/>
            <w:tcMar>
              <w:top w:type="dxa" w:w="70"/>
              <w:left w:type="dxa" w:w="100"/>
              <w:bottom w:type="dxa" w:w="70"/>
              <w:right w:type="dxa" w:w="100"/>
            </w:tcMar>
            <w:vAlign w:val="center"/>
          </w:tcPr>
          <w:p>
            <w:pPr>
              <w:jc w:val="left"/>
            </w:pPr>
            <w:r>
              <w:rPr>
                <w:b/>
                <w:bCs/>
                <w:sz w:val="20"/>
                <w:szCs w:val="20"/>
              </w:rPr>
              <w:t xml:space="preserve">Vinculado a:</w:t>
            </w:r>
          </w:p>
        </w:tc>
        <w:tc>
          <w:tcPr>
            <w:tcW w:type="dxa" w:w="1700"/>
            <w:tcMar>
              <w:top w:type="dxa" w:w="70"/>
              <w:left w:type="dxa" w:w="100"/>
              <w:bottom w:type="dxa" w:w="70"/>
              <w:right w:type="dxa" w:w="100"/>
            </w:tcMar>
            <w:vAlign w:val="center"/>
          </w:tcPr>
          <w:p>
            <w:pPr>
              <w:jc w:val="left"/>
            </w:pPr>
            <w:r>
              <w:rPr>
                <w:b w:val="false"/>
                <w:bCs w:val="false"/>
                <w:sz w:val="20"/>
                <w:szCs w:val="20"/>
              </w:rPr>
              <w:t xml:space="preserve">CR-001 (Fase H) — complementario</w:t>
            </w:r>
          </w:p>
        </w:tc>
      </w:tr>
      <w:tr>
        <w:tc>
          <w:tcPr>
            <w:tcW w:type="dxa" w:w="2600"/>
            <w:shd w:fill="EAF0F6" w:val="clear"/>
            <w:tcMar>
              <w:top w:type="dxa" w:w="70"/>
              <w:left w:type="dxa" w:w="100"/>
              <w:bottom w:type="dxa" w:w="70"/>
              <w:right w:type="dxa" w:w="100"/>
            </w:tcMar>
            <w:vAlign w:val="center"/>
          </w:tcPr>
          <w:p>
            <w:pPr>
              <w:jc w:val="left"/>
            </w:pPr>
            <w:r>
              <w:rPr>
                <w:b/>
                <w:bCs/>
                <w:sz w:val="20"/>
                <w:szCs w:val="20"/>
              </w:rPr>
              <w:t xml:space="preserve">Repositorio:</w:t>
            </w:r>
          </w:p>
        </w:tc>
        <w:tc>
          <w:tcPr>
            <w:tcW w:type="dxa" w:w="3300"/>
            <w:tcMar>
              <w:top w:type="dxa" w:w="70"/>
              <w:left w:type="dxa" w:w="100"/>
              <w:bottom w:type="dxa" w:w="70"/>
              <w:right w:type="dxa" w:w="100"/>
            </w:tcMar>
            <w:vAlign w:val="center"/>
          </w:tcPr>
          <w:p>
            <w:pPr>
              <w:jc w:val="left"/>
            </w:pPr>
            <w:r>
              <w:rPr>
                <w:b w:val="false"/>
                <w:bCs w:val="false"/>
                <w:sz w:val="20"/>
                <w:szCs w:val="20"/>
              </w:rPr>
              <w:t xml:space="preserve">Repositorio de Arquitectura Empresarial — MML (ver Fase Preliminar)</w:t>
            </w:r>
          </w:p>
        </w:tc>
        <w:tc>
          <w:tcPr>
            <w:tcW w:type="dxa" w:w="1600"/>
            <w:shd w:fill="EAF0F6" w:val="clear"/>
            <w:tcMar>
              <w:top w:type="dxa" w:w="70"/>
              <w:left w:type="dxa" w:w="100"/>
              <w:bottom w:type="dxa" w:w="70"/>
              <w:right w:type="dxa" w:w="100"/>
            </w:tcMar>
            <w:vAlign w:val="center"/>
          </w:tcPr>
          <w:p>
            <w:pPr>
              <w:jc w:val="left"/>
            </w:pPr>
            <w:r>
              <w:rPr>
                <w:b/>
                <w:bCs/>
                <w:sz w:val="20"/>
                <w:szCs w:val="20"/>
              </w:rPr>
              <w:t xml:space="preserve">Estado:</w:t>
            </w:r>
          </w:p>
        </w:tc>
        <w:tc>
          <w:tcPr>
            <w:tcW w:type="dxa" w:w="1700"/>
            <w:tcMar>
              <w:top w:type="dxa" w:w="70"/>
              <w:left w:type="dxa" w:w="100"/>
              <w:bottom w:type="dxa" w:w="70"/>
              <w:right w:type="dxa" w:w="100"/>
            </w:tcMar>
            <w:vAlign w:val="center"/>
          </w:tcPr>
          <w:p>
            <w:pPr>
              <w:jc w:val="left"/>
            </w:pPr>
            <w:r>
              <w:rPr>
                <w:b w:val="false"/>
                <w:bCs w:val="false"/>
                <w:sz w:val="20"/>
                <w:szCs w:val="20"/>
              </w:rPr>
              <w:t xml:space="preserve">Pendiente de aprobación por el Comité de AE</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Página </w:t>
    </w:r>
    <w:r>
      <w:rPr>
        <w:color w:val="9CA3AF"/>
        <w:sz w:val="16"/>
        <w:szCs w:val="16"/>
      </w:rPr>
      <w:fldChar w:fldCharType="begin"/>
      <w:instrText xml:space="preserve">PAGE</w:instrText>
      <w:fldChar w:fldCharType="separate"/>
      <w:fldChar w:fldCharType="end"/>
    </w:r>
    <w:r>
      <w:rPr>
        <w:color w:val="9CA3AF"/>
        <w:sz w:val="16"/>
        <w:szCs w:val="16"/>
      </w:rPr>
      <w:t xml:space="preserve"> de </w:t>
    </w:r>
    <w:r>
      <w:rPr>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TOGAF 9 · Requirements Impact Assessment · MML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Impact Assessment — Municipalidad Metropolitana de Lima</dc:title>
  <dc:subject>TOGAF 9 — Gestión de Requisitos</dc:subject>
  <dc:creator>Grupo 3 — Equipo de Arquitectura Empresarial FIIS-UNI</dc:creator>
  <cp:lastModifiedBy>Un-named</cp:lastModifiedBy>
  <cp:revision>1</cp:revision>
  <dcterms:created xsi:type="dcterms:W3CDTF">2026-07-02T00:20:30.379Z</dcterms:created>
  <dcterms:modified xsi:type="dcterms:W3CDTF">2026-07-02T00:20:30.379Z</dcterms:modified>
</cp:coreProperties>
</file>

<file path=docProps/custom.xml><?xml version="1.0" encoding="utf-8"?>
<Properties xmlns="http://schemas.openxmlformats.org/officeDocument/2006/custom-properties" xmlns:vt="http://schemas.openxmlformats.org/officeDocument/2006/docPropsVTypes"/>
</file>