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8B8B" w:sz="12" w:space="8"/>
        </w:pBdr>
        <w:spacing w:after="0" w:before="1400"/>
        <w:jc w:val="center"/>
      </w:pPr>
      <w:r>
        <w:rPr>
          <w:rFonts w:ascii="Arial" w:cs="Arial" w:eastAsia="Arial" w:hAnsi="Arial"/>
          <w:b/>
          <w:bCs/>
          <w:color w:val="5B2C87"/>
          <w:sz w:val="52"/>
          <w:szCs w:val="52"/>
        </w:rPr>
        <w:t xml:space="preserve">CAPABILITY ASSESSMENT</w:t>
      </w:r>
    </w:p>
    <w:p>
      <w:pPr>
        <w:spacing w:after="60" w:before="240"/>
        <w:jc w:val="center"/>
      </w:pPr>
      <w:r>
        <w:rPr>
          <w:rFonts w:ascii="Arial" w:cs="Arial" w:eastAsia="Arial" w:hAnsi="Arial"/>
          <w:b/>
          <w:bCs/>
          <w:color w:val="2E8B8B"/>
          <w:sz w:val="28"/>
          <w:szCs w:val="28"/>
        </w:rPr>
        <w:t xml:space="preserve">Evaluación de Capacidad — TOGAF 9 · Fase A (ADM)</w:t>
      </w:r>
    </w:p>
    <w:p>
      <w:pPr>
        <w:spacing w:after="40"/>
        <w:jc w:val="center"/>
      </w:pPr>
      <w:r>
        <w:rPr>
          <w:rFonts w:ascii="Arial" w:cs="Arial" w:eastAsia="Arial" w:hAnsi="Arial"/>
          <w:sz w:val="24"/>
          <w:szCs w:val="24"/>
        </w:rPr>
        <w:t xml:space="preserve">Proyecto: Aplicación de TOGAF a la Municipalidad Metropolitana de Lima</w:t>
      </w:r>
    </w:p>
    <w:p>
      <w:pPr>
        <w:spacing w:after="600"/>
        <w:jc w:val="center"/>
      </w:pPr>
      <w:r>
        <w:rPr>
          <w:rFonts w:ascii="Arial" w:cs="Arial" w:eastAsia="Arial" w:hAnsi="Arial"/>
          <w:color w:val="555555"/>
          <w:sz w:val="24"/>
          <w:szCs w:val="24"/>
        </w:rPr>
        <w:t xml:space="preserve">Cliente: Municipalidad Metropolitana de Lima (MML)</w:t>
      </w:r>
    </w:p>
    <w:p>
      <w:pPr>
        <w:spacing w:after="30"/>
        <w:jc w:val="center"/>
      </w:pPr>
      <w:r>
        <w:rPr>
          <w:rFonts w:ascii="Arial" w:cs="Arial" w:eastAsia="Arial" w:hAnsi="Arial"/>
          <w:sz w:val="22"/>
          <w:szCs w:val="22"/>
        </w:rPr>
        <w:t xml:space="preserve">Universidad Nacional de Ingeniería — FIIS</w:t>
      </w:r>
    </w:p>
    <w:p>
      <w:pPr>
        <w:spacing w:after="30"/>
        <w:jc w:val="center"/>
      </w:pPr>
      <w:r>
        <w:rPr>
          <w:rFonts w:ascii="Arial" w:cs="Arial" w:eastAsia="Arial" w:hAnsi="Arial"/>
          <w:sz w:val="22"/>
          <w:szCs w:val="22"/>
        </w:rPr>
        <w:t xml:space="preserve">Curso SI605U — Arquitectura Empresarial</w:t>
      </w:r>
    </w:p>
    <w:p>
      <w:pPr>
        <w:spacing w:after="600"/>
        <w:jc w:val="center"/>
      </w:pPr>
      <w:r>
        <w:rPr>
          <w:rFonts w:ascii="Arial" w:cs="Arial" w:eastAsia="Arial" w:hAnsi="Arial"/>
          <w:color w:val="555555"/>
          <w:sz w:val="22"/>
          <w:szCs w:val="22"/>
        </w:rPr>
        <w:t xml:space="preserve">Docente: Tobías Enrique Aliaga Vilchez</w:t>
      </w:r>
    </w:p>
    <w:p>
      <w:pPr>
        <w:spacing w:after="30"/>
        <w:jc w:val="center"/>
      </w:pPr>
      <w:r>
        <w:rPr>
          <w:rFonts w:ascii="Arial" w:cs="Arial" w:eastAsia="Arial" w:hAnsi="Arial"/>
          <w:b/>
          <w:bCs/>
          <w:color w:val="5B2C87"/>
          <w:sz w:val="22"/>
          <w:szCs w:val="22"/>
        </w:rPr>
        <w:t xml:space="preserve">Versión 0.1 (Borrador)</w:t>
      </w:r>
    </w:p>
    <w:p>
      <w:pPr>
        <w:jc w:val="center"/>
      </w:pPr>
      <w:r>
        <w:rPr>
          <w:rFonts w:ascii="Arial" w:cs="Arial" w:eastAsia="Arial" w:hAnsi="Arial"/>
          <w:color w:val="777777"/>
          <w:sz w:val="20"/>
          <w:szCs w:val="20"/>
        </w:rPr>
        <w:t xml:space="preserve">Lima, junio de 2026</w:t>
      </w:r>
    </w:p>
    <w:p>
      <w:r>
        <w:br w:type="page"/>
      </w:r>
    </w:p>
    <w:p>
      <w:pPr>
        <w:spacing w:after="120"/>
      </w:pPr>
      <w:r>
        <w:rPr>
          <w:rFonts w:ascii="Arial" w:cs="Arial" w:eastAsia="Arial" w:hAnsi="Arial"/>
          <w:b/>
          <w:bCs/>
          <w:color w:val="5B2C87"/>
          <w:sz w:val="28"/>
          <w:szCs w:val="28"/>
        </w:rPr>
        <w:t xml:space="preserve">Información del Documento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13"/>
        <w:gridCol w:w="2300"/>
        <w:gridCol w:w="2213"/>
      </w:tblGrid>
      <w:tr>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bCs/>
                <w:sz w:val="20"/>
                <w:szCs w:val="20"/>
              </w:rPr>
              <w:t xml:space="preserve">Nombre del Proyecto:</w:t>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Aplicación de TOGAF a la MML</w:t>
            </w:r>
          </w:p>
        </w:tc>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
            </w:r>
          </w:p>
        </w:tc>
      </w:tr>
      <w:tr>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bCs/>
                <w:sz w:val="20"/>
                <w:szCs w:val="20"/>
              </w:rPr>
              <w:t xml:space="preserve">Elaborado por:</w:t>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Equipo SI605U (7 integrantes)</w:t>
            </w:r>
          </w:p>
        </w:tc>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bCs/>
                <w:sz w:val="20"/>
                <w:szCs w:val="20"/>
              </w:rPr>
              <w:t xml:space="preserve">N.° de Versión:</w:t>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0.1</w:t>
            </w:r>
          </w:p>
        </w:tc>
      </w:tr>
      <w:tr>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bCs/>
                <w:sz w:val="20"/>
                <w:szCs w:val="20"/>
              </w:rPr>
              <w:t xml:space="preserve">Título:</w:t>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Capability Assessment</w:t>
            </w:r>
          </w:p>
        </w:tc>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bCs/>
                <w:sz w:val="20"/>
                <w:szCs w:val="20"/>
              </w:rPr>
              <w:t xml:space="preserve">Fecha de Versión:</w:t>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Junio 2026</w:t>
            </w:r>
          </w:p>
        </w:tc>
      </w:tr>
      <w:tr>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bCs/>
                <w:sz w:val="20"/>
                <w:szCs w:val="20"/>
              </w:rPr>
              <w:t xml:space="preserve">Revisado por:</w:t>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Docente del curso</w:t>
            </w:r>
          </w:p>
        </w:tc>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bCs/>
                <w:sz w:val="20"/>
                <w:szCs w:val="20"/>
              </w:rPr>
              <w:t xml:space="preserve">Fecha de Revisión:</w:t>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w:t>
            </w:r>
          </w:p>
        </w:tc>
      </w:tr>
    </w:tbl>
    <w:p>
      <w:pPr>
        <w:spacing w:after="160"/>
      </w:pPr>
    </w:p>
    <w:p>
      <w:pPr>
        <w:spacing w:after="100"/>
      </w:pPr>
      <w:r>
        <w:rPr>
          <w:rFonts w:ascii="Arial" w:cs="Arial" w:eastAsia="Arial" w:hAnsi="Arial"/>
          <w:b/>
          <w:bCs/>
          <w:color w:val="5B2C87"/>
          <w:sz w:val="28"/>
          <w:szCs w:val="28"/>
        </w:rPr>
        <w:t xml:space="preserve">Lista de Distribución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8"/>
        <w:gridCol w:w="3009"/>
      </w:tblGrid>
      <w:tr>
        <w:trPr>
          <w:tblHeader/>
        </w:trPr>
        <w:tc>
          <w:tcPr>
            <w:tcW w:type="dxa" w:w="3009"/>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De</w:t>
            </w:r>
          </w:p>
        </w:tc>
        <w:tc>
          <w:tcPr>
            <w:tcW w:type="dxa" w:w="3008"/>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Fecha</w:t>
            </w:r>
          </w:p>
        </w:tc>
        <w:tc>
          <w:tcPr>
            <w:tcW w:type="dxa" w:w="3009"/>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Teléfono / Correo</w:t>
            </w:r>
          </w:p>
        </w:tc>
      </w:tr>
      <w:tr>
        <w:tc>
          <w:tcPr>
            <w:tcW w:type="dxa" w:w="3009"/>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Arquitecto Empresarial Principal</w:t>
            </w:r>
          </w:p>
        </w:tc>
        <w:tc>
          <w:tcPr>
            <w:tcW w:type="dxa" w:w="3008"/>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Junio 2026</w:t>
            </w:r>
          </w:p>
        </w:tc>
        <w:tc>
          <w:tcPr>
            <w:tcW w:type="dxa" w:w="3009"/>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ae.principal@munlima.gob.pe</w:t>
            </w:r>
          </w:p>
        </w:tc>
      </w:tr>
      <w:tr>
        <w:tc>
          <w:tcPr>
            <w:tcW w:type="dxa" w:w="3009"/>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Equipo de Arquitectura Empresarial</w:t>
            </w:r>
          </w:p>
        </w:tc>
        <w:tc>
          <w:tcPr>
            <w:tcW w:type="dxa" w:w="3008"/>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Junio 2026</w:t>
            </w:r>
          </w:p>
        </w:tc>
        <w:tc>
          <w:tcPr>
            <w:tcW w:type="dxa" w:w="3009"/>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equipo.ae@munlima.gob.pe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80"/>
        <w:gridCol w:w="1800"/>
        <w:gridCol w:w="1800"/>
        <w:gridCol w:w="2446"/>
      </w:tblGrid>
      <w:tr>
        <w:trPr>
          <w:tblHeader/>
        </w:trPr>
        <w:tc>
          <w:tcPr>
            <w:tcW w:type="dxa" w:w="2980"/>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Para</w:t>
            </w:r>
          </w:p>
        </w:tc>
        <w:tc>
          <w:tcPr>
            <w:tcW w:type="dxa" w:w="1800"/>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Acción*</w:t>
            </w:r>
          </w:p>
        </w:tc>
        <w:tc>
          <w:tcPr>
            <w:tcW w:type="dxa" w:w="1800"/>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Fecha Límite</w:t>
            </w:r>
          </w:p>
        </w:tc>
        <w:tc>
          <w:tcPr>
            <w:tcW w:type="dxa" w:w="2446"/>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Teléfono / Correo</w:t>
            </w:r>
          </w:p>
        </w:tc>
      </w:tr>
      <w:tr>
        <w:tc>
          <w:tcPr>
            <w:tcW w:type="dxa" w:w="298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Comité de Arquitectura Empresarial</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Aprobar</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Junio 2026</w:t>
            </w:r>
          </w:p>
        </w:tc>
        <w:tc>
          <w:tcPr>
            <w:tcW w:type="dxa" w:w="244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comite.ae@munlima.gob.pe</w:t>
            </w:r>
          </w:p>
        </w:tc>
      </w:tr>
      <w:tr>
        <w:tc>
          <w:tcPr>
            <w:tcW w:type="dxa" w:w="298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Gerencia de Tecnologías de la Información</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Revisar</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Junio 2026</w:t>
            </w:r>
          </w:p>
        </w:tc>
        <w:tc>
          <w:tcPr>
            <w:tcW w:type="dxa" w:w="244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gti@munlima.gob.pe</w:t>
            </w:r>
          </w:p>
        </w:tc>
      </w:tr>
      <w:tr>
        <w:tc>
          <w:tcPr>
            <w:tcW w:type="dxa" w:w="298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Gerencia de Planificación</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Informar</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Junio 2026</w:t>
            </w:r>
          </w:p>
        </w:tc>
        <w:tc>
          <w:tcPr>
            <w:tcW w:type="dxa" w:w="244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planificacion@munlima.gob.pe</w:t>
            </w:r>
          </w:p>
        </w:tc>
      </w:tr>
      <w:tr>
        <w:tc>
          <w:tcPr>
            <w:tcW w:type="dxa" w:w="298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Docente del curso SI605U</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Revisar</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Junio 2026</w:t>
            </w:r>
          </w:p>
        </w:tc>
        <w:tc>
          <w:tcPr>
            <w:tcW w:type="dxa" w:w="244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w:t>
            </w:r>
          </w:p>
        </w:tc>
      </w:tr>
    </w:tbl>
    <w:p>
      <w:pPr>
        <w:spacing w:after="200" w:before="60"/>
      </w:pPr>
      <w:r>
        <w:rPr>
          <w:rFonts w:ascii="Arial" w:cs="Arial" w:eastAsia="Arial" w:hAnsi="Arial"/>
          <w:i/>
          <w:iCs/>
          <w:color w:val="666666"/>
          <w:sz w:val="18"/>
          <w:szCs w:val="18"/>
        </w:rPr>
        <w:t xml:space="preserve">* Tipos de acción: Aprobar, Revisar, Informar, Archivar, Acción Requerida, Asistir a Reunión, Otro.</w:t>
      </w:r>
    </w:p>
    <w:p>
      <w:pPr>
        <w:spacing w:after="100"/>
      </w:pPr>
      <w:r>
        <w:rPr>
          <w:rFonts w:ascii="Arial" w:cs="Arial" w:eastAsia="Arial" w:hAnsi="Arial"/>
          <w:b/>
          <w:bCs/>
          <w:color w:val="5B2C87"/>
          <w:sz w:val="28"/>
          <w:szCs w:val="28"/>
        </w:rPr>
        <w:t xml:space="preserve">Historial de Versiones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300"/>
        <w:gridCol w:w="2526"/>
        <w:gridCol w:w="1500"/>
      </w:tblGrid>
      <w:tr>
        <w:trPr>
          <w:tblHeader/>
        </w:trPr>
        <w:tc>
          <w:tcPr>
            <w:tcW w:type="dxa" w:w="12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Ver. N.°</w:t>
            </w:r>
          </w:p>
        </w:tc>
        <w:tc>
          <w:tcPr>
            <w:tcW w:type="dxa" w:w="15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Fecha</w:t>
            </w:r>
          </w:p>
        </w:tc>
        <w:tc>
          <w:tcPr>
            <w:tcW w:type="dxa" w:w="23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Revisado por</w:t>
            </w:r>
          </w:p>
        </w:tc>
        <w:tc>
          <w:tcPr>
            <w:tcW w:type="dxa" w:w="2526"/>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Descripción</w:t>
            </w:r>
          </w:p>
        </w:tc>
        <w:tc>
          <w:tcPr>
            <w:tcW w:type="dxa" w:w="15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Archivo</w:t>
            </w:r>
          </w:p>
        </w:tc>
      </w:tr>
      <w:tr>
        <w:tc>
          <w:tcPr>
            <w:tcW w:type="dxa" w:w="1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0.1</w:t>
            </w:r>
          </w:p>
        </w:tc>
        <w:tc>
          <w:tcPr>
            <w:tcW w:type="dxa" w:w="15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Jun 2026</w:t>
            </w:r>
          </w:p>
        </w:tc>
        <w:tc>
          <w:tcPr>
            <w:tcW w:type="dxa" w:w="23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Equipo SI605U</w:t>
            </w:r>
          </w:p>
        </w:tc>
        <w:tc>
          <w:tcPr>
            <w:tcW w:type="dxa" w:w="25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Versión inicial (borrador) de la Evaluación de Capacidad para la MML</w:t>
            </w:r>
          </w:p>
        </w:tc>
        <w:tc>
          <w:tcPr>
            <w:tcW w:type="dxa" w:w="15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Capability_Assessment_v0.1</w:t>
            </w:r>
          </w:p>
        </w:tc>
      </w:tr>
    </w:tbl>
    <w:p>
      <w:r>
        <w:br w:type="page"/>
      </w:r>
    </w:p>
    <w:p>
      <w:pPr>
        <w:spacing w:after="200"/>
      </w:pPr>
      <w:r>
        <w:rPr>
          <w:rFonts w:ascii="Arial" w:cs="Arial" w:eastAsia="Arial" w:hAnsi="Arial"/>
          <w:b/>
          <w:bCs/>
          <w:color w:val="5B2C87"/>
          <w:sz w:val="30"/>
          <w:szCs w:val="30"/>
        </w:rPr>
        <w:t xml:space="preserve">Tabla de Contenido</w:t>
      </w:r>
    </w:p>
    <w:p>
      <w:pPr>
        <w:tabs>
          <w:tab w:val="right" w:pos="9026" w:leader="dot"/>
        </w:tabs>
        <w:spacing w:after="50" w:before="80" w:line="264"/>
        <w:ind w:left="0"/>
      </w:pPr>
      <w:hyperlink w:history="1" w:anchor="s1">
        <w:r>
          <w:rPr>
            <w:rFonts w:ascii="Arial" w:cs="Arial" w:eastAsia="Arial" w:hAnsi="Arial"/>
            <w:b/>
            <w:bCs/>
            <w:color w:val="5B2C87"/>
            <w:sz w:val="22"/>
            <w:szCs w:val="22"/>
          </w:rPr>
          <w:t xml:space="preserve">1  Propósito del Documento</w:t>
        </w:r>
      </w:hyperlink>
      <w:r>
        <w:rPr>
          <w:rFonts w:ascii="Arial" w:cs="Arial" w:eastAsia="Arial" w:hAnsi="Arial"/>
          <w:color w:val="555555"/>
          <w:sz w:val="22"/>
          <w:szCs w:val="22"/>
        </w:rPr>
        <w:t xml:space="preserve">	4</w:t>
      </w:r>
    </w:p>
    <w:p>
      <w:pPr>
        <w:tabs>
          <w:tab w:val="right" w:pos="9026" w:leader="dot"/>
        </w:tabs>
        <w:spacing w:after="50" w:before="80" w:line="264"/>
        <w:ind w:left="0"/>
      </w:pPr>
      <w:hyperlink w:history="1" w:anchor="s2">
        <w:r>
          <w:rPr>
            <w:rFonts w:ascii="Arial" w:cs="Arial" w:eastAsia="Arial" w:hAnsi="Arial"/>
            <w:b/>
            <w:bCs/>
            <w:color w:val="5B2C87"/>
            <w:sz w:val="22"/>
            <w:szCs w:val="22"/>
          </w:rPr>
          <w:t xml:space="preserve">2  Evaluación de Capacidades de Negocio</w:t>
        </w:r>
      </w:hyperlink>
      <w:r>
        <w:rPr>
          <w:rFonts w:ascii="Arial" w:cs="Arial" w:eastAsia="Arial" w:hAnsi="Arial"/>
          <w:color w:val="555555"/>
          <w:sz w:val="22"/>
          <w:szCs w:val="22"/>
        </w:rPr>
        <w:t xml:space="preserve">	4</w:t>
      </w:r>
    </w:p>
    <w:p>
      <w:pPr>
        <w:tabs>
          <w:tab w:val="right" w:pos="9026" w:leader="dot"/>
        </w:tabs>
        <w:spacing w:after="22" w:before="0" w:line="264"/>
        <w:ind w:left="360"/>
      </w:pPr>
      <w:hyperlink w:history="1" w:anchor="s21">
        <w:r>
          <w:rPr>
            <w:rFonts w:ascii="Arial" w:cs="Arial" w:eastAsia="Arial" w:hAnsi="Arial"/>
            <w:b w:val="false"/>
            <w:bCs w:val="false"/>
            <w:color w:val="333333"/>
            <w:sz w:val="21"/>
            <w:szCs w:val="21"/>
          </w:rPr>
          <w:t xml:space="preserve">2.1  Capacidades del Negocio</w:t>
        </w:r>
      </w:hyperlink>
      <w:r>
        <w:rPr>
          <w:rFonts w:ascii="Arial" w:cs="Arial" w:eastAsia="Arial" w:hAnsi="Arial"/>
          <w:color w:val="555555"/>
          <w:sz w:val="21"/>
          <w:szCs w:val="21"/>
        </w:rPr>
        <w:t xml:space="preserve">	4</w:t>
      </w:r>
    </w:p>
    <w:p>
      <w:pPr>
        <w:tabs>
          <w:tab w:val="right" w:pos="9026" w:leader="dot"/>
        </w:tabs>
        <w:spacing w:after="22" w:before="0" w:line="264"/>
        <w:ind w:left="360"/>
      </w:pPr>
      <w:hyperlink w:history="1" w:anchor="s22">
        <w:r>
          <w:rPr>
            <w:rFonts w:ascii="Arial" w:cs="Arial" w:eastAsia="Arial" w:hAnsi="Arial"/>
            <w:b w:val="false"/>
            <w:bCs w:val="false"/>
            <w:color w:val="333333"/>
            <w:sz w:val="21"/>
            <w:szCs w:val="21"/>
          </w:rPr>
          <w:t xml:space="preserve">2.2  Evaluación de Desempeño Base</w:t>
        </w:r>
      </w:hyperlink>
      <w:r>
        <w:rPr>
          <w:rFonts w:ascii="Arial" w:cs="Arial" w:eastAsia="Arial" w:hAnsi="Arial"/>
          <w:color w:val="555555"/>
          <w:sz w:val="21"/>
          <w:szCs w:val="21"/>
        </w:rPr>
        <w:t xml:space="preserve">	5</w:t>
      </w:r>
    </w:p>
    <w:p>
      <w:pPr>
        <w:tabs>
          <w:tab w:val="right" w:pos="9026" w:leader="dot"/>
        </w:tabs>
        <w:spacing w:after="22" w:before="0" w:line="264"/>
        <w:ind w:left="360"/>
      </w:pPr>
      <w:hyperlink w:history="1" w:anchor="s23">
        <w:r>
          <w:rPr>
            <w:rFonts w:ascii="Arial" w:cs="Arial" w:eastAsia="Arial" w:hAnsi="Arial"/>
            <w:b w:val="false"/>
            <w:bCs w:val="false"/>
            <w:color w:val="333333"/>
            <w:sz w:val="21"/>
            <w:szCs w:val="21"/>
          </w:rPr>
          <w:t xml:space="preserve">2.3  Aspiración de Desempeño Futuro</w:t>
        </w:r>
      </w:hyperlink>
      <w:r>
        <w:rPr>
          <w:rFonts w:ascii="Arial" w:cs="Arial" w:eastAsia="Arial" w:hAnsi="Arial"/>
          <w:color w:val="555555"/>
          <w:sz w:val="21"/>
          <w:szCs w:val="21"/>
        </w:rPr>
        <w:t xml:space="preserve">	6</w:t>
      </w:r>
    </w:p>
    <w:p>
      <w:pPr>
        <w:tabs>
          <w:tab w:val="right" w:pos="9026" w:leader="dot"/>
        </w:tabs>
        <w:spacing w:after="22" w:before="0" w:line="264"/>
        <w:ind w:left="360"/>
      </w:pPr>
      <w:hyperlink w:history="1" w:anchor="s24">
        <w:r>
          <w:rPr>
            <w:rFonts w:ascii="Arial" w:cs="Arial" w:eastAsia="Arial" w:hAnsi="Arial"/>
            <w:b w:val="false"/>
            <w:bCs w:val="false"/>
            <w:color w:val="333333"/>
            <w:sz w:val="21"/>
            <w:szCs w:val="21"/>
          </w:rPr>
          <w:t xml:space="preserve">2.4  Evaluación de Capacidad Base</w:t>
        </w:r>
      </w:hyperlink>
      <w:r>
        <w:rPr>
          <w:rFonts w:ascii="Arial" w:cs="Arial" w:eastAsia="Arial" w:hAnsi="Arial"/>
          <w:color w:val="555555"/>
          <w:sz w:val="21"/>
          <w:szCs w:val="21"/>
        </w:rPr>
        <w:t xml:space="preserve">	6</w:t>
      </w:r>
    </w:p>
    <w:p>
      <w:pPr>
        <w:tabs>
          <w:tab w:val="right" w:pos="9026" w:leader="dot"/>
        </w:tabs>
        <w:spacing w:after="22" w:before="0" w:line="264"/>
        <w:ind w:left="360"/>
      </w:pPr>
      <w:hyperlink w:history="1" w:anchor="s25">
        <w:r>
          <w:rPr>
            <w:rFonts w:ascii="Arial" w:cs="Arial" w:eastAsia="Arial" w:hAnsi="Arial"/>
            <w:b w:val="false"/>
            <w:bCs w:val="false"/>
            <w:color w:val="333333"/>
            <w:sz w:val="21"/>
            <w:szCs w:val="21"/>
          </w:rPr>
          <w:t xml:space="preserve">2.5  Aspiración de Capacidad Futura</w:t>
        </w:r>
      </w:hyperlink>
      <w:r>
        <w:rPr>
          <w:rFonts w:ascii="Arial" w:cs="Arial" w:eastAsia="Arial" w:hAnsi="Arial"/>
          <w:color w:val="555555"/>
          <w:sz w:val="21"/>
          <w:szCs w:val="21"/>
        </w:rPr>
        <w:t xml:space="preserve">	6</w:t>
      </w:r>
    </w:p>
    <w:p>
      <w:pPr>
        <w:tabs>
          <w:tab w:val="right" w:pos="9026" w:leader="dot"/>
        </w:tabs>
        <w:spacing w:after="50" w:before="80" w:line="264"/>
        <w:ind w:left="0"/>
      </w:pPr>
      <w:hyperlink w:history="1" w:anchor="s3">
        <w:r>
          <w:rPr>
            <w:rFonts w:ascii="Arial" w:cs="Arial" w:eastAsia="Arial" w:hAnsi="Arial"/>
            <w:b/>
            <w:bCs/>
            <w:color w:val="5B2C87"/>
            <w:sz w:val="22"/>
            <w:szCs w:val="22"/>
          </w:rPr>
          <w:t xml:space="preserve">3  Evaluación de Capacidad de TI</w:t>
        </w:r>
      </w:hyperlink>
      <w:r>
        <w:rPr>
          <w:rFonts w:ascii="Arial" w:cs="Arial" w:eastAsia="Arial" w:hAnsi="Arial"/>
          <w:color w:val="555555"/>
          <w:sz w:val="22"/>
          <w:szCs w:val="22"/>
        </w:rPr>
        <w:t xml:space="preserve">	7</w:t>
      </w:r>
    </w:p>
    <w:p>
      <w:pPr>
        <w:tabs>
          <w:tab w:val="right" w:pos="9026" w:leader="dot"/>
        </w:tabs>
        <w:spacing w:after="22" w:before="0" w:line="264"/>
        <w:ind w:left="360"/>
      </w:pPr>
      <w:hyperlink w:history="1" w:anchor="s31">
        <w:r>
          <w:rPr>
            <w:rFonts w:ascii="Arial" w:cs="Arial" w:eastAsia="Arial" w:hAnsi="Arial"/>
            <w:b w:val="false"/>
            <w:bCs w:val="false"/>
            <w:color w:val="333333"/>
            <w:sz w:val="21"/>
            <w:szCs w:val="21"/>
          </w:rPr>
          <w:t xml:space="preserve">3.1  Madurez Base del Proceso de Cambio</w:t>
        </w:r>
      </w:hyperlink>
      <w:r>
        <w:rPr>
          <w:rFonts w:ascii="Arial" w:cs="Arial" w:eastAsia="Arial" w:hAnsi="Arial"/>
          <w:color w:val="555555"/>
          <w:sz w:val="21"/>
          <w:szCs w:val="21"/>
        </w:rPr>
        <w:t xml:space="preserve">	7</w:t>
      </w:r>
    </w:p>
    <w:p>
      <w:pPr>
        <w:tabs>
          <w:tab w:val="right" w:pos="9026" w:leader="dot"/>
        </w:tabs>
        <w:spacing w:after="22" w:before="0" w:line="264"/>
        <w:ind w:left="360"/>
      </w:pPr>
      <w:hyperlink w:history="1" w:anchor="s32">
        <w:r>
          <w:rPr>
            <w:rFonts w:ascii="Arial" w:cs="Arial" w:eastAsia="Arial" w:hAnsi="Arial"/>
            <w:b w:val="false"/>
            <w:bCs w:val="false"/>
            <w:color w:val="333333"/>
            <w:sz w:val="21"/>
            <w:szCs w:val="21"/>
          </w:rPr>
          <w:t xml:space="preserve">3.2  Madurez Objetivo del Proceso de Cambio</w:t>
        </w:r>
      </w:hyperlink>
      <w:r>
        <w:rPr>
          <w:rFonts w:ascii="Arial" w:cs="Arial" w:eastAsia="Arial" w:hAnsi="Arial"/>
          <w:color w:val="555555"/>
          <w:sz w:val="21"/>
          <w:szCs w:val="21"/>
        </w:rPr>
        <w:t xml:space="preserve">	7</w:t>
      </w:r>
    </w:p>
    <w:p>
      <w:pPr>
        <w:tabs>
          <w:tab w:val="right" w:pos="9026" w:leader="dot"/>
        </w:tabs>
        <w:spacing w:after="22" w:before="0" w:line="264"/>
        <w:ind w:left="360"/>
      </w:pPr>
      <w:hyperlink w:history="1" w:anchor="s33">
        <w:r>
          <w:rPr>
            <w:rFonts w:ascii="Arial" w:cs="Arial" w:eastAsia="Arial" w:hAnsi="Arial"/>
            <w:b w:val="false"/>
            <w:bCs w:val="false"/>
            <w:color w:val="333333"/>
            <w:sz w:val="21"/>
            <w:szCs w:val="21"/>
          </w:rPr>
          <w:t xml:space="preserve">3.3  Madurez Base de los Procesos Operativos</w:t>
        </w:r>
      </w:hyperlink>
      <w:r>
        <w:rPr>
          <w:rFonts w:ascii="Arial" w:cs="Arial" w:eastAsia="Arial" w:hAnsi="Arial"/>
          <w:color w:val="555555"/>
          <w:sz w:val="21"/>
          <w:szCs w:val="21"/>
        </w:rPr>
        <w:t xml:space="preserve">	7</w:t>
      </w:r>
    </w:p>
    <w:p>
      <w:pPr>
        <w:tabs>
          <w:tab w:val="right" w:pos="9026" w:leader="dot"/>
        </w:tabs>
        <w:spacing w:after="22" w:before="0" w:line="264"/>
        <w:ind w:left="360"/>
      </w:pPr>
      <w:hyperlink w:history="1" w:anchor="s34">
        <w:r>
          <w:rPr>
            <w:rFonts w:ascii="Arial" w:cs="Arial" w:eastAsia="Arial" w:hAnsi="Arial"/>
            <w:b w:val="false"/>
            <w:bCs w:val="false"/>
            <w:color w:val="333333"/>
            <w:sz w:val="21"/>
            <w:szCs w:val="21"/>
          </w:rPr>
          <w:t xml:space="preserve">3.4  Madurez Objetivo de los Procesos Operativos</w:t>
        </w:r>
      </w:hyperlink>
      <w:r>
        <w:rPr>
          <w:rFonts w:ascii="Arial" w:cs="Arial" w:eastAsia="Arial" w:hAnsi="Arial"/>
          <w:color w:val="555555"/>
          <w:sz w:val="21"/>
          <w:szCs w:val="21"/>
        </w:rPr>
        <w:t xml:space="preserve">	7</w:t>
      </w:r>
    </w:p>
    <w:p>
      <w:pPr>
        <w:tabs>
          <w:tab w:val="right" w:pos="9026" w:leader="dot"/>
        </w:tabs>
        <w:spacing w:after="22" w:before="0" w:line="264"/>
        <w:ind w:left="360"/>
      </w:pPr>
      <w:hyperlink w:history="1" w:anchor="s35">
        <w:r>
          <w:rPr>
            <w:rFonts w:ascii="Arial" w:cs="Arial" w:eastAsia="Arial" w:hAnsi="Arial"/>
            <w:b w:val="false"/>
            <w:bCs w:val="false"/>
            <w:color w:val="333333"/>
            <w:sz w:val="21"/>
            <w:szCs w:val="21"/>
          </w:rPr>
          <w:t xml:space="preserve">3.5  Capacidad Base</w:t>
        </w:r>
      </w:hyperlink>
      <w:r>
        <w:rPr>
          <w:rFonts w:ascii="Arial" w:cs="Arial" w:eastAsia="Arial" w:hAnsi="Arial"/>
          <w:color w:val="555555"/>
          <w:sz w:val="21"/>
          <w:szCs w:val="21"/>
        </w:rPr>
        <w:t xml:space="preserve">	8</w:t>
      </w:r>
    </w:p>
    <w:p>
      <w:pPr>
        <w:tabs>
          <w:tab w:val="right" w:pos="9026" w:leader="dot"/>
        </w:tabs>
        <w:spacing w:after="22" w:before="0" w:line="264"/>
        <w:ind w:left="360"/>
      </w:pPr>
      <w:hyperlink w:history="1" w:anchor="s36">
        <w:r>
          <w:rPr>
            <w:rFonts w:ascii="Arial" w:cs="Arial" w:eastAsia="Arial" w:hAnsi="Arial"/>
            <w:b w:val="false"/>
            <w:bCs w:val="false"/>
            <w:color w:val="333333"/>
            <w:sz w:val="21"/>
            <w:szCs w:val="21"/>
          </w:rPr>
          <w:t xml:space="preserve">3.6  Evaluación de Capacidad Instalada</w:t>
        </w:r>
      </w:hyperlink>
      <w:r>
        <w:rPr>
          <w:rFonts w:ascii="Arial" w:cs="Arial" w:eastAsia="Arial" w:hAnsi="Arial"/>
          <w:color w:val="555555"/>
          <w:sz w:val="21"/>
          <w:szCs w:val="21"/>
        </w:rPr>
        <w:t xml:space="preserve">	8</w:t>
      </w:r>
    </w:p>
    <w:p>
      <w:pPr>
        <w:tabs>
          <w:tab w:val="right" w:pos="9026" w:leader="dot"/>
        </w:tabs>
        <w:spacing w:after="22" w:before="0" w:line="264"/>
        <w:ind w:left="360"/>
      </w:pPr>
      <w:hyperlink w:history="1" w:anchor="s37">
        <w:r>
          <w:rPr>
            <w:rFonts w:ascii="Arial" w:cs="Arial" w:eastAsia="Arial" w:hAnsi="Arial"/>
            <w:b w:val="false"/>
            <w:bCs w:val="false"/>
            <w:color w:val="333333"/>
            <w:sz w:val="21"/>
            <w:szCs w:val="21"/>
          </w:rPr>
          <w:t xml:space="preserve">3.7  Impactos en la Organización de TI</w:t>
        </w:r>
      </w:hyperlink>
      <w:r>
        <w:rPr>
          <w:rFonts w:ascii="Arial" w:cs="Arial" w:eastAsia="Arial" w:hAnsi="Arial"/>
          <w:color w:val="555555"/>
          <w:sz w:val="21"/>
          <w:szCs w:val="21"/>
        </w:rPr>
        <w:t xml:space="preserve">	8</w:t>
      </w:r>
    </w:p>
    <w:p>
      <w:pPr>
        <w:tabs>
          <w:tab w:val="right" w:pos="9026" w:leader="dot"/>
        </w:tabs>
        <w:spacing w:after="50" w:before="80" w:line="264"/>
        <w:ind w:left="0"/>
      </w:pPr>
      <w:hyperlink w:history="1" w:anchor="s4">
        <w:r>
          <w:rPr>
            <w:rFonts w:ascii="Arial" w:cs="Arial" w:eastAsia="Arial" w:hAnsi="Arial"/>
            <w:b/>
            <w:bCs/>
            <w:color w:val="5B2C87"/>
            <w:sz w:val="22"/>
            <w:szCs w:val="22"/>
          </w:rPr>
          <w:t xml:space="preserve">4  Evaluación de Madurez de Arquitectura</w:t>
        </w:r>
      </w:hyperlink>
      <w:r>
        <w:rPr>
          <w:rFonts w:ascii="Arial" w:cs="Arial" w:eastAsia="Arial" w:hAnsi="Arial"/>
          <w:color w:val="555555"/>
          <w:sz w:val="22"/>
          <w:szCs w:val="22"/>
        </w:rPr>
        <w:t xml:space="preserve">	8</w:t>
      </w:r>
    </w:p>
    <w:p>
      <w:pPr>
        <w:tabs>
          <w:tab w:val="right" w:pos="9026" w:leader="dot"/>
        </w:tabs>
        <w:spacing w:after="22" w:before="0" w:line="264"/>
        <w:ind w:left="360"/>
      </w:pPr>
      <w:hyperlink w:history="1" w:anchor="s41">
        <w:r>
          <w:rPr>
            <w:rFonts w:ascii="Arial" w:cs="Arial" w:eastAsia="Arial" w:hAnsi="Arial"/>
            <w:b w:val="false"/>
            <w:bCs w:val="false"/>
            <w:color w:val="333333"/>
            <w:sz w:val="21"/>
            <w:szCs w:val="21"/>
          </w:rPr>
          <w:t xml:space="preserve">4.1  Procesos de Gobierno de Arquitectura</w:t>
        </w:r>
      </w:hyperlink>
      <w:r>
        <w:rPr>
          <w:rFonts w:ascii="Arial" w:cs="Arial" w:eastAsia="Arial" w:hAnsi="Arial"/>
          <w:color w:val="555555"/>
          <w:sz w:val="21"/>
          <w:szCs w:val="21"/>
        </w:rPr>
        <w:t xml:space="preserve">	9</w:t>
      </w:r>
    </w:p>
    <w:p>
      <w:pPr>
        <w:tabs>
          <w:tab w:val="right" w:pos="9026" w:leader="dot"/>
        </w:tabs>
        <w:spacing w:after="22" w:before="0" w:line="264"/>
        <w:ind w:left="360"/>
      </w:pPr>
      <w:hyperlink w:history="1" w:anchor="s42">
        <w:r>
          <w:rPr>
            <w:rFonts w:ascii="Arial" w:cs="Arial" w:eastAsia="Arial" w:hAnsi="Arial"/>
            <w:b w:val="false"/>
            <w:bCs w:val="false"/>
            <w:color w:val="333333"/>
            <w:sz w:val="21"/>
            <w:szCs w:val="21"/>
          </w:rPr>
          <w:t xml:space="preserve">4.2  Organización, Roles y Responsabilidades</w:t>
        </w:r>
      </w:hyperlink>
      <w:r>
        <w:rPr>
          <w:rFonts w:ascii="Arial" w:cs="Arial" w:eastAsia="Arial" w:hAnsi="Arial"/>
          <w:color w:val="555555"/>
          <w:sz w:val="21"/>
          <w:szCs w:val="21"/>
        </w:rPr>
        <w:t xml:space="preserve">	9</w:t>
      </w:r>
    </w:p>
    <w:p>
      <w:pPr>
        <w:tabs>
          <w:tab w:val="right" w:pos="9026" w:leader="dot"/>
        </w:tabs>
        <w:spacing w:after="22" w:before="0" w:line="264"/>
        <w:ind w:left="360"/>
      </w:pPr>
      <w:hyperlink w:history="1" w:anchor="s43">
        <w:r>
          <w:rPr>
            <w:rFonts w:ascii="Arial" w:cs="Arial" w:eastAsia="Arial" w:hAnsi="Arial"/>
            <w:b w:val="false"/>
            <w:bCs w:val="false"/>
            <w:color w:val="333333"/>
            <w:sz w:val="21"/>
            <w:szCs w:val="21"/>
          </w:rPr>
          <w:t xml:space="preserve">4.3  Evaluación de Habilidades de Arquitectura</w:t>
        </w:r>
      </w:hyperlink>
      <w:r>
        <w:rPr>
          <w:rFonts w:ascii="Arial" w:cs="Arial" w:eastAsia="Arial" w:hAnsi="Arial"/>
          <w:color w:val="555555"/>
          <w:sz w:val="21"/>
          <w:szCs w:val="21"/>
        </w:rPr>
        <w:t xml:space="preserve">	9</w:t>
      </w:r>
    </w:p>
    <w:p>
      <w:pPr>
        <w:tabs>
          <w:tab w:val="right" w:pos="9026" w:leader="dot"/>
        </w:tabs>
        <w:spacing w:after="22" w:before="0" w:line="264"/>
        <w:ind w:left="360"/>
      </w:pPr>
      <w:hyperlink w:history="1" w:anchor="s44">
        <w:r>
          <w:rPr>
            <w:rFonts w:ascii="Arial" w:cs="Arial" w:eastAsia="Arial" w:hAnsi="Arial"/>
            <w:b w:val="false"/>
            <w:bCs w:val="false"/>
            <w:color w:val="333333"/>
            <w:sz w:val="21"/>
            <w:szCs w:val="21"/>
          </w:rPr>
          <w:t xml:space="preserve">4.4  Definición del Landscape</w:t>
        </w:r>
      </w:hyperlink>
      <w:r>
        <w:rPr>
          <w:rFonts w:ascii="Arial" w:cs="Arial" w:eastAsia="Arial" w:hAnsi="Arial"/>
          <w:color w:val="555555"/>
          <w:sz w:val="21"/>
          <w:szCs w:val="21"/>
        </w:rPr>
        <w:t xml:space="preserve">	9</w:t>
      </w:r>
    </w:p>
    <w:p>
      <w:pPr>
        <w:tabs>
          <w:tab w:val="right" w:pos="9026" w:leader="dot"/>
        </w:tabs>
        <w:spacing w:after="22" w:before="0" w:line="264"/>
        <w:ind w:left="360"/>
      </w:pPr>
      <w:hyperlink w:history="1" w:anchor="s45">
        <w:r>
          <w:rPr>
            <w:rFonts w:ascii="Arial" w:cs="Arial" w:eastAsia="Arial" w:hAnsi="Arial"/>
            <w:b w:val="false"/>
            <w:bCs w:val="false"/>
            <w:color w:val="333333"/>
            <w:sz w:val="21"/>
            <w:szCs w:val="21"/>
          </w:rPr>
          <w:t xml:space="preserve">4.5  Definición de Estándares</w:t>
        </w:r>
      </w:hyperlink>
      <w:r>
        <w:rPr>
          <w:rFonts w:ascii="Arial" w:cs="Arial" w:eastAsia="Arial" w:hAnsi="Arial"/>
          <w:color w:val="555555"/>
          <w:sz w:val="21"/>
          <w:szCs w:val="21"/>
        </w:rPr>
        <w:t xml:space="preserve">	9</w:t>
      </w:r>
    </w:p>
    <w:p>
      <w:pPr>
        <w:tabs>
          <w:tab w:val="right" w:pos="9026" w:leader="dot"/>
        </w:tabs>
        <w:spacing w:after="22" w:before="0" w:line="264"/>
        <w:ind w:left="360"/>
      </w:pPr>
      <w:hyperlink w:history="1" w:anchor="s46">
        <w:r>
          <w:rPr>
            <w:rFonts w:ascii="Arial" w:cs="Arial" w:eastAsia="Arial" w:hAnsi="Arial"/>
            <w:b w:val="false"/>
            <w:bCs w:val="false"/>
            <w:color w:val="333333"/>
            <w:sz w:val="21"/>
            <w:szCs w:val="21"/>
          </w:rPr>
          <w:t xml:space="preserve">4.6  Definición de Modelos de Referencia</w:t>
        </w:r>
      </w:hyperlink>
      <w:r>
        <w:rPr>
          <w:rFonts w:ascii="Arial" w:cs="Arial" w:eastAsia="Arial" w:hAnsi="Arial"/>
          <w:color w:val="555555"/>
          <w:sz w:val="21"/>
          <w:szCs w:val="21"/>
        </w:rPr>
        <w:t xml:space="preserve">	9</w:t>
      </w:r>
    </w:p>
    <w:p>
      <w:pPr>
        <w:tabs>
          <w:tab w:val="right" w:pos="9026" w:leader="dot"/>
        </w:tabs>
        <w:spacing w:after="22" w:before="0" w:line="264"/>
        <w:ind w:left="360"/>
      </w:pPr>
      <w:hyperlink w:history="1" w:anchor="s47">
        <w:r>
          <w:rPr>
            <w:rFonts w:ascii="Arial" w:cs="Arial" w:eastAsia="Arial" w:hAnsi="Arial"/>
            <w:b w:val="false"/>
            <w:bCs w:val="false"/>
            <w:color w:val="333333"/>
            <w:sz w:val="21"/>
            <w:szCs w:val="21"/>
          </w:rPr>
          <w:t xml:space="preserve">4.7  Evaluación del Potencial de Reúso</w:t>
        </w:r>
      </w:hyperlink>
      <w:r>
        <w:rPr>
          <w:rFonts w:ascii="Arial" w:cs="Arial" w:eastAsia="Arial" w:hAnsi="Arial"/>
          <w:color w:val="555555"/>
          <w:sz w:val="21"/>
          <w:szCs w:val="21"/>
        </w:rPr>
        <w:t xml:space="preserve">	10</w:t>
      </w:r>
    </w:p>
    <w:p>
      <w:pPr>
        <w:tabs>
          <w:tab w:val="right" w:pos="9026" w:leader="dot"/>
        </w:tabs>
        <w:spacing w:after="50" w:before="80" w:line="264"/>
        <w:ind w:left="0"/>
      </w:pPr>
      <w:hyperlink w:history="1" w:anchor="s5">
        <w:r>
          <w:rPr>
            <w:rFonts w:ascii="Arial" w:cs="Arial" w:eastAsia="Arial" w:hAnsi="Arial"/>
            <w:b/>
            <w:bCs/>
            <w:color w:val="5B2C87"/>
            <w:sz w:val="22"/>
            <w:szCs w:val="22"/>
          </w:rPr>
          <w:t xml:space="preserve">5  Preparación para la Transformación del Negocio</w:t>
        </w:r>
      </w:hyperlink>
      <w:r>
        <w:rPr>
          <w:rFonts w:ascii="Arial" w:cs="Arial" w:eastAsia="Arial" w:hAnsi="Arial"/>
          <w:color w:val="555555"/>
          <w:sz w:val="22"/>
          <w:szCs w:val="22"/>
        </w:rPr>
        <w:t xml:space="preserve">	10</w:t>
      </w:r>
    </w:p>
    <w:p>
      <w:pPr>
        <w:tabs>
          <w:tab w:val="right" w:pos="9026" w:leader="dot"/>
        </w:tabs>
        <w:spacing w:after="22" w:before="0" w:line="264"/>
        <w:ind w:left="360"/>
      </w:pPr>
      <w:hyperlink w:history="1" w:anchor="s51">
        <w:r>
          <w:rPr>
            <w:rFonts w:ascii="Arial" w:cs="Arial" w:eastAsia="Arial" w:hAnsi="Arial"/>
            <w:b w:val="false"/>
            <w:bCs w:val="false"/>
            <w:color w:val="333333"/>
            <w:sz w:val="21"/>
            <w:szCs w:val="21"/>
          </w:rPr>
          <w:t xml:space="preserve">5.1  Factores de Preparación</w:t>
        </w:r>
      </w:hyperlink>
      <w:r>
        <w:rPr>
          <w:rFonts w:ascii="Arial" w:cs="Arial" w:eastAsia="Arial" w:hAnsi="Arial"/>
          <w:color w:val="555555"/>
          <w:sz w:val="21"/>
          <w:szCs w:val="21"/>
        </w:rPr>
        <w:t xml:space="preserve">	10</w:t>
      </w:r>
    </w:p>
    <w:p>
      <w:pPr>
        <w:tabs>
          <w:tab w:val="right" w:pos="9026" w:leader="dot"/>
        </w:tabs>
        <w:spacing w:after="22" w:before="0" w:line="264"/>
        <w:ind w:left="360"/>
      </w:pPr>
      <w:hyperlink w:history="1" w:anchor="s52">
        <w:r>
          <w:rPr>
            <w:rFonts w:ascii="Arial" w:cs="Arial" w:eastAsia="Arial" w:hAnsi="Arial"/>
            <w:b w:val="false"/>
            <w:bCs w:val="false"/>
            <w:color w:val="333333"/>
            <w:sz w:val="21"/>
            <w:szCs w:val="21"/>
          </w:rPr>
          <w:t xml:space="preserve">5.2  Visión para cada Factor de Preparación</w:t>
        </w:r>
      </w:hyperlink>
      <w:r>
        <w:rPr>
          <w:rFonts w:ascii="Arial" w:cs="Arial" w:eastAsia="Arial" w:hAnsi="Arial"/>
          <w:color w:val="555555"/>
          <w:sz w:val="21"/>
          <w:szCs w:val="21"/>
        </w:rPr>
        <w:t xml:space="preserve">	10</w:t>
      </w:r>
    </w:p>
    <w:p>
      <w:pPr>
        <w:tabs>
          <w:tab w:val="right" w:pos="9026" w:leader="dot"/>
        </w:tabs>
        <w:spacing w:after="22" w:before="0" w:line="264"/>
        <w:ind w:left="360"/>
      </w:pPr>
      <w:hyperlink w:history="1" w:anchor="s53">
        <w:r>
          <w:rPr>
            <w:rFonts w:ascii="Arial" w:cs="Arial" w:eastAsia="Arial" w:hAnsi="Arial"/>
            <w:b w:val="false"/>
            <w:bCs w:val="false"/>
            <w:color w:val="333333"/>
            <w:sz w:val="21"/>
            <w:szCs w:val="21"/>
          </w:rPr>
          <w:t xml:space="preserve">5.3  Calificaciones Actuales</w:t>
        </w:r>
      </w:hyperlink>
      <w:r>
        <w:rPr>
          <w:rFonts w:ascii="Arial" w:cs="Arial" w:eastAsia="Arial" w:hAnsi="Arial"/>
          <w:color w:val="555555"/>
          <w:sz w:val="21"/>
          <w:szCs w:val="21"/>
        </w:rPr>
        <w:t xml:space="preserve">	10</w:t>
      </w:r>
    </w:p>
    <w:p>
      <w:pPr>
        <w:tabs>
          <w:tab w:val="right" w:pos="9026" w:leader="dot"/>
        </w:tabs>
        <w:spacing w:after="22" w:before="0" w:line="264"/>
        <w:ind w:left="360"/>
      </w:pPr>
      <w:hyperlink w:history="1" w:anchor="s54">
        <w:r>
          <w:rPr>
            <w:rFonts w:ascii="Arial" w:cs="Arial" w:eastAsia="Arial" w:hAnsi="Arial"/>
            <w:b w:val="false"/>
            <w:bCs w:val="false"/>
            <w:color w:val="333333"/>
            <w:sz w:val="21"/>
            <w:szCs w:val="21"/>
          </w:rPr>
          <w:t xml:space="preserve">5.4  Calificaciones Objetivo</w:t>
        </w:r>
      </w:hyperlink>
      <w:r>
        <w:rPr>
          <w:rFonts w:ascii="Arial" w:cs="Arial" w:eastAsia="Arial" w:hAnsi="Arial"/>
          <w:color w:val="555555"/>
          <w:sz w:val="21"/>
          <w:szCs w:val="21"/>
        </w:rPr>
        <w:t xml:space="preserve">	11</w:t>
      </w:r>
    </w:p>
    <w:p>
      <w:pPr>
        <w:tabs>
          <w:tab w:val="right" w:pos="9026" w:leader="dot"/>
        </w:tabs>
        <w:spacing w:after="22" w:before="0" w:line="264"/>
        <w:ind w:left="360"/>
      </w:pPr>
      <w:hyperlink w:history="1" w:anchor="s55">
        <w:r>
          <w:rPr>
            <w:rFonts w:ascii="Arial" w:cs="Arial" w:eastAsia="Arial" w:hAnsi="Arial"/>
            <w:b w:val="false"/>
            <w:bCs w:val="false"/>
            <w:color w:val="333333"/>
            <w:sz w:val="21"/>
            <w:szCs w:val="21"/>
          </w:rPr>
          <w:t xml:space="preserve">5.5  Riesgos de Preparación</w:t>
        </w:r>
      </w:hyperlink>
      <w:r>
        <w:rPr>
          <w:rFonts w:ascii="Arial" w:cs="Arial" w:eastAsia="Arial" w:hAnsi="Arial"/>
          <w:color w:val="555555"/>
          <w:sz w:val="21"/>
          <w:szCs w:val="21"/>
        </w:rPr>
        <w:t xml:space="preserve">	11</w:t>
      </w:r>
    </w:p>
    <w:p>
      <w:r>
        <w:br w:type="page"/>
      </w:r>
    </w:p>
    <w:p>
      <w:pPr>
        <w:pStyle w:val="Heading1"/>
      </w:pPr>
      <w:bookmarkStart w:name="s1" w:id="1"/>
      <w:r>
        <w:rPr>
          <w:rFonts w:ascii="Arial" w:cs="Arial" w:eastAsia="Arial" w:hAnsi="Arial"/>
        </w:rPr>
        <w:t xml:space="preserve">1  Propósito del Documento</w:t>
      </w:r>
      <w:bookmarkEnd w:id="1"/>
    </w:p>
    <w:p>
      <w:pPr>
        <w:spacing w:after="120" w:line="276"/>
      </w:pPr>
      <w:r>
        <w:rPr>
          <w:rFonts w:ascii="Arial" w:cs="Arial" w:eastAsia="Arial" w:hAnsi="Arial"/>
          <w:sz w:val="22"/>
          <w:szCs w:val="22"/>
        </w:rPr>
        <w:t xml:space="preserve">Antes de emprender una Definición de Arquitectura detallada, es valioso comprender el nivel de capacidad base (AS-IS) y objetivo (TO-BE) de la organización. Esta Evaluación de Capacidad de la Municipalidad Metropolitana de Lima (MML) se examina en cuatro niveles complementarios:</w:t>
      </w:r>
    </w:p>
    <w:p>
      <w:pPr>
        <w:pStyle w:val="ListParagraph"/>
        <w:numPr>
          <w:ilvl w:val="0"/>
          <w:numId w:val="2"/>
        </w:numPr>
        <w:spacing w:after="60" w:line="268"/>
      </w:pPr>
      <w:r>
        <w:rPr>
          <w:rFonts w:ascii="Arial" w:cs="Arial" w:eastAsia="Arial" w:hAnsi="Arial"/>
          <w:sz w:val="22"/>
          <w:szCs w:val="22"/>
        </w:rPr>
        <w:t xml:space="preserve">Capacidad de la organización como un todo: ¿dónde desea la MML incrementar u optimizar su capacidad y qué áreas de enfoque arquitectónico la sostendrán?</w:t>
      </w:r>
    </w:p>
    <w:p>
      <w:pPr>
        <w:pStyle w:val="ListParagraph"/>
        <w:numPr>
          <w:ilvl w:val="0"/>
          <w:numId w:val="2"/>
        </w:numPr>
        <w:spacing w:after="60" w:line="268"/>
      </w:pPr>
      <w:r>
        <w:rPr>
          <w:rFonts w:ascii="Arial" w:cs="Arial" w:eastAsia="Arial" w:hAnsi="Arial"/>
          <w:sz w:val="22"/>
          <w:szCs w:val="22"/>
        </w:rPr>
        <w:t xml:space="preserve">Capacidad y madurez de la función de TI: ¿qué implicancias tiene ejecutar el proyecto de arquitectura en términos de gobierno de diseño, gobierno operativo, habilidades y estructura organizacional?</w:t>
      </w:r>
    </w:p>
    <w:p>
      <w:pPr>
        <w:pStyle w:val="ListParagraph"/>
        <w:numPr>
          <w:ilvl w:val="0"/>
          <w:numId w:val="2"/>
        </w:numPr>
        <w:spacing w:after="60" w:line="268"/>
      </w:pPr>
      <w:r>
        <w:rPr>
          <w:rFonts w:ascii="Arial" w:cs="Arial" w:eastAsia="Arial" w:hAnsi="Arial"/>
          <w:sz w:val="22"/>
          <w:szCs w:val="22"/>
        </w:rPr>
        <w:t xml:space="preserve">Capacidad y madurez de la función de arquitectura: ¿qué activos arquitectónicos existen, qué estándares y modelos de referencia deben considerarse y qué oportunidades de reúso surgen?</w:t>
      </w:r>
    </w:p>
    <w:p>
      <w:pPr>
        <w:pStyle w:val="ListParagraph"/>
        <w:numPr>
          <w:ilvl w:val="0"/>
          <w:numId w:val="2"/>
        </w:numPr>
        <w:spacing w:after="60" w:line="268"/>
      </w:pPr>
      <w:r>
        <w:rPr>
          <w:rFonts w:ascii="Arial" w:cs="Arial" w:eastAsia="Arial" w:hAnsi="Arial"/>
          <w:sz w:val="22"/>
          <w:szCs w:val="22"/>
        </w:rPr>
        <w:t xml:space="preserve">Preparación para la transformación: donde existan brechas de capacidad, ¿qué tan preparado está el negocio para transformarse y cuáles son los riesgos y barreras culturales?</w:t>
      </w:r>
    </w:p>
    <w:p>
      <w:pPr>
        <w:spacing w:after="40"/>
      </w:pPr>
    </w:p>
    <w:p>
      <w:pPr>
        <w:spacing w:after="120" w:line="276"/>
      </w:pPr>
      <w:r>
        <w:rPr>
          <w:rFonts w:ascii="Arial" w:cs="Arial" w:eastAsia="Arial" w:hAnsi="Arial"/>
          <w:b/>
          <w:bCs/>
          <w:color w:val="5B2C87"/>
          <w:sz w:val="22"/>
          <w:szCs w:val="22"/>
        </w:rPr>
        <w:t xml:space="preserve">Escala de madurez utilizada (alineada a CMMI / ACMM):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326"/>
      </w:tblGrid>
      <w:tr>
        <w:trPr>
          <w:tblHeader/>
        </w:trPr>
        <w:tc>
          <w:tcPr>
            <w:tcW w:type="dxa" w:w="11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Nivel</w:t>
            </w:r>
          </w:p>
        </w:tc>
        <w:tc>
          <w:tcPr>
            <w:tcW w:type="dxa" w:w="26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Denominación</w:t>
            </w:r>
          </w:p>
        </w:tc>
        <w:tc>
          <w:tcPr>
            <w:tcW w:type="dxa" w:w="5326"/>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Descripción</w:t>
            </w:r>
          </w:p>
        </w:tc>
      </w:tr>
      <w:tr>
        <w:tc>
          <w:tcPr>
            <w:tcW w:type="dxa" w:w="11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1</w:t>
            </w:r>
          </w:p>
        </w:tc>
        <w:tc>
          <w:tcPr>
            <w:tcW w:type="dxa" w:w="2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Inicial</w:t>
            </w:r>
          </w:p>
        </w:tc>
        <w:tc>
          <w:tcPr>
            <w:tcW w:type="dxa" w:w="53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Procesos ad hoc, no documentados; resultados dependientes de personas.</w:t>
            </w:r>
          </w:p>
        </w:tc>
      </w:tr>
      <w:tr>
        <w:tc>
          <w:tcPr>
            <w:tcW w:type="dxa" w:w="11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2</w:t>
            </w:r>
          </w:p>
        </w:tc>
        <w:tc>
          <w:tcPr>
            <w:tcW w:type="dxa" w:w="2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Gestionado</w:t>
            </w:r>
          </w:p>
        </w:tc>
        <w:tc>
          <w:tcPr>
            <w:tcW w:type="dxa" w:w="53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Procesos repetibles y planificados, con disciplina básica.</w:t>
            </w:r>
          </w:p>
        </w:tc>
      </w:tr>
      <w:tr>
        <w:tc>
          <w:tcPr>
            <w:tcW w:type="dxa" w:w="11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3</w:t>
            </w:r>
          </w:p>
        </w:tc>
        <w:tc>
          <w:tcPr>
            <w:tcW w:type="dxa" w:w="2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Definido</w:t>
            </w:r>
          </w:p>
        </w:tc>
        <w:tc>
          <w:tcPr>
            <w:tcW w:type="dxa" w:w="53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Procesos documentados, estandarizados e integrados a nivel institucional.</w:t>
            </w:r>
          </w:p>
        </w:tc>
      </w:tr>
      <w:tr>
        <w:tc>
          <w:tcPr>
            <w:tcW w:type="dxa" w:w="11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4</w:t>
            </w:r>
          </w:p>
        </w:tc>
        <w:tc>
          <w:tcPr>
            <w:tcW w:type="dxa" w:w="2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Cuantitativo</w:t>
            </w:r>
          </w:p>
        </w:tc>
        <w:tc>
          <w:tcPr>
            <w:tcW w:type="dxa" w:w="53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Procesos medidos y controlados mediante indicadores.</w:t>
            </w:r>
          </w:p>
        </w:tc>
      </w:tr>
      <w:tr>
        <w:tc>
          <w:tcPr>
            <w:tcW w:type="dxa" w:w="11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5</w:t>
            </w:r>
          </w:p>
        </w:tc>
        <w:tc>
          <w:tcPr>
            <w:tcW w:type="dxa" w:w="2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Optimizado</w:t>
            </w:r>
          </w:p>
        </w:tc>
        <w:tc>
          <w:tcPr>
            <w:tcW w:type="dxa" w:w="53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Mejora continua basada en datos y retroalimentación.</w:t>
            </w:r>
          </w:p>
        </w:tc>
      </w:tr>
    </w:tbl>
    <w:p>
      <w:pPr>
        <w:spacing w:after="120" w:line="276"/>
      </w:pPr>
      <w:r>
        <w:rPr>
          <w:rFonts w:ascii="Arial" w:cs="Arial" w:eastAsia="Arial" w:hAnsi="Arial"/>
          <w:i/>
          <w:iCs/>
          <w:sz w:val="22"/>
          <w:szCs w:val="22"/>
        </w:rPr>
        <w:t xml:space="preserve">La MML parte de un nivel mayoritariamente Inicial–Gestionado y aspira, en el horizonte del proyecto, a un nivel Definido–Cuantitativo en sus capacidades clave.</w:t>
      </w:r>
    </w:p>
    <w:p>
      <w:pPr>
        <w:pStyle w:val="Heading1"/>
      </w:pPr>
      <w:bookmarkStart w:name="s2" w:id="2"/>
      <w:r>
        <w:rPr>
          <w:rFonts w:ascii="Arial" w:cs="Arial" w:eastAsia="Arial" w:hAnsi="Arial"/>
        </w:rPr>
        <w:t xml:space="preserve">2  Evaluación de Capacidades de Negocio</w:t>
      </w:r>
      <w:bookmarkEnd w:id="2"/>
    </w:p>
    <w:p>
      <w:pPr>
        <w:spacing w:after="120" w:line="276"/>
      </w:pPr>
      <w:r>
        <w:rPr>
          <w:rFonts w:ascii="Arial" w:cs="Arial" w:eastAsia="Arial" w:hAnsi="Arial"/>
          <w:sz w:val="22"/>
          <w:szCs w:val="22"/>
        </w:rPr>
        <w:t xml:space="preserve">Esta sección identifica las capacidades institucionales de la MML y evalúa su desempeño y forma de realización, tanto en el estado base como en la aspiración futura.</w:t>
      </w:r>
    </w:p>
    <w:p>
      <w:pPr>
        <w:pStyle w:val="Heading2"/>
      </w:pPr>
      <w:bookmarkStart w:name="s21" w:id="3"/>
      <w:r>
        <w:rPr>
          <w:rFonts w:ascii="Arial" w:cs="Arial" w:eastAsia="Arial" w:hAnsi="Arial"/>
        </w:rPr>
        <w:t xml:space="preserve">2.1  Capacidades del Negocio</w:t>
      </w:r>
      <w:bookmarkEnd w:id="3"/>
    </w:p>
    <w:p>
      <w:pPr>
        <w:spacing w:after="120" w:line="276"/>
      </w:pPr>
      <w:r>
        <w:rPr>
          <w:rFonts w:ascii="Arial" w:cs="Arial" w:eastAsia="Arial" w:hAnsi="Arial"/>
          <w:sz w:val="22"/>
          <w:szCs w:val="22"/>
        </w:rPr>
        <w:t xml:space="preserve">Se identifican seis capacidades institucionales, cada una asociada a un marco de referencia que orienta su mejora: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Capacidad</w:t>
            </w:r>
          </w:p>
        </w:tc>
        <w:tc>
          <w:tcPr>
            <w:tcW w:type="dxa" w:w="4226"/>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Descripción</w:t>
            </w:r>
          </w:p>
        </w:tc>
        <w:tc>
          <w:tcPr>
            <w:tcW w:type="dxa" w:w="18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Marco</w:t>
            </w:r>
          </w:p>
        </w:tc>
      </w:tr>
      <w:tr>
        <w:tc>
          <w:tcPr>
            <w:tcW w:type="dxa" w:w="30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Administración de servicios municipales</w:t>
            </w:r>
          </w:p>
        </w:tc>
        <w:tc>
          <w:tcPr>
            <w:tcW w:type="dxa" w:w="42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Atención al ciudadano: licencias, recaudación, reclamos y trámites.</w:t>
            </w:r>
          </w:p>
        </w:tc>
        <w:tc>
          <w:tcPr>
            <w:tcW w:type="dxa" w:w="18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ITIL</w:t>
            </w:r>
          </w:p>
        </w:tc>
      </w:tr>
      <w:t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Desarrollo e integración de aplicaciones</w:t>
            </w:r>
          </w:p>
        </w:tc>
        <w:tc>
          <w:tcPr>
            <w:tcW w:type="dxa" w:w="42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Construcción, integración y mantenimiento del portafolio aplicativo.</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CMMI / DevOps</w:t>
            </w:r>
          </w:p>
        </w:tc>
      </w:tr>
      <w:tr>
        <w:tc>
          <w:tcPr>
            <w:tcW w:type="dxa" w:w="30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Gestión de proyectos y transformación digital</w:t>
            </w:r>
          </w:p>
        </w:tc>
        <w:tc>
          <w:tcPr>
            <w:tcW w:type="dxa" w:w="42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Planificación y ejecución de iniciativas y proyectos.</w:t>
            </w:r>
          </w:p>
        </w:tc>
        <w:tc>
          <w:tcPr>
            <w:tcW w:type="dxa" w:w="18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PMI</w:t>
            </w:r>
          </w:p>
        </w:tc>
      </w:tr>
      <w:t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Arquitectura empresarial y planeamiento de TI</w:t>
            </w:r>
          </w:p>
        </w:tc>
        <w:tc>
          <w:tcPr>
            <w:tcW w:type="dxa" w:w="42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Alineamiento estratégico y diseño arquitectónico.</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TOGAF</w:t>
            </w:r>
          </w:p>
        </w:tc>
      </w:tr>
      <w:tr>
        <w:tc>
          <w:tcPr>
            <w:tcW w:type="dxa" w:w="30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Seguridad y gobierno de datos</w:t>
            </w:r>
          </w:p>
        </w:tc>
        <w:tc>
          <w:tcPr>
            <w:tcW w:type="dxa" w:w="42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Protección, calidad y gobierno de la información.</w:t>
            </w:r>
          </w:p>
        </w:tc>
        <w:tc>
          <w:tcPr>
            <w:tcW w:type="dxa" w:w="18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ISO 27001</w:t>
            </w:r>
          </w:p>
        </w:tc>
      </w:tr>
      <w:t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Calidad institucional y transparencia</w:t>
            </w:r>
          </w:p>
        </w:tc>
        <w:tc>
          <w:tcPr>
            <w:tcW w:type="dxa" w:w="42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Control, mejora y rendición de cuentas.</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Normativo</w:t>
            </w:r>
          </w:p>
        </w:tc>
      </w:tr>
    </w:tbl>
    <w:p>
      <w:pPr>
        <w:pStyle w:val="Heading2"/>
      </w:pPr>
      <w:bookmarkStart w:name="s22" w:id="4"/>
      <w:r>
        <w:rPr>
          <w:rFonts w:ascii="Arial" w:cs="Arial" w:eastAsia="Arial" w:hAnsi="Arial"/>
        </w:rPr>
        <w:t xml:space="preserve">2.2  Evaluación de Desempeño Base</w:t>
      </w:r>
      <w:bookmarkEnd w:id="4"/>
    </w:p>
    <w:p>
      <w:pPr>
        <w:spacing w:after="120" w:line="276"/>
      </w:pPr>
      <w:r>
        <w:rPr>
          <w:rFonts w:ascii="Arial" w:cs="Arial" w:eastAsia="Arial" w:hAnsi="Arial"/>
          <w:sz w:val="22"/>
          <w:szCs w:val="22"/>
        </w:rPr>
        <w:t xml:space="preserve">El desempeño actual de las capacidades es bajo y heterogéneo, condicionado por silos de información, procesos manuales y baja interoperabilidad. La figura compara el desempeño base con la aspiración objetivo en una escala de 1 a 5.</w:t>
      </w:r>
    </w:p>
    <w:p>
      <w:pPr>
        <w:spacing w:after="60" w:before="120"/>
        <w:jc w:val="center"/>
      </w:pPr>
      <w:r>
        <w:drawing>
          <wp:inline distT="0" distB="0" distL="0" distR="0">
            <wp:extent cx="4095750" cy="3429000"/>
            <wp:effectExtent t="0" r="0" b="0" l="0"/>
            <wp:docPr id="1" name="grafico" descr="Gráfico de evaluación de capacidad"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42900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Figura 1. Capacidades de negocio: desempeño base (AS-IS) vs. aspiración objetivo (TO-BE).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3826"/>
      </w:tblGrid>
      <w:tr>
        <w:trPr>
          <w:tblHeader/>
        </w:trPr>
        <w:tc>
          <w:tcPr>
            <w:tcW w:type="dxa" w:w="36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Capacidad</w:t>
            </w:r>
          </w:p>
        </w:tc>
        <w:tc>
          <w:tcPr>
            <w:tcW w:type="dxa" w:w="16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Base (1–5)</w:t>
            </w:r>
          </w:p>
        </w:tc>
        <w:tc>
          <w:tcPr>
            <w:tcW w:type="dxa" w:w="3826"/>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Observaciones</w:t>
            </w:r>
          </w:p>
        </w:tc>
      </w:tr>
      <w:tr>
        <w:tc>
          <w:tcPr>
            <w:tcW w:type="dxa" w:w="3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Administración de servicios municipales</w:t>
            </w:r>
          </w:p>
        </w:tc>
        <w:tc>
          <w:tcPr>
            <w:tcW w:type="dxa" w:w="1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2</w:t>
            </w:r>
          </w:p>
        </w:tc>
        <w:tc>
          <w:tcPr>
            <w:tcW w:type="dxa" w:w="38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Atención mayormente presencial; tiempos de respuesta elevados.</w:t>
            </w:r>
          </w:p>
        </w:tc>
      </w:tr>
      <w:tr>
        <w:tc>
          <w:tcPr>
            <w:tcW w:type="dxa" w:w="3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Desarrollo e integración de aplicaciones</w:t>
            </w:r>
          </w:p>
        </w:tc>
        <w:tc>
          <w:tcPr>
            <w:tcW w:type="dxa" w:w="1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2</w:t>
            </w:r>
          </w:p>
        </w:tc>
        <w:tc>
          <w:tcPr>
            <w:tcW w:type="dxa" w:w="38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Sistemas aislados con integración limitada.</w:t>
            </w:r>
          </w:p>
        </w:tc>
      </w:tr>
      <w:tr>
        <w:tc>
          <w:tcPr>
            <w:tcW w:type="dxa" w:w="3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Gestión de proyectos y transformación digital</w:t>
            </w:r>
          </w:p>
        </w:tc>
        <w:tc>
          <w:tcPr>
            <w:tcW w:type="dxa" w:w="1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2</w:t>
            </w:r>
          </w:p>
        </w:tc>
        <w:tc>
          <w:tcPr>
            <w:tcW w:type="dxa" w:w="38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Prácticas informales y poca trazabilidad de iniciativas.</w:t>
            </w:r>
          </w:p>
        </w:tc>
      </w:tr>
      <w:tr>
        <w:tc>
          <w:tcPr>
            <w:tcW w:type="dxa" w:w="3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Arquitectura empresarial y planeamiento de TI</w:t>
            </w:r>
          </w:p>
        </w:tc>
        <w:tc>
          <w:tcPr>
            <w:tcW w:type="dxa" w:w="1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1</w:t>
            </w:r>
          </w:p>
        </w:tc>
        <w:tc>
          <w:tcPr>
            <w:tcW w:type="dxa" w:w="38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Sin práctica formal de AE previa.</w:t>
            </w:r>
          </w:p>
        </w:tc>
      </w:tr>
      <w:tr>
        <w:tc>
          <w:tcPr>
            <w:tcW w:type="dxa" w:w="3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Seguridad y gobierno de datos</w:t>
            </w:r>
          </w:p>
        </w:tc>
        <w:tc>
          <w:tcPr>
            <w:tcW w:type="dxa" w:w="1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2</w:t>
            </w:r>
          </w:p>
        </w:tc>
        <w:tc>
          <w:tcPr>
            <w:tcW w:type="dxa" w:w="38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Controles parciales; gobierno de datos incipiente.</w:t>
            </w:r>
          </w:p>
        </w:tc>
      </w:tr>
      <w:tr>
        <w:tc>
          <w:tcPr>
            <w:tcW w:type="dxa" w:w="3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Calidad institucional y transparencia</w:t>
            </w:r>
          </w:p>
        </w:tc>
        <w:tc>
          <w:tcPr>
            <w:tcW w:type="dxa" w:w="1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2</w:t>
            </w:r>
          </w:p>
        </w:tc>
        <w:tc>
          <w:tcPr>
            <w:tcW w:type="dxa" w:w="38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Transparencia reactiva, sin trazabilidad integral.</w:t>
            </w:r>
          </w:p>
        </w:tc>
      </w:tr>
    </w:tbl>
    <w:p>
      <w:pPr>
        <w:pStyle w:val="Heading2"/>
      </w:pPr>
      <w:bookmarkStart w:name="s23" w:id="5"/>
      <w:r>
        <w:rPr>
          <w:rFonts w:ascii="Arial" w:cs="Arial" w:eastAsia="Arial" w:hAnsi="Arial"/>
        </w:rPr>
        <w:t xml:space="preserve">2.3  Aspiración de Desempeño Futuro</w:t>
      </w:r>
      <w:bookmarkEnd w:id="5"/>
    </w:p>
    <w:p>
      <w:pPr>
        <w:spacing w:after="120" w:line="276"/>
      </w:pPr>
      <w:r>
        <w:rPr>
          <w:rFonts w:ascii="Arial" w:cs="Arial" w:eastAsia="Arial" w:hAnsi="Arial"/>
          <w:sz w:val="22"/>
          <w:szCs w:val="22"/>
        </w:rPr>
        <w:t xml:space="preserve">La aspiración consiste en elevar el desempeño de las capacidades a un nivel Definido–Cuantitativo (4), priorizando la capacidad de Arquitectura Empresarial, que parte del nivel más bajo.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3826"/>
      </w:tblGrid>
      <w:tr>
        <w:trPr>
          <w:tblHeader/>
        </w:trPr>
        <w:tc>
          <w:tcPr>
            <w:tcW w:type="dxa" w:w="3600"/>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Capacidad</w:t>
            </w:r>
          </w:p>
        </w:tc>
        <w:tc>
          <w:tcPr>
            <w:tcW w:type="dxa" w:w="1600"/>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Objetivo (1–5)</w:t>
            </w:r>
          </w:p>
        </w:tc>
        <w:tc>
          <w:tcPr>
            <w:tcW w:type="dxa" w:w="3826"/>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Justificación del salto</w:t>
            </w:r>
          </w:p>
        </w:tc>
      </w:tr>
      <w:tr>
        <w:tc>
          <w:tcPr>
            <w:tcW w:type="dxa" w:w="3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Administración de servicios municipales</w:t>
            </w:r>
          </w:p>
        </w:tc>
        <w:tc>
          <w:tcPr>
            <w:tcW w:type="dxa" w:w="1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4</w:t>
            </w:r>
          </w:p>
        </w:tc>
        <w:tc>
          <w:tcPr>
            <w:tcW w:type="dxa" w:w="38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Servicios digitales con métricas de atención y trazabilidad.</w:t>
            </w:r>
          </w:p>
        </w:tc>
      </w:tr>
      <w:tr>
        <w:tc>
          <w:tcPr>
            <w:tcW w:type="dxa" w:w="3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Desarrollo e integración de aplicaciones</w:t>
            </w:r>
          </w:p>
        </w:tc>
        <w:tc>
          <w:tcPr>
            <w:tcW w:type="dxa" w:w="1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4</w:t>
            </w:r>
          </w:p>
        </w:tc>
        <w:tc>
          <w:tcPr>
            <w:tcW w:type="dxa" w:w="38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Bus de integración y portafolio racionalizado.</w:t>
            </w:r>
          </w:p>
        </w:tc>
      </w:tr>
      <w:tr>
        <w:tc>
          <w:tcPr>
            <w:tcW w:type="dxa" w:w="3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Gestión de proyectos y transformación digital</w:t>
            </w:r>
          </w:p>
        </w:tc>
        <w:tc>
          <w:tcPr>
            <w:tcW w:type="dxa" w:w="1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4</w:t>
            </w:r>
          </w:p>
        </w:tc>
        <w:tc>
          <w:tcPr>
            <w:tcW w:type="dxa" w:w="38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Gestión de portafolio basada en PMI con indicadores.</w:t>
            </w:r>
          </w:p>
        </w:tc>
      </w:tr>
      <w:tr>
        <w:tc>
          <w:tcPr>
            <w:tcW w:type="dxa" w:w="3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Arquitectura empresarial y planeamiento de TI</w:t>
            </w:r>
          </w:p>
        </w:tc>
        <w:tc>
          <w:tcPr>
            <w:tcW w:type="dxa" w:w="1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4</w:t>
            </w:r>
          </w:p>
        </w:tc>
        <w:tc>
          <w:tcPr>
            <w:tcW w:type="dxa" w:w="38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Función de AE formal, gobernada y sostenible.</w:t>
            </w:r>
          </w:p>
        </w:tc>
      </w:tr>
      <w:tr>
        <w:tc>
          <w:tcPr>
            <w:tcW w:type="dxa" w:w="3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Seguridad y gobierno de datos</w:t>
            </w:r>
          </w:p>
        </w:tc>
        <w:tc>
          <w:tcPr>
            <w:tcW w:type="dxa" w:w="1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4</w:t>
            </w:r>
          </w:p>
        </w:tc>
        <w:tc>
          <w:tcPr>
            <w:tcW w:type="dxa" w:w="38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SGSI conforme a ISO 27001 y gobierno de datos (Ley 29733).</w:t>
            </w:r>
          </w:p>
        </w:tc>
      </w:tr>
      <w:tr>
        <w:tc>
          <w:tcPr>
            <w:tcW w:type="dxa" w:w="3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Calidad institucional y transparencia</w:t>
            </w:r>
          </w:p>
        </w:tc>
        <w:tc>
          <w:tcPr>
            <w:tcW w:type="dxa" w:w="1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4</w:t>
            </w:r>
          </w:p>
        </w:tc>
        <w:tc>
          <w:tcPr>
            <w:tcW w:type="dxa" w:w="38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Trazabilidad integral y rendición de cuentas proactiva.</w:t>
            </w:r>
          </w:p>
        </w:tc>
      </w:tr>
    </w:tbl>
    <w:p>
      <w:pPr>
        <w:pStyle w:val="Heading2"/>
      </w:pPr>
      <w:bookmarkStart w:name="s24" w:id="6"/>
      <w:r>
        <w:rPr>
          <w:rFonts w:ascii="Arial" w:cs="Arial" w:eastAsia="Arial" w:hAnsi="Arial"/>
        </w:rPr>
        <w:t xml:space="preserve">2.4  Evaluación de Capacidad Base</w:t>
      </w:r>
      <w:bookmarkEnd w:id="6"/>
    </w:p>
    <w:p>
      <w:pPr>
        <w:spacing w:after="120" w:line="276"/>
      </w:pPr>
      <w:r>
        <w:rPr>
          <w:rFonts w:ascii="Arial" w:cs="Arial" w:eastAsia="Arial" w:hAnsi="Arial"/>
          <w:sz w:val="22"/>
          <w:szCs w:val="22"/>
        </w:rPr>
        <w:t xml:space="preserve">Más allá del desempeño, se evalúa cómo se realiza hoy cada capacidad (personas, procesos y tecnología). En general, las capacidades se sostienen en esfuerzos individuales, procesos no estandarizados y sistemas heredados poco integrados.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4026"/>
        <w:gridCol w:w="1800"/>
      </w:tblGrid>
      <w:tr>
        <w:trPr>
          <w:tblHeader/>
        </w:trPr>
        <w:tc>
          <w:tcPr>
            <w:tcW w:type="dxa" w:w="32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Capacidad</w:t>
            </w:r>
          </w:p>
        </w:tc>
        <w:tc>
          <w:tcPr>
            <w:tcW w:type="dxa" w:w="4026"/>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Realización actual (AS-IS)</w:t>
            </w:r>
          </w:p>
        </w:tc>
        <w:tc>
          <w:tcPr>
            <w:tcW w:type="dxa" w:w="18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Brecha</w:t>
            </w:r>
          </w:p>
        </w:tc>
      </w:tr>
      <w:tr>
        <w:tc>
          <w:tcPr>
            <w:tcW w:type="dxa" w:w="32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Servicios municipales</w:t>
            </w:r>
          </w:p>
        </w:tc>
        <w:tc>
          <w:tcPr>
            <w:tcW w:type="dxa" w:w="40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Trámites manuales y atención presencial por área.</w:t>
            </w:r>
          </w:p>
        </w:tc>
        <w:tc>
          <w:tcPr>
            <w:tcW w:type="dxa" w:w="18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Alta</w:t>
            </w:r>
          </w:p>
        </w:tc>
      </w:tr>
      <w:tr>
        <w:tc>
          <w:tcPr>
            <w:tcW w:type="dxa" w:w="3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Desarrollo de aplicaciones</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Desarrollos puntuales sin integración ni estándares.</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Alta</w:t>
            </w:r>
          </w:p>
        </w:tc>
      </w:tr>
      <w:tr>
        <w:tc>
          <w:tcPr>
            <w:tcW w:type="dxa" w:w="32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Proyectos / transformación</w:t>
            </w:r>
          </w:p>
        </w:tc>
        <w:tc>
          <w:tcPr>
            <w:tcW w:type="dxa" w:w="40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Gestión informal, sin oficina de proyectos consolidada.</w:t>
            </w:r>
          </w:p>
        </w:tc>
        <w:tc>
          <w:tcPr>
            <w:tcW w:type="dxa" w:w="18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Media</w:t>
            </w:r>
          </w:p>
        </w:tc>
      </w:tr>
      <w:tr>
        <w:tc>
          <w:tcPr>
            <w:tcW w:type="dxa" w:w="3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Arquitectura empresarial</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Inexistente como función formal.</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Alta</w:t>
            </w:r>
          </w:p>
        </w:tc>
      </w:tr>
      <w:tr>
        <w:tc>
          <w:tcPr>
            <w:tcW w:type="dxa" w:w="32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Seguridad y datos</w:t>
            </w:r>
          </w:p>
        </w:tc>
        <w:tc>
          <w:tcPr>
            <w:tcW w:type="dxa" w:w="40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Controles aislados, sin SGSI formal.</w:t>
            </w:r>
          </w:p>
        </w:tc>
        <w:tc>
          <w:tcPr>
            <w:tcW w:type="dxa" w:w="18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Media-Alta</w:t>
            </w:r>
          </w:p>
        </w:tc>
      </w:tr>
      <w:tr>
        <w:tc>
          <w:tcPr>
            <w:tcW w:type="dxa" w:w="3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Calidad y transparencia</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Reportes manuales y dispersos.</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Media</w:t>
            </w:r>
          </w:p>
        </w:tc>
      </w:tr>
    </w:tbl>
    <w:p>
      <w:pPr>
        <w:pStyle w:val="Heading2"/>
      </w:pPr>
      <w:bookmarkStart w:name="s25" w:id="7"/>
      <w:r>
        <w:rPr>
          <w:rFonts w:ascii="Arial" w:cs="Arial" w:eastAsia="Arial" w:hAnsi="Arial"/>
        </w:rPr>
        <w:t xml:space="preserve">2.5  Aspiración de Capacidad Futura</w:t>
      </w:r>
      <w:bookmarkEnd w:id="7"/>
    </w:p>
    <w:p>
      <w:pPr>
        <w:spacing w:after="120" w:line="276"/>
      </w:pPr>
      <w:r>
        <w:rPr>
          <w:rFonts w:ascii="Arial" w:cs="Arial" w:eastAsia="Arial" w:hAnsi="Arial"/>
          <w:sz w:val="22"/>
          <w:szCs w:val="22"/>
        </w:rPr>
        <w:t xml:space="preserve">La forma de realización objetivo se apoya en una plataforma institucional integrada, procesos estandarizados y una función de arquitectura gobernada:</w:t>
      </w:r>
    </w:p>
    <w:p>
      <w:pPr>
        <w:pStyle w:val="ListParagraph"/>
        <w:numPr>
          <w:ilvl w:val="0"/>
          <w:numId w:val="2"/>
        </w:numPr>
        <w:spacing w:after="60" w:line="268"/>
      </w:pPr>
      <w:r>
        <w:rPr>
          <w:rFonts w:ascii="Arial" w:cs="Arial" w:eastAsia="Arial" w:hAnsi="Arial"/>
          <w:sz w:val="22"/>
          <w:szCs w:val="22"/>
        </w:rPr>
        <w:t xml:space="preserve">Servicios municipales realizados sobre un portal digital único con interoperabilidad PIDE/RENIEC.</w:t>
      </w:r>
    </w:p>
    <w:p>
      <w:pPr>
        <w:pStyle w:val="ListParagraph"/>
        <w:numPr>
          <w:ilvl w:val="0"/>
          <w:numId w:val="2"/>
        </w:numPr>
        <w:spacing w:after="60" w:line="268"/>
      </w:pPr>
      <w:r>
        <w:rPr>
          <w:rFonts w:ascii="Arial" w:cs="Arial" w:eastAsia="Arial" w:hAnsi="Arial"/>
          <w:sz w:val="22"/>
          <w:szCs w:val="22"/>
        </w:rPr>
        <w:t xml:space="preserve">Desarrollo de aplicaciones con prácticas CMMI/DevOps y un bus de integración (API).</w:t>
      </w:r>
    </w:p>
    <w:p>
      <w:pPr>
        <w:pStyle w:val="ListParagraph"/>
        <w:numPr>
          <w:ilvl w:val="0"/>
          <w:numId w:val="2"/>
        </w:numPr>
        <w:spacing w:after="60" w:line="268"/>
      </w:pPr>
      <w:r>
        <w:rPr>
          <w:rFonts w:ascii="Arial" w:cs="Arial" w:eastAsia="Arial" w:hAnsi="Arial"/>
          <w:sz w:val="22"/>
          <w:szCs w:val="22"/>
        </w:rPr>
        <w:t xml:space="preserve">Gestión de proyectos con marco PMI y portafolio priorizado por la Alta Dirección.</w:t>
      </w:r>
    </w:p>
    <w:p>
      <w:pPr>
        <w:pStyle w:val="ListParagraph"/>
        <w:numPr>
          <w:ilvl w:val="0"/>
          <w:numId w:val="2"/>
        </w:numPr>
        <w:spacing w:after="60" w:line="268"/>
      </w:pPr>
      <w:r>
        <w:rPr>
          <w:rFonts w:ascii="Arial" w:cs="Arial" w:eastAsia="Arial" w:hAnsi="Arial"/>
          <w:sz w:val="22"/>
          <w:szCs w:val="22"/>
        </w:rPr>
        <w:t xml:space="preserve">Arquitectura Empresarial formal (TOGAF + MADE + ArchiMate) con repositorio centralizado.</w:t>
      </w:r>
    </w:p>
    <w:p>
      <w:pPr>
        <w:pStyle w:val="ListParagraph"/>
        <w:numPr>
          <w:ilvl w:val="0"/>
          <w:numId w:val="2"/>
        </w:numPr>
        <w:spacing w:after="60" w:line="268"/>
      </w:pPr>
      <w:r>
        <w:rPr>
          <w:rFonts w:ascii="Arial" w:cs="Arial" w:eastAsia="Arial" w:hAnsi="Arial"/>
          <w:sz w:val="22"/>
          <w:szCs w:val="22"/>
        </w:rPr>
        <w:t xml:space="preserve">Seguridad y gobierno de datos con SGSI ISO 27001 y políticas de calidad de datos.</w:t>
      </w:r>
    </w:p>
    <w:p>
      <w:pPr>
        <w:pStyle w:val="ListParagraph"/>
        <w:numPr>
          <w:ilvl w:val="0"/>
          <w:numId w:val="2"/>
        </w:numPr>
        <w:spacing w:after="60" w:line="268"/>
      </w:pPr>
      <w:r>
        <w:rPr>
          <w:rFonts w:ascii="Arial" w:cs="Arial" w:eastAsia="Arial" w:hAnsi="Arial"/>
          <w:sz w:val="22"/>
          <w:szCs w:val="22"/>
        </w:rPr>
        <w:t xml:space="preserve">Calidad y transparencia con trazabilidad integral de trámites y tableros de control.</w:t>
      </w:r>
    </w:p>
    <w:p>
      <w:pPr>
        <w:pStyle w:val="Heading1"/>
      </w:pPr>
      <w:bookmarkStart w:name="s3" w:id="8"/>
      <w:r>
        <w:rPr>
          <w:rFonts w:ascii="Arial" w:cs="Arial" w:eastAsia="Arial" w:hAnsi="Arial"/>
        </w:rPr>
        <w:t xml:space="preserve">3  Evaluación de Capacidad de TI</w:t>
      </w:r>
      <w:bookmarkEnd w:id="8"/>
    </w:p>
    <w:p>
      <w:pPr>
        <w:spacing w:after="120" w:line="276"/>
      </w:pPr>
      <w:r>
        <w:rPr>
          <w:rFonts w:ascii="Arial" w:cs="Arial" w:eastAsia="Arial" w:hAnsi="Arial"/>
          <w:sz w:val="22"/>
          <w:szCs w:val="22"/>
        </w:rPr>
        <w:t xml:space="preserve">Se evalúa la madurez de la función de TI en sus procesos de cambio y operativos, su capacidad instalada y los impactos esperados del proyecto de arquitectura. La figura resume la madurez base vs. objetivo.</w:t>
      </w:r>
    </w:p>
    <w:p>
      <w:pPr>
        <w:spacing w:after="60" w:before="120"/>
        <w:jc w:val="center"/>
      </w:pPr>
      <w:r>
        <w:drawing>
          <wp:inline distT="0" distB="0" distL="0" distR="0">
            <wp:extent cx="4953000" cy="2705100"/>
            <wp:effectExtent t="0" r="0" b="0" l="0"/>
            <wp:docPr id="1" name="grafico" descr="Gráfico de evaluación de capacidad"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0510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Figura 2. Capacidad de TI: madurez base vs. objetivo (escala CMMI 1–5).</w:t>
      </w:r>
    </w:p>
    <w:p>
      <w:pPr>
        <w:pStyle w:val="Heading2"/>
      </w:pPr>
      <w:bookmarkStart w:name="s31" w:id="9"/>
      <w:r>
        <w:rPr>
          <w:rFonts w:ascii="Arial" w:cs="Arial" w:eastAsia="Arial" w:hAnsi="Arial"/>
        </w:rPr>
        <w:t xml:space="preserve">3.1  Madurez Base del Proceso de Cambio</w:t>
      </w:r>
      <w:bookmarkEnd w:id="9"/>
    </w:p>
    <w:p>
      <w:pPr>
        <w:spacing w:after="120" w:line="276"/>
      </w:pPr>
      <w:r>
        <w:rPr>
          <w:rFonts w:ascii="Arial" w:cs="Arial" w:eastAsia="Arial" w:hAnsi="Arial"/>
          <w:sz w:val="22"/>
          <w:szCs w:val="22"/>
        </w:rPr>
        <w:t xml:space="preserve">Los procesos de cambio (gestión de requerimientos, cambios y despliegues) operan de forma reactiva y poco documentada, con dependencia de personas clave. Nivel base estimado: 2 (Gestionado, parcial).</w:t>
      </w:r>
    </w:p>
    <w:p>
      <w:pPr>
        <w:pStyle w:val="Heading2"/>
      </w:pPr>
      <w:bookmarkStart w:name="s32" w:id="10"/>
      <w:r>
        <w:rPr>
          <w:rFonts w:ascii="Arial" w:cs="Arial" w:eastAsia="Arial" w:hAnsi="Arial"/>
        </w:rPr>
        <w:t xml:space="preserve">3.2  Madurez Objetivo del Proceso de Cambio</w:t>
      </w:r>
      <w:bookmarkEnd w:id="10"/>
    </w:p>
    <w:p>
      <w:pPr>
        <w:spacing w:after="120" w:line="276"/>
      </w:pPr>
      <w:r>
        <w:rPr>
          <w:rFonts w:ascii="Arial" w:cs="Arial" w:eastAsia="Arial" w:hAnsi="Arial"/>
          <w:sz w:val="22"/>
          <w:szCs w:val="22"/>
        </w:rPr>
        <w:t xml:space="preserve">Se aspira a procesos de cambio definidos y controlados, con flujos formales de aprobación, ambientes diferenciados y prácticas DevOps. Nivel objetivo: 4 (Cuantitativo).</w:t>
      </w:r>
    </w:p>
    <w:p>
      <w:pPr>
        <w:pStyle w:val="Heading2"/>
      </w:pPr>
      <w:bookmarkStart w:name="s33" w:id="11"/>
      <w:r>
        <w:rPr>
          <w:rFonts w:ascii="Arial" w:cs="Arial" w:eastAsia="Arial" w:hAnsi="Arial"/>
        </w:rPr>
        <w:t xml:space="preserve">3.3  Madurez Base de los Procesos Operativos</w:t>
      </w:r>
      <w:bookmarkEnd w:id="11"/>
    </w:p>
    <w:p>
      <w:pPr>
        <w:spacing w:after="120" w:line="276"/>
      </w:pPr>
      <w:r>
        <w:rPr>
          <w:rFonts w:ascii="Arial" w:cs="Arial" w:eastAsia="Arial" w:hAnsi="Arial"/>
          <w:sz w:val="22"/>
          <w:szCs w:val="22"/>
        </w:rPr>
        <w:t xml:space="preserve">La operación de servicios de TI (mesa de ayuda, gestión de incidentes y disponibilidad) es incipiente y no plenamente alineada a ITIL. Nivel base estimado: 2 (Gestionado, parcial).</w:t>
      </w:r>
    </w:p>
    <w:p>
      <w:pPr>
        <w:pStyle w:val="Heading2"/>
      </w:pPr>
      <w:bookmarkStart w:name="s34" w:id="12"/>
      <w:r>
        <w:rPr>
          <w:rFonts w:ascii="Arial" w:cs="Arial" w:eastAsia="Arial" w:hAnsi="Arial"/>
        </w:rPr>
        <w:t xml:space="preserve">3.4  Madurez Objetivo de los Procesos Operativos</w:t>
      </w:r>
      <w:bookmarkEnd w:id="12"/>
    </w:p>
    <w:p>
      <w:pPr>
        <w:spacing w:after="120" w:line="276"/>
      </w:pPr>
      <w:r>
        <w:rPr>
          <w:rFonts w:ascii="Arial" w:cs="Arial" w:eastAsia="Arial" w:hAnsi="Arial"/>
          <w:sz w:val="22"/>
          <w:szCs w:val="22"/>
        </w:rPr>
        <w:t xml:space="preserve">Se aspira a procesos operativos definidos y medidos conforme a ITIL, con acuerdos de nivel de servicio (SLA) y monitoreo. Nivel objetivo: 4 (Cuantitativo).</w:t>
      </w:r>
    </w:p>
    <w:p>
      <w:pPr>
        <w:pStyle w:val="Heading2"/>
      </w:pPr>
      <w:bookmarkStart w:name="s35" w:id="13"/>
      <w:r>
        <w:rPr>
          <w:rFonts w:ascii="Arial" w:cs="Arial" w:eastAsia="Arial" w:hAnsi="Arial"/>
        </w:rPr>
        <w:t xml:space="preserve">3.5  Capacidad Base</w:t>
      </w:r>
      <w:bookmarkEnd w:id="13"/>
    </w:p>
    <w:p>
      <w:pPr>
        <w:spacing w:after="120" w:line="276"/>
      </w:pPr>
      <w:r>
        <w:rPr>
          <w:rFonts w:ascii="Arial" w:cs="Arial" w:eastAsia="Arial" w:hAnsi="Arial"/>
          <w:sz w:val="22"/>
          <w:szCs w:val="22"/>
        </w:rPr>
        <w:t xml:space="preserve">La capacidad instalada de TI presenta el siguiente perfil base:</w:t>
      </w:r>
    </w:p>
    <w:p>
      <w:pPr>
        <w:pStyle w:val="ListParagraph"/>
        <w:numPr>
          <w:ilvl w:val="0"/>
          <w:numId w:val="2"/>
        </w:numPr>
        <w:spacing w:after="60" w:line="268"/>
      </w:pPr>
      <w:r>
        <w:rPr>
          <w:rFonts w:ascii="Arial" w:cs="Arial" w:eastAsia="Arial" w:hAnsi="Arial"/>
          <w:sz w:val="22"/>
          <w:szCs w:val="22"/>
        </w:rPr>
        <w:t xml:space="preserve">Personal técnico con conocimiento en sistemas, pero sin experiencia formal previa en TOGAF.</w:t>
      </w:r>
    </w:p>
    <w:p>
      <w:pPr>
        <w:pStyle w:val="ListParagraph"/>
        <w:numPr>
          <w:ilvl w:val="0"/>
          <w:numId w:val="2"/>
        </w:numPr>
        <w:spacing w:after="60" w:line="268"/>
      </w:pPr>
      <w:r>
        <w:rPr>
          <w:rFonts w:ascii="Arial" w:cs="Arial" w:eastAsia="Arial" w:hAnsi="Arial"/>
          <w:sz w:val="22"/>
          <w:szCs w:val="22"/>
        </w:rPr>
        <w:t xml:space="preserve">Infraestructura mixta (on-premise) con capacidades limitadas de escalabilidad y respaldo.</w:t>
      </w:r>
    </w:p>
    <w:p>
      <w:pPr>
        <w:pStyle w:val="ListParagraph"/>
        <w:numPr>
          <w:ilvl w:val="0"/>
          <w:numId w:val="2"/>
        </w:numPr>
        <w:spacing w:after="60" w:line="268"/>
      </w:pPr>
      <w:r>
        <w:rPr>
          <w:rFonts w:ascii="Arial" w:cs="Arial" w:eastAsia="Arial" w:hAnsi="Arial"/>
          <w:sz w:val="22"/>
          <w:szCs w:val="22"/>
        </w:rPr>
        <w:t xml:space="preserve">Portafolio aplicativo heredado, fragmentado y con baja integración.</w:t>
      </w:r>
    </w:p>
    <w:p>
      <w:pPr>
        <w:pStyle w:val="ListParagraph"/>
        <w:numPr>
          <w:ilvl w:val="0"/>
          <w:numId w:val="2"/>
        </w:numPr>
        <w:spacing w:after="60" w:line="268"/>
      </w:pPr>
      <w:r>
        <w:rPr>
          <w:rFonts w:ascii="Arial" w:cs="Arial" w:eastAsia="Arial" w:hAnsi="Arial"/>
          <w:sz w:val="22"/>
          <w:szCs w:val="22"/>
        </w:rPr>
        <w:t xml:space="preserve">Herramientas de modelado y gobierno arquitectónico aún no implantadas.</w:t>
      </w:r>
    </w:p>
    <w:p>
      <w:pPr>
        <w:pStyle w:val="Heading2"/>
      </w:pPr>
      <w:bookmarkStart w:name="s36" w:id="14"/>
      <w:r>
        <w:rPr>
          <w:rFonts w:ascii="Arial" w:cs="Arial" w:eastAsia="Arial" w:hAnsi="Arial"/>
        </w:rPr>
        <w:t xml:space="preserve">3.6  Evaluación de Capacidad Instalada</w:t>
      </w:r>
      <w:bookmarkEnd w:id="14"/>
    </w:p>
    <w:p>
      <w:pPr>
        <w:spacing w:after="120" w:line="276"/>
      </w:pPr>
      <w:r>
        <w:rPr>
          <w:rFonts w:ascii="Arial" w:cs="Arial" w:eastAsia="Arial" w:hAnsi="Arial"/>
          <w:sz w:val="22"/>
          <w:szCs w:val="22"/>
        </w:rPr>
        <w:t xml:space="preserve">La capacidad instalada actual es suficiente para sostener la operación diaria, pero insuficiente para ejecutar por sí sola un programa de arquitectura de gran escala. Por ello, en la Fase Preliminar se definió una organización mixta con soporte de consultores especializados, que aporta capacidad temporal y transfiere conocimiento al personal interno.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trPr>
          <w:tblHeader/>
        </w:trPr>
        <w:tc>
          <w:tcPr>
            <w:tcW w:type="dxa" w:w="32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Dimensión</w:t>
            </w:r>
          </w:p>
        </w:tc>
        <w:tc>
          <w:tcPr>
            <w:tcW w:type="dxa" w:w="2913"/>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Capacidad base</w:t>
            </w:r>
          </w:p>
        </w:tc>
        <w:tc>
          <w:tcPr>
            <w:tcW w:type="dxa" w:w="2913"/>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Capacidad requerida</w:t>
            </w:r>
          </w:p>
        </w:tc>
      </w:tr>
      <w:tr>
        <w:tc>
          <w:tcPr>
            <w:tcW w:type="dxa" w:w="32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Personas (AE)</w:t>
            </w:r>
          </w:p>
        </w:tc>
        <w:tc>
          <w:tcPr>
            <w:tcW w:type="dxa" w:w="29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Baja / sin experiencia TOGAF</w:t>
            </w:r>
          </w:p>
        </w:tc>
        <w:tc>
          <w:tcPr>
            <w:tcW w:type="dxa" w:w="29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Equipo formado + consultores</w:t>
            </w:r>
          </w:p>
        </w:tc>
      </w:tr>
      <w:tr>
        <w:tc>
          <w:tcPr>
            <w:tcW w:type="dxa" w:w="3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Procesos</w:t>
            </w:r>
          </w:p>
        </w:tc>
        <w:tc>
          <w:tcPr>
            <w:tcW w:type="dxa" w:w="29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Informales</w:t>
            </w:r>
          </w:p>
        </w:tc>
        <w:tc>
          <w:tcPr>
            <w:tcW w:type="dxa" w:w="29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Estandarizados y gobernados</w:t>
            </w:r>
          </w:p>
        </w:tc>
      </w:tr>
      <w:tr>
        <w:tc>
          <w:tcPr>
            <w:tcW w:type="dxa" w:w="32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Herramientas</w:t>
            </w:r>
          </w:p>
        </w:tc>
        <w:tc>
          <w:tcPr>
            <w:tcW w:type="dxa" w:w="29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No implantadas</w:t>
            </w:r>
          </w:p>
        </w:tc>
        <w:tc>
          <w:tcPr>
            <w:tcW w:type="dxa" w:w="29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Archi, Bizagi, Sparx EA</w:t>
            </w:r>
          </w:p>
        </w:tc>
      </w:tr>
      <w:tr>
        <w:tc>
          <w:tcPr>
            <w:tcW w:type="dxa" w:w="3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Infraestructura</w:t>
            </w:r>
          </w:p>
        </w:tc>
        <w:tc>
          <w:tcPr>
            <w:tcW w:type="dxa" w:w="29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On-premise limitada</w:t>
            </w:r>
          </w:p>
        </w:tc>
        <w:tc>
          <w:tcPr>
            <w:tcW w:type="dxa" w:w="29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Híbrida / nube escalable</w:t>
            </w:r>
          </w:p>
        </w:tc>
      </w:tr>
    </w:tbl>
    <w:p>
      <w:pPr>
        <w:pStyle w:val="Heading2"/>
      </w:pPr>
      <w:bookmarkStart w:name="s37" w:id="15"/>
      <w:r>
        <w:rPr>
          <w:rFonts w:ascii="Arial" w:cs="Arial" w:eastAsia="Arial" w:hAnsi="Arial"/>
        </w:rPr>
        <w:t xml:space="preserve">3.7  Impactos en la Organización de TI</w:t>
      </w:r>
      <w:bookmarkEnd w:id="15"/>
    </w:p>
    <w:p>
      <w:pPr>
        <w:spacing w:after="120" w:line="276"/>
      </w:pPr>
      <w:r>
        <w:rPr>
          <w:rFonts w:ascii="Arial" w:cs="Arial" w:eastAsia="Arial" w:hAnsi="Arial"/>
          <w:sz w:val="22"/>
          <w:szCs w:val="22"/>
        </w:rPr>
        <w:t xml:space="preserve">La ejecución del proyecto de arquitectura tendrá los siguientes impactos en la organización de TI:</w:t>
      </w:r>
    </w:p>
    <w:p>
      <w:pPr>
        <w:pStyle w:val="ListParagraph"/>
        <w:numPr>
          <w:ilvl w:val="0"/>
          <w:numId w:val="2"/>
        </w:numPr>
        <w:spacing w:after="60" w:line="268"/>
      </w:pPr>
      <w:r>
        <w:rPr>
          <w:rFonts w:ascii="Arial" w:cs="Arial" w:eastAsia="Arial" w:hAnsi="Arial"/>
          <w:sz w:val="22"/>
          <w:szCs w:val="22"/>
        </w:rPr>
        <w:t xml:space="preserve">Necesidad de capacitación continua en TOGAF, ArchiMate y los marcos complementarios.</w:t>
      </w:r>
    </w:p>
    <w:p>
      <w:pPr>
        <w:pStyle w:val="ListParagraph"/>
        <w:numPr>
          <w:ilvl w:val="0"/>
          <w:numId w:val="2"/>
        </w:numPr>
        <w:spacing w:after="60" w:line="268"/>
      </w:pPr>
      <w:r>
        <w:rPr>
          <w:rFonts w:ascii="Arial" w:cs="Arial" w:eastAsia="Arial" w:hAnsi="Arial"/>
          <w:sz w:val="22"/>
          <w:szCs w:val="22"/>
        </w:rPr>
        <w:t xml:space="preserve">Adopción de gobierno de diseño y operativo, con nuevos roles y comités.</w:t>
      </w:r>
    </w:p>
    <w:p>
      <w:pPr>
        <w:pStyle w:val="ListParagraph"/>
        <w:numPr>
          <w:ilvl w:val="0"/>
          <w:numId w:val="2"/>
        </w:numPr>
        <w:spacing w:after="60" w:line="268"/>
      </w:pPr>
      <w:r>
        <w:rPr>
          <w:rFonts w:ascii="Arial" w:cs="Arial" w:eastAsia="Arial" w:hAnsi="Arial"/>
          <w:sz w:val="22"/>
          <w:szCs w:val="22"/>
        </w:rPr>
        <w:t xml:space="preserve">Incorporación temporal de consultores y una red de enlaces funcionales por gerencia.</w:t>
      </w:r>
    </w:p>
    <w:p>
      <w:pPr>
        <w:pStyle w:val="ListParagraph"/>
        <w:numPr>
          <w:ilvl w:val="0"/>
          <w:numId w:val="2"/>
        </w:numPr>
        <w:spacing w:after="60" w:line="268"/>
      </w:pPr>
      <w:r>
        <w:rPr>
          <w:rFonts w:ascii="Arial" w:cs="Arial" w:eastAsia="Arial" w:hAnsi="Arial"/>
          <w:sz w:val="22"/>
          <w:szCs w:val="22"/>
        </w:rPr>
        <w:t xml:space="preserve">Cambio cultural hacia decisiones basadas en datos y trazabilidad.</w:t>
      </w:r>
    </w:p>
    <w:p>
      <w:pPr>
        <w:pStyle w:val="ListParagraph"/>
        <w:numPr>
          <w:ilvl w:val="0"/>
          <w:numId w:val="2"/>
        </w:numPr>
        <w:spacing w:after="60" w:line="268"/>
      </w:pPr>
      <w:r>
        <w:rPr>
          <w:rFonts w:ascii="Arial" w:cs="Arial" w:eastAsia="Arial" w:hAnsi="Arial"/>
          <w:sz w:val="22"/>
          <w:szCs w:val="22"/>
        </w:rPr>
        <w:t xml:space="preserve">Esfuerzo de racionalización y posible decomiso de sistemas heredados.</w:t>
      </w:r>
    </w:p>
    <w:p>
      <w:pPr>
        <w:pStyle w:val="Heading1"/>
      </w:pPr>
      <w:bookmarkStart w:name="s4" w:id="16"/>
      <w:r>
        <w:rPr>
          <w:rFonts w:ascii="Arial" w:cs="Arial" w:eastAsia="Arial" w:hAnsi="Arial"/>
        </w:rPr>
        <w:t xml:space="preserve">4  Evaluación de Madurez de Arquitectura</w:t>
      </w:r>
      <w:bookmarkEnd w:id="16"/>
    </w:p>
    <w:p>
      <w:pPr>
        <w:spacing w:after="120" w:line="276"/>
      </w:pPr>
      <w:r>
        <w:rPr>
          <w:rFonts w:ascii="Arial" w:cs="Arial" w:eastAsia="Arial" w:hAnsi="Arial"/>
          <w:sz w:val="22"/>
          <w:szCs w:val="22"/>
        </w:rPr>
        <w:t xml:space="preserve">Se evalúa la madurez de la función de arquitectura conforme a un modelo tipo ACMM (0–5). Al no existir una práctica formal previa, el estado base es predominantemente Inicial (1); la figura resume la aspiración objetivo.</w:t>
      </w:r>
    </w:p>
    <w:p>
      <w:pPr>
        <w:spacing w:after="60" w:before="120"/>
        <w:jc w:val="center"/>
      </w:pPr>
      <w:r>
        <w:drawing>
          <wp:inline distT="0" distB="0" distL="0" distR="0">
            <wp:extent cx="4953000" cy="2819400"/>
            <wp:effectExtent t="0" r="0" b="0" l="0"/>
            <wp:docPr id="1" name="grafico" descr="Gráfico de evaluación de capacidad"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81940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Figura 3. Madurez de la función de Arquitectura: base vs. objetivo (escala ACMM 0–5).</w:t>
      </w:r>
    </w:p>
    <w:p>
      <w:pPr>
        <w:pStyle w:val="Heading2"/>
      </w:pPr>
      <w:bookmarkStart w:name="s41" w:id="17"/>
      <w:r>
        <w:rPr>
          <w:rFonts w:ascii="Arial" w:cs="Arial" w:eastAsia="Arial" w:hAnsi="Arial"/>
        </w:rPr>
        <w:t xml:space="preserve">4.1  Procesos de Gobierno de Arquitectura</w:t>
      </w:r>
      <w:bookmarkEnd w:id="17"/>
    </w:p>
    <w:p>
      <w:pPr>
        <w:spacing w:after="120" w:line="276"/>
      </w:pPr>
      <w:r>
        <w:rPr>
          <w:rFonts w:ascii="Arial" w:cs="Arial" w:eastAsia="Arial" w:hAnsi="Arial"/>
          <w:sz w:val="22"/>
          <w:szCs w:val="22"/>
        </w:rPr>
        <w:t xml:space="preserve">No existen procesos formales de gobierno arquitectónico. La Fase Preliminar propone un Comité de Arquitectura Empresarial y un registro de decisiones (governance log) con seis decisiones iniciales (AD-01 a AD-06). Base: 1 → Objetivo: 4.</w:t>
      </w:r>
    </w:p>
    <w:p>
      <w:pPr>
        <w:pStyle w:val="Heading2"/>
      </w:pPr>
      <w:bookmarkStart w:name="s42" w:id="18"/>
      <w:r>
        <w:rPr>
          <w:rFonts w:ascii="Arial" w:cs="Arial" w:eastAsia="Arial" w:hAnsi="Arial"/>
        </w:rPr>
        <w:t xml:space="preserve">4.2  Organización, Roles y Responsabilidades</w:t>
      </w:r>
      <w:bookmarkEnd w:id="18"/>
    </w:p>
    <w:p>
      <w:pPr>
        <w:spacing w:after="120" w:line="276"/>
      </w:pPr>
      <w:r>
        <w:rPr>
          <w:rFonts w:ascii="Arial" w:cs="Arial" w:eastAsia="Arial" w:hAnsi="Arial"/>
          <w:sz w:val="22"/>
          <w:szCs w:val="22"/>
        </w:rPr>
        <w:t xml:space="preserve">La organización propuesta contempla tres niveles (directivo, táctico y operativo): un Comité de AE, un Arquitecto Empresarial Principal y cinco equipos de dominio, con soporte transversal de consultores y enlaces funcionales. Base: 1 → Objetivo: 4.</w:t>
      </w:r>
    </w:p>
    <w:p>
      <w:pPr>
        <w:pStyle w:val="Heading2"/>
      </w:pPr>
      <w:bookmarkStart w:name="s43" w:id="19"/>
      <w:r>
        <w:rPr>
          <w:rFonts w:ascii="Arial" w:cs="Arial" w:eastAsia="Arial" w:hAnsi="Arial"/>
        </w:rPr>
        <w:t xml:space="preserve">4.3  Evaluación de Habilidades de Arquitectura</w:t>
      </w:r>
      <w:bookmarkEnd w:id="19"/>
    </w:p>
    <w:p>
      <w:pPr>
        <w:spacing w:after="120" w:line="276"/>
      </w:pPr>
      <w:r>
        <w:rPr>
          <w:rFonts w:ascii="Arial" w:cs="Arial" w:eastAsia="Arial" w:hAnsi="Arial"/>
          <w:sz w:val="22"/>
          <w:szCs w:val="22"/>
        </w:rPr>
        <w:t xml:space="preserve">Las habilidades de arquitectura son incipientes: el personal domina sistemas, pero no cuenta con experiencia formal en TOGAF/ArchiMate. Se requiere un plan de capacitación y certificación. Base: 1 → Objetivo: 3.</w:t>
      </w:r>
    </w:p>
    <w:p>
      <w:pPr>
        <w:pStyle w:val="Heading2"/>
      </w:pPr>
      <w:bookmarkStart w:name="s44" w:id="20"/>
      <w:r>
        <w:rPr>
          <w:rFonts w:ascii="Arial" w:cs="Arial" w:eastAsia="Arial" w:hAnsi="Arial"/>
        </w:rPr>
        <w:t xml:space="preserve">4.4  Definición del Landscape</w:t>
      </w:r>
      <w:bookmarkEnd w:id="20"/>
    </w:p>
    <w:p>
      <w:pPr>
        <w:spacing w:after="120" w:line="276"/>
      </w:pPr>
      <w:r>
        <w:rPr>
          <w:rFonts w:ascii="Arial" w:cs="Arial" w:eastAsia="Arial" w:hAnsi="Arial"/>
          <w:sz w:val="22"/>
          <w:szCs w:val="22"/>
        </w:rPr>
        <w:t xml:space="preserve">El landscape arquitectónico (procesos, datos, aplicaciones y tecnología) no está formalmente documentado. Se construirá el AS-IS y el TO-BE en Archi/Sparx EA. Base: 1 → Objetivo: 4.</w:t>
      </w:r>
    </w:p>
    <w:p>
      <w:pPr>
        <w:pStyle w:val="Heading2"/>
      </w:pPr>
      <w:bookmarkStart w:name="s45" w:id="21"/>
      <w:r>
        <w:rPr>
          <w:rFonts w:ascii="Arial" w:cs="Arial" w:eastAsia="Arial" w:hAnsi="Arial"/>
        </w:rPr>
        <w:t xml:space="preserve">4.5  Definición de Estándares</w:t>
      </w:r>
      <w:bookmarkEnd w:id="21"/>
    </w:p>
    <w:p>
      <w:pPr>
        <w:spacing w:after="120" w:line="276"/>
      </w:pPr>
      <w:r>
        <w:rPr>
          <w:rFonts w:ascii="Arial" w:cs="Arial" w:eastAsia="Arial" w:hAnsi="Arial"/>
          <w:sz w:val="22"/>
          <w:szCs w:val="22"/>
        </w:rPr>
        <w:t xml:space="preserve">Existe una Standards Information Base inicial en el Repositorio de Arquitectura, alineada a TOGAF, MADE, ArchiMate e ISO 27001. Debe consolidarse y gobernarse. Base: 1 → Objetivo: 4.</w:t>
      </w:r>
    </w:p>
    <w:p>
      <w:pPr>
        <w:pStyle w:val="Heading2"/>
      </w:pPr>
      <w:bookmarkStart w:name="s46" w:id="22"/>
      <w:r>
        <w:rPr>
          <w:rFonts w:ascii="Arial" w:cs="Arial" w:eastAsia="Arial" w:hAnsi="Arial"/>
        </w:rPr>
        <w:t xml:space="preserve">4.6  Definición de Modelos de Referencia</w:t>
      </w:r>
      <w:bookmarkEnd w:id="22"/>
    </w:p>
    <w:p>
      <w:pPr>
        <w:spacing w:after="120" w:line="276"/>
      </w:pPr>
      <w:r>
        <w:rPr>
          <w:rFonts w:ascii="Arial" w:cs="Arial" w:eastAsia="Arial" w:hAnsi="Arial"/>
          <w:sz w:val="22"/>
          <w:szCs w:val="22"/>
        </w:rPr>
        <w:t xml:space="preserve">Se considerarán modelos de referencia (p. ej., arquitecturas de referencia del MADE para servicios digitales del Estado). Su adopción es aún parcial. Base: 1 → Objetivo: 3.</w:t>
      </w:r>
    </w:p>
    <w:p>
      <w:pPr>
        <w:pStyle w:val="Heading2"/>
      </w:pPr>
      <w:bookmarkStart w:name="s47" w:id="23"/>
      <w:r>
        <w:rPr>
          <w:rFonts w:ascii="Arial" w:cs="Arial" w:eastAsia="Arial" w:hAnsi="Arial"/>
        </w:rPr>
        <w:t xml:space="preserve">4.7  Evaluación del Potencial de Reúso</w:t>
      </w:r>
      <w:bookmarkEnd w:id="23"/>
    </w:p>
    <w:p>
      <w:pPr>
        <w:spacing w:after="120" w:line="276"/>
      </w:pPr>
      <w:r>
        <w:rPr>
          <w:rFonts w:ascii="Arial" w:cs="Arial" w:eastAsia="Arial" w:hAnsi="Arial"/>
          <w:sz w:val="22"/>
          <w:szCs w:val="22"/>
        </w:rPr>
        <w:t xml:space="preserve">El proyecto ofrece alto potencial de reúso: servicios de interoperabilidad (PIDE/RENIEC), componentes del portal, plantillas TOGAF y patrones arquitectónicos reutilizables entre gerencias. Base: 1 → Objetivo: 4.</w:t>
      </w:r>
    </w:p>
    <w:p>
      <w:pPr>
        <w:pStyle w:val="Heading1"/>
      </w:pPr>
      <w:bookmarkStart w:name="s5" w:id="24"/>
      <w:r>
        <w:rPr>
          <w:rFonts w:ascii="Arial" w:cs="Arial" w:eastAsia="Arial" w:hAnsi="Arial"/>
        </w:rPr>
        <w:t xml:space="preserve">5  Preparación para la Transformación del Negocio</w:t>
      </w:r>
      <w:bookmarkEnd w:id="24"/>
    </w:p>
    <w:p>
      <w:pPr>
        <w:spacing w:after="120" w:line="276"/>
      </w:pPr>
      <w:r>
        <w:rPr>
          <w:rFonts w:ascii="Arial" w:cs="Arial" w:eastAsia="Arial" w:hAnsi="Arial"/>
          <w:sz w:val="22"/>
          <w:szCs w:val="22"/>
        </w:rPr>
        <w:t xml:space="preserve">Se evalúa la preparación de la MML para transformarse y alcanzar la capacidad objetivo, identificando factores de preparación, su visión, calificaciones actuales y objetivo, y los riesgos asociados.</w:t>
      </w:r>
    </w:p>
    <w:p>
      <w:pPr>
        <w:pStyle w:val="Heading2"/>
      </w:pPr>
      <w:bookmarkStart w:name="s51" w:id="25"/>
      <w:r>
        <w:rPr>
          <w:rFonts w:ascii="Arial" w:cs="Arial" w:eastAsia="Arial" w:hAnsi="Arial"/>
        </w:rPr>
        <w:t xml:space="preserve">5.1  Factores de Preparación</w:t>
      </w:r>
      <w:bookmarkEnd w:id="25"/>
    </w:p>
    <w:p>
      <w:pPr>
        <w:spacing w:after="120" w:line="276"/>
      </w:pPr>
      <w:r>
        <w:rPr>
          <w:rFonts w:ascii="Arial" w:cs="Arial" w:eastAsia="Arial" w:hAnsi="Arial"/>
          <w:sz w:val="22"/>
          <w:szCs w:val="22"/>
        </w:rPr>
        <w:t xml:space="preserve">Sobre la base del método de evaluación de preparación de TOGAF (BTEP), se consideran los siguientes factores:</w:t>
      </w:r>
    </w:p>
    <w:p>
      <w:pPr>
        <w:pStyle w:val="ListParagraph"/>
        <w:numPr>
          <w:ilvl w:val="0"/>
          <w:numId w:val="2"/>
        </w:numPr>
        <w:spacing w:after="60" w:line="268"/>
      </w:pPr>
      <w:r>
        <w:rPr>
          <w:rFonts w:ascii="Arial" w:cs="Arial" w:eastAsia="Arial" w:hAnsi="Arial"/>
          <w:sz w:val="22"/>
          <w:szCs w:val="22"/>
        </w:rPr>
        <w:t xml:space="preserve">Visión compartida de la transformación.</w:t>
      </w:r>
    </w:p>
    <w:p>
      <w:pPr>
        <w:pStyle w:val="ListParagraph"/>
        <w:numPr>
          <w:ilvl w:val="0"/>
          <w:numId w:val="2"/>
        </w:numPr>
        <w:spacing w:after="60" w:line="268"/>
      </w:pPr>
      <w:r>
        <w:rPr>
          <w:rFonts w:ascii="Arial" w:cs="Arial" w:eastAsia="Arial" w:hAnsi="Arial"/>
          <w:sz w:val="22"/>
          <w:szCs w:val="22"/>
        </w:rPr>
        <w:t xml:space="preserve">Deseo y voluntad de cambio.</w:t>
      </w:r>
    </w:p>
    <w:p>
      <w:pPr>
        <w:pStyle w:val="ListParagraph"/>
        <w:numPr>
          <w:ilvl w:val="0"/>
          <w:numId w:val="2"/>
        </w:numPr>
        <w:spacing w:after="60" w:line="268"/>
      </w:pPr>
      <w:r>
        <w:rPr>
          <w:rFonts w:ascii="Arial" w:cs="Arial" w:eastAsia="Arial" w:hAnsi="Arial"/>
          <w:sz w:val="22"/>
          <w:szCs w:val="22"/>
        </w:rPr>
        <w:t xml:space="preserve">Necesidad institucional y caso de negocio.</w:t>
      </w:r>
    </w:p>
    <w:p>
      <w:pPr>
        <w:pStyle w:val="ListParagraph"/>
        <w:numPr>
          <w:ilvl w:val="0"/>
          <w:numId w:val="2"/>
        </w:numPr>
        <w:spacing w:after="60" w:line="268"/>
      </w:pPr>
      <w:r>
        <w:rPr>
          <w:rFonts w:ascii="Arial" w:cs="Arial" w:eastAsia="Arial" w:hAnsi="Arial"/>
          <w:sz w:val="22"/>
          <w:szCs w:val="22"/>
        </w:rPr>
        <w:t xml:space="preserve">Financiamiento sostenible.</w:t>
      </w:r>
    </w:p>
    <w:p>
      <w:pPr>
        <w:pStyle w:val="ListParagraph"/>
        <w:numPr>
          <w:ilvl w:val="0"/>
          <w:numId w:val="2"/>
        </w:numPr>
        <w:spacing w:after="60" w:line="268"/>
      </w:pPr>
      <w:r>
        <w:rPr>
          <w:rFonts w:ascii="Arial" w:cs="Arial" w:eastAsia="Arial" w:hAnsi="Arial"/>
          <w:sz w:val="22"/>
          <w:szCs w:val="22"/>
        </w:rPr>
        <w:t xml:space="preserve">Patrocinio y liderazgo de la Alta Dirección.</w:t>
      </w:r>
    </w:p>
    <w:p>
      <w:pPr>
        <w:pStyle w:val="ListParagraph"/>
        <w:numPr>
          <w:ilvl w:val="0"/>
          <w:numId w:val="2"/>
        </w:numPr>
        <w:spacing w:after="60" w:line="268"/>
      </w:pPr>
      <w:r>
        <w:rPr>
          <w:rFonts w:ascii="Arial" w:cs="Arial" w:eastAsia="Arial" w:hAnsi="Arial"/>
          <w:sz w:val="22"/>
          <w:szCs w:val="22"/>
        </w:rPr>
        <w:t xml:space="preserve">Gobierno y rendición de cuentas.</w:t>
      </w:r>
    </w:p>
    <w:p>
      <w:pPr>
        <w:pStyle w:val="ListParagraph"/>
        <w:numPr>
          <w:ilvl w:val="0"/>
          <w:numId w:val="2"/>
        </w:numPr>
        <w:spacing w:after="60" w:line="268"/>
      </w:pPr>
      <w:r>
        <w:rPr>
          <w:rFonts w:ascii="Arial" w:cs="Arial" w:eastAsia="Arial" w:hAnsi="Arial"/>
          <w:sz w:val="22"/>
          <w:szCs w:val="22"/>
        </w:rPr>
        <w:t xml:space="preserve">Capacidad de TI para ejecutar.</w:t>
      </w:r>
    </w:p>
    <w:p>
      <w:pPr>
        <w:pStyle w:val="ListParagraph"/>
        <w:numPr>
          <w:ilvl w:val="0"/>
          <w:numId w:val="2"/>
        </w:numPr>
        <w:spacing w:after="60" w:line="268"/>
      </w:pPr>
      <w:r>
        <w:rPr>
          <w:rFonts w:ascii="Arial" w:cs="Arial" w:eastAsia="Arial" w:hAnsi="Arial"/>
          <w:sz w:val="22"/>
          <w:szCs w:val="22"/>
        </w:rPr>
        <w:t xml:space="preserve">Capacidad de la organización para operar el cambio.</w:t>
      </w:r>
    </w:p>
    <w:p>
      <w:pPr>
        <w:pStyle w:val="Heading2"/>
      </w:pPr>
      <w:bookmarkStart w:name="s52" w:id="26"/>
      <w:r>
        <w:rPr>
          <w:rFonts w:ascii="Arial" w:cs="Arial" w:eastAsia="Arial" w:hAnsi="Arial"/>
        </w:rPr>
        <w:t xml:space="preserve">5.2  Visión para cada Factor de Preparación</w:t>
      </w:r>
      <w:bookmarkEnd w:id="2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Factor</w:t>
            </w:r>
          </w:p>
        </w:tc>
        <w:tc>
          <w:tcPr>
            <w:tcW w:type="dxa" w:w="6026"/>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Visión (estado deseado)</w:t>
            </w:r>
          </w:p>
        </w:tc>
      </w:tr>
      <w:tr>
        <w:tc>
          <w:tcPr>
            <w:tcW w:type="dxa" w:w="30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Visión compartida</w:t>
            </w:r>
          </w:p>
        </w:tc>
        <w:tc>
          <w:tcPr>
            <w:tcW w:type="dxa" w:w="60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Toda la organización comprende y comparte la visión de municipalidad digital.</w:t>
            </w:r>
          </w:p>
        </w:tc>
      </w:tr>
      <w:t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Deseo de cambio</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Las áreas adoptan activamente los nuevos procesos y servicios.</w:t>
            </w:r>
          </w:p>
        </w:tc>
      </w:tr>
      <w:tr>
        <w:tc>
          <w:tcPr>
            <w:tcW w:type="dxa" w:w="30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Necesidad y caso de negocio</w:t>
            </w:r>
          </w:p>
        </w:tc>
        <w:tc>
          <w:tcPr>
            <w:tcW w:type="dxa" w:w="60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La transformación se justifica por necesidades reales y beneficios medibles.</w:t>
            </w:r>
          </w:p>
        </w:tc>
      </w:tr>
      <w:t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Financiamiento</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Presupuesto sostenible asignado y protegido entre periodos.</w:t>
            </w:r>
          </w:p>
        </w:tc>
      </w:tr>
      <w:tr>
        <w:tc>
          <w:tcPr>
            <w:tcW w:type="dxa" w:w="30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Patrocinio y liderazgo</w:t>
            </w:r>
          </w:p>
        </w:tc>
        <w:tc>
          <w:tcPr>
            <w:tcW w:type="dxa" w:w="60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Alta Dirección comprometida y visible como patrocinadora.</w:t>
            </w:r>
          </w:p>
        </w:tc>
      </w:tr>
      <w:t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Gobierno y rendición de cuentas</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Comité de AE operativo con decisiones trazables.</w:t>
            </w:r>
          </w:p>
        </w:tc>
      </w:tr>
      <w:tr>
        <w:tc>
          <w:tcPr>
            <w:tcW w:type="dxa" w:w="30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Capacidad de TI para ejecutar</w:t>
            </w:r>
          </w:p>
        </w:tc>
        <w:tc>
          <w:tcPr>
            <w:tcW w:type="dxa" w:w="60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Equipo y herramientas suficientes para implementar la arquitectura.</w:t>
            </w:r>
          </w:p>
        </w:tc>
      </w:tr>
      <w:t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Capacidad para operar el cambio</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Las gerencias sostienen y operan los nuevos servicios.</w:t>
            </w:r>
          </w:p>
        </w:tc>
      </w:tr>
    </w:tbl>
    <w:p>
      <w:pPr>
        <w:pStyle w:val="Heading2"/>
      </w:pPr>
      <w:bookmarkStart w:name="s53" w:id="27"/>
      <w:r>
        <w:rPr>
          <w:rFonts w:ascii="Arial" w:cs="Arial" w:eastAsia="Arial" w:hAnsi="Arial"/>
        </w:rPr>
        <w:t xml:space="preserve">5.3  Calificaciones Actuales</w:t>
      </w:r>
      <w:bookmarkEnd w:id="27"/>
    </w:p>
    <w:p>
      <w:pPr>
        <w:spacing w:after="120" w:line="276"/>
      </w:pPr>
      <w:r>
        <w:rPr>
          <w:rFonts w:ascii="Arial" w:cs="Arial" w:eastAsia="Arial" w:hAnsi="Arial"/>
          <w:sz w:val="22"/>
          <w:szCs w:val="22"/>
        </w:rPr>
        <w:t xml:space="preserve">Calificación del estado actual de cada factor (Bajo / Medio / Bueno):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026"/>
      </w:tblGrid>
      <w:tr>
        <w:trPr>
          <w:tblHeader/>
        </w:trPr>
        <w:tc>
          <w:tcPr>
            <w:tcW w:type="dxa" w:w="34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Factor</w:t>
            </w:r>
          </w:p>
        </w:tc>
        <w:tc>
          <w:tcPr>
            <w:tcW w:type="dxa" w:w="16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Actual</w:t>
            </w:r>
          </w:p>
        </w:tc>
        <w:tc>
          <w:tcPr>
            <w:tcW w:type="dxa" w:w="4026"/>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Comentario</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Visión compartida</w:t>
            </w:r>
          </w:p>
        </w:tc>
        <w:tc>
          <w:tcPr>
            <w:tcW w:type="dxa" w:w="1600"/>
            <w:tcBorders>
              <w:top w:val="single" w:color="BBBBBB" w:sz="4"/>
              <w:left w:val="single" w:color="BBBBBB" w:sz="4"/>
              <w:bottom w:val="single" w:color="BBBBBB" w:sz="4"/>
              <w:right w:val="single" w:color="BBBBBB" w:sz="4"/>
            </w:tcBorders>
            <w:shd w:fill="FCE8B2"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Medio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Visión clara en el equipo, aún por difundir ampliamente.</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Deseo de cambio</w:t>
            </w:r>
          </w:p>
        </w:tc>
        <w:tc>
          <w:tcPr>
            <w:tcW w:type="dxa" w:w="1600"/>
            <w:tcBorders>
              <w:top w:val="single" w:color="BBBBBB" w:sz="4"/>
              <w:left w:val="single" w:color="BBBBBB" w:sz="4"/>
              <w:bottom w:val="single" w:color="BBBBBB" w:sz="4"/>
              <w:right w:val="single" w:color="BBBBBB" w:sz="4"/>
            </w:tcBorders>
            <w:shd w:fill="FCE8B2"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Medio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Apertura variable según el área.</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Necesidad y caso de negocio</w:t>
            </w:r>
          </w:p>
        </w:tc>
        <w:tc>
          <w:tcPr>
            <w:tcW w:type="dxa" w:w="1600"/>
            <w:tcBorders>
              <w:top w:val="single" w:color="BBBBBB" w:sz="4"/>
              <w:left w:val="single" w:color="BBBBBB" w:sz="4"/>
              <w:bottom w:val="single" w:color="BBBBBB" w:sz="4"/>
              <w:right w:val="single" w:color="BBBBBB" w:sz="4"/>
            </w:tcBorders>
            <w:shd w:fill="C6E0B4"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Bueno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Problemática evidente y bien documentada.</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Financiamiento</w:t>
            </w:r>
          </w:p>
        </w:tc>
        <w:tc>
          <w:tcPr>
            <w:tcW w:type="dxa" w:w="1600"/>
            <w:tcBorders>
              <w:top w:val="single" w:color="BBBBBB" w:sz="4"/>
              <w:left w:val="single" w:color="BBBBBB" w:sz="4"/>
              <w:bottom w:val="single" w:color="BBBBBB" w:sz="4"/>
              <w:right w:val="single" w:color="BBBBBB" w:sz="4"/>
            </w:tcBorders>
            <w:shd w:fill="F4C7C3"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Bajo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Presupuesto no asegurado entre periodos.</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Patrocinio y liderazgo</w:t>
            </w:r>
          </w:p>
        </w:tc>
        <w:tc>
          <w:tcPr>
            <w:tcW w:type="dxa" w:w="1600"/>
            <w:tcBorders>
              <w:top w:val="single" w:color="BBBBBB" w:sz="4"/>
              <w:left w:val="single" w:color="BBBBBB" w:sz="4"/>
              <w:bottom w:val="single" w:color="BBBBBB" w:sz="4"/>
              <w:right w:val="single" w:color="BBBBBB" w:sz="4"/>
            </w:tcBorders>
            <w:shd w:fill="FCE8B2"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Medio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Apoyo presente pero sensible a cambios políticos.</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Gobierno y rendición de cuentas</w:t>
            </w:r>
          </w:p>
        </w:tc>
        <w:tc>
          <w:tcPr>
            <w:tcW w:type="dxa" w:w="1600"/>
            <w:tcBorders>
              <w:top w:val="single" w:color="BBBBBB" w:sz="4"/>
              <w:left w:val="single" w:color="BBBBBB" w:sz="4"/>
              <w:bottom w:val="single" w:color="BBBBBB" w:sz="4"/>
              <w:right w:val="single" w:color="BBBBBB" w:sz="4"/>
            </w:tcBorders>
            <w:shd w:fill="F4C7C3"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Bajo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Comité de AE aún por formalizar.</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Capacidad de TI para ejecutar</w:t>
            </w:r>
          </w:p>
        </w:tc>
        <w:tc>
          <w:tcPr>
            <w:tcW w:type="dxa" w:w="1600"/>
            <w:tcBorders>
              <w:top w:val="single" w:color="BBBBBB" w:sz="4"/>
              <w:left w:val="single" w:color="BBBBBB" w:sz="4"/>
              <w:bottom w:val="single" w:color="BBBBBB" w:sz="4"/>
              <w:right w:val="single" w:color="BBBBBB" w:sz="4"/>
            </w:tcBorders>
            <w:shd w:fill="FCE8B2"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Medio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Personal capaz, sin experiencia TOGAF previa.</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Capacidad para operar el cambio</w:t>
            </w:r>
          </w:p>
        </w:tc>
        <w:tc>
          <w:tcPr>
            <w:tcW w:type="dxa" w:w="1600"/>
            <w:tcBorders>
              <w:top w:val="single" w:color="BBBBBB" w:sz="4"/>
              <w:left w:val="single" w:color="BBBBBB" w:sz="4"/>
              <w:bottom w:val="single" w:color="BBBBBB" w:sz="4"/>
              <w:right w:val="single" w:color="BBBBBB" w:sz="4"/>
            </w:tcBorders>
            <w:shd w:fill="F4C7C3"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Bajo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Madurez de procesos incipiente.</w:t>
            </w:r>
          </w:p>
        </w:tc>
      </w:tr>
    </w:tbl>
    <w:p>
      <w:pPr>
        <w:pStyle w:val="Heading2"/>
      </w:pPr>
      <w:bookmarkStart w:name="s54" w:id="28"/>
      <w:r>
        <w:rPr>
          <w:rFonts w:ascii="Arial" w:cs="Arial" w:eastAsia="Arial" w:hAnsi="Arial"/>
        </w:rPr>
        <w:t xml:space="preserve">5.4  Calificaciones Objetivo</w:t>
      </w:r>
      <w:bookmarkEnd w:id="28"/>
    </w:p>
    <w:p>
      <w:pPr>
        <w:spacing w:after="120" w:line="276"/>
      </w:pPr>
      <w:r>
        <w:rPr>
          <w:rFonts w:ascii="Arial" w:cs="Arial" w:eastAsia="Arial" w:hAnsi="Arial"/>
          <w:sz w:val="22"/>
          <w:szCs w:val="22"/>
        </w:rPr>
        <w:t xml:space="preserve">Estado objetivo de cada factor al cierre del esfuerzo arquitectónico: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026"/>
      </w:tblGrid>
      <w:tr>
        <w:trPr>
          <w:tblHeader/>
        </w:trPr>
        <w:tc>
          <w:tcPr>
            <w:tcW w:type="dxa" w:w="3400"/>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Factor</w:t>
            </w:r>
          </w:p>
        </w:tc>
        <w:tc>
          <w:tcPr>
            <w:tcW w:type="dxa" w:w="1600"/>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Objetivo</w:t>
            </w:r>
          </w:p>
        </w:tc>
        <w:tc>
          <w:tcPr>
            <w:tcW w:type="dxa" w:w="4026"/>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Acción para alcanzarlo</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Visión compartida</w:t>
            </w:r>
          </w:p>
        </w:tc>
        <w:tc>
          <w:tcPr>
            <w:tcW w:type="dxa" w:w="1600"/>
            <w:tcBorders>
              <w:top w:val="single" w:color="BBBBBB" w:sz="4"/>
              <w:left w:val="single" w:color="BBBBBB" w:sz="4"/>
              <w:bottom w:val="single" w:color="BBBBBB" w:sz="4"/>
              <w:right w:val="single" w:color="BBBBBB" w:sz="4"/>
            </w:tcBorders>
            <w:shd w:fill="C6E0B4"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Bueno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Plan de comunicación y sensibilización institucional.</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Deseo de cambio</w:t>
            </w:r>
          </w:p>
        </w:tc>
        <w:tc>
          <w:tcPr>
            <w:tcW w:type="dxa" w:w="1600"/>
            <w:tcBorders>
              <w:top w:val="single" w:color="BBBBBB" w:sz="4"/>
              <w:left w:val="single" w:color="BBBBBB" w:sz="4"/>
              <w:bottom w:val="single" w:color="BBBBBB" w:sz="4"/>
              <w:right w:val="single" w:color="BBBBBB" w:sz="4"/>
            </w:tcBorders>
            <w:shd w:fill="C6E0B4"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Bueno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Gestión del cambio y participación de áreas usuarias.</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Necesidad y caso de negocio</w:t>
            </w:r>
          </w:p>
        </w:tc>
        <w:tc>
          <w:tcPr>
            <w:tcW w:type="dxa" w:w="1600"/>
            <w:tcBorders>
              <w:top w:val="single" w:color="BBBBBB" w:sz="4"/>
              <w:left w:val="single" w:color="BBBBBB" w:sz="4"/>
              <w:bottom w:val="single" w:color="BBBBBB" w:sz="4"/>
              <w:right w:val="single" w:color="BBBBBB" w:sz="4"/>
            </w:tcBorders>
            <w:shd w:fill="C6E0B4"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Bueno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Mantener el caso de negocio actualizado con métricas.</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Financiamiento</w:t>
            </w:r>
          </w:p>
        </w:tc>
        <w:tc>
          <w:tcPr>
            <w:tcW w:type="dxa" w:w="1600"/>
            <w:tcBorders>
              <w:top w:val="single" w:color="BBBBBB" w:sz="4"/>
              <w:left w:val="single" w:color="BBBBBB" w:sz="4"/>
              <w:bottom w:val="single" w:color="BBBBBB" w:sz="4"/>
              <w:right w:val="single" w:color="BBBBBB" w:sz="4"/>
            </w:tcBorders>
            <w:shd w:fill="FCE8B2"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Medio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Formalizar presupuesto plurianual por resolución.</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Patrocinio y liderazgo</w:t>
            </w:r>
          </w:p>
        </w:tc>
        <w:tc>
          <w:tcPr>
            <w:tcW w:type="dxa" w:w="1600"/>
            <w:tcBorders>
              <w:top w:val="single" w:color="BBBBBB" w:sz="4"/>
              <w:left w:val="single" w:color="BBBBBB" w:sz="4"/>
              <w:bottom w:val="single" w:color="BBBBBB" w:sz="4"/>
              <w:right w:val="single" w:color="BBBBBB" w:sz="4"/>
            </w:tcBorders>
            <w:shd w:fill="C6E0B4"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Bueno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Compromiso formal de la Alta Dirección.</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Gobierno y rendición de cuentas</w:t>
            </w:r>
          </w:p>
        </w:tc>
        <w:tc>
          <w:tcPr>
            <w:tcW w:type="dxa" w:w="1600"/>
            <w:tcBorders>
              <w:top w:val="single" w:color="BBBBBB" w:sz="4"/>
              <w:left w:val="single" w:color="BBBBBB" w:sz="4"/>
              <w:bottom w:val="single" w:color="BBBBBB" w:sz="4"/>
              <w:right w:val="single" w:color="BBBBBB" w:sz="4"/>
            </w:tcBorders>
            <w:shd w:fill="C6E0B4"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Bueno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Formalizar el Comité de AE y el governance log.</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Capacidad de TI para ejecutar</w:t>
            </w:r>
          </w:p>
        </w:tc>
        <w:tc>
          <w:tcPr>
            <w:tcW w:type="dxa" w:w="1600"/>
            <w:tcBorders>
              <w:top w:val="single" w:color="BBBBBB" w:sz="4"/>
              <w:left w:val="single" w:color="BBBBBB" w:sz="4"/>
              <w:bottom w:val="single" w:color="BBBBBB" w:sz="4"/>
              <w:right w:val="single" w:color="BBBBBB" w:sz="4"/>
            </w:tcBorders>
            <w:shd w:fill="C6E0B4"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Bueno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Capacitación, certificación y soporte de consultores.</w:t>
            </w:r>
          </w:p>
        </w:tc>
      </w:tr>
      <w:tr>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Capacidad para operar el cambio</w:t>
            </w:r>
          </w:p>
        </w:tc>
        <w:tc>
          <w:tcPr>
            <w:tcW w:type="dxa" w:w="1600"/>
            <w:tcBorders>
              <w:top w:val="single" w:color="BBBBBB" w:sz="4"/>
              <w:left w:val="single" w:color="BBBBBB" w:sz="4"/>
              <w:bottom w:val="single" w:color="BBBBBB" w:sz="4"/>
              <w:right w:val="single" w:color="BBBBBB" w:sz="4"/>
            </w:tcBorders>
            <w:shd w:fill="FCE8B2" w:color="auto" w:val="clear"/>
            <w:tcMar>
              <w:top w:type="dxa" w:w="70"/>
              <w:left w:type="dxa" w:w="120"/>
              <w:bottom w:type="dxa" w:w="70"/>
              <w:right w:type="dxa" w:w="120"/>
            </w:tcMar>
            <w:vAlign w:val="center"/>
          </w:tcPr>
          <w:p>
            <w:pPr>
              <w:spacing w:after="0" w:line="252"/>
              <w:jc w:val="center"/>
            </w:pPr>
            <w:r>
              <w:rPr>
                <w:rFonts w:ascii="Arial" w:cs="Arial" w:eastAsia="Arial" w:hAnsi="Arial"/>
                <w:b/>
                <w:bCs/>
                <w:sz w:val="20"/>
                <w:szCs w:val="20"/>
              </w:rPr>
              <w:t xml:space="preserve">Medio</w:t>
            </w:r>
          </w:p>
        </w:tc>
        <w:tc>
          <w:tcPr>
            <w:tcW w:type="dxa" w:w="4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Estandarizar procesos y red de enlaces funcionales.</w:t>
            </w:r>
          </w:p>
        </w:tc>
      </w:tr>
    </w:tbl>
    <w:p>
      <w:pPr>
        <w:pStyle w:val="Heading2"/>
      </w:pPr>
      <w:bookmarkStart w:name="s55" w:id="29"/>
      <w:r>
        <w:rPr>
          <w:rFonts w:ascii="Arial" w:cs="Arial" w:eastAsia="Arial" w:hAnsi="Arial"/>
        </w:rPr>
        <w:t xml:space="preserve">5.5  Riesgos de Preparación</w:t>
      </w:r>
      <w:bookmarkEnd w:id="29"/>
    </w:p>
    <w:p>
      <w:pPr>
        <w:spacing w:after="120" w:line="276"/>
      </w:pPr>
      <w:r>
        <w:rPr>
          <w:rFonts w:ascii="Arial" w:cs="Arial" w:eastAsia="Arial" w:hAnsi="Arial"/>
          <w:sz w:val="22"/>
          <w:szCs w:val="22"/>
        </w:rPr>
        <w:t xml:space="preserve">Principales riesgos que pueden afectar la transformación y sus mitigaciones: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4726"/>
      </w:tblGrid>
      <w:tr>
        <w:trPr>
          <w:tblHeader/>
        </w:trPr>
        <w:tc>
          <w:tcPr>
            <w:tcW w:type="dxa" w:w="30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Riesgo</w:t>
            </w:r>
          </w:p>
        </w:tc>
        <w:tc>
          <w:tcPr>
            <w:tcW w:type="dxa" w:w="13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Impacto</w:t>
            </w:r>
          </w:p>
        </w:tc>
        <w:tc>
          <w:tcPr>
            <w:tcW w:type="dxa" w:w="4726"/>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Mitigación</w:t>
            </w:r>
          </w:p>
        </w:tc>
      </w:tr>
      <w:tr>
        <w:tc>
          <w:tcPr>
            <w:tcW w:type="dxa" w:w="30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Rotación política y de gestión</w:t>
            </w:r>
          </w:p>
        </w:tc>
        <w:tc>
          <w:tcPr>
            <w:tcW w:type="dxa" w:w="13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Alto</w:t>
            </w:r>
          </w:p>
        </w:tc>
        <w:tc>
          <w:tcPr>
            <w:tcW w:type="dxa" w:w="47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Formalizar la estructura por resolución y documentar decisiones.</w:t>
            </w:r>
          </w:p>
        </w:tc>
      </w:tr>
      <w:t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Financiamiento insuficiente o discontinuo</w:t>
            </w:r>
          </w:p>
        </w:tc>
        <w:tc>
          <w:tcPr>
            <w:tcW w:type="dxa" w:w="13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Alto</w:t>
            </w:r>
          </w:p>
        </w:tc>
        <w:tc>
          <w:tcPr>
            <w:tcW w:type="dxa" w:w="47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Asegurar presupuesto plurianual y priorizar quick wins.</w:t>
            </w:r>
          </w:p>
        </w:tc>
      </w:tr>
      <w:tr>
        <w:tc>
          <w:tcPr>
            <w:tcW w:type="dxa" w:w="30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Resistencia al cambio en áreas usuarias</w:t>
            </w:r>
          </w:p>
        </w:tc>
        <w:tc>
          <w:tcPr>
            <w:tcW w:type="dxa" w:w="13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Medio</w:t>
            </w:r>
          </w:p>
        </w:tc>
        <w:tc>
          <w:tcPr>
            <w:tcW w:type="dxa" w:w="47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Gestión del cambio, capacitación y participación temprana.</w:t>
            </w:r>
          </w:p>
        </w:tc>
      </w:tr>
      <w:t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Dependencia de consultores externos</w:t>
            </w:r>
          </w:p>
        </w:tc>
        <w:tc>
          <w:tcPr>
            <w:tcW w:type="dxa" w:w="13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Medio</w:t>
            </w:r>
          </w:p>
        </w:tc>
        <w:tc>
          <w:tcPr>
            <w:tcW w:type="dxa" w:w="47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Plan de transferencia de conocimiento al personal interno.</w:t>
            </w:r>
          </w:p>
        </w:tc>
      </w:tr>
      <w:tr>
        <w:tc>
          <w:tcPr>
            <w:tcW w:type="dxa" w:w="30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Brecha de habilidades en TOGAF</w:t>
            </w:r>
          </w:p>
        </w:tc>
        <w:tc>
          <w:tcPr>
            <w:tcW w:type="dxa" w:w="13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Medio</w:t>
            </w:r>
          </w:p>
        </w:tc>
        <w:tc>
          <w:tcPr>
            <w:tcW w:type="dxa" w:w="47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Plan de capacitación y certificación del equipo.</w:t>
            </w:r>
          </w:p>
        </w:tc>
      </w:tr>
      <w:t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Persistencia de silos de información</w:t>
            </w:r>
          </w:p>
        </w:tc>
        <w:tc>
          <w:tcPr>
            <w:tcW w:type="dxa" w:w="13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Alto</w:t>
            </w:r>
          </w:p>
        </w:tc>
        <w:tc>
          <w:tcPr>
            <w:tcW w:type="dxa" w:w="47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Gobierno de datos e interoperabilidad vía PIDE.</w:t>
            </w:r>
          </w:p>
        </w:tc>
      </w:tr>
    </w:tbl>
    <w:p>
      <w:pPr>
        <w:spacing w:after="120" w:line="276"/>
      </w:pPr>
      <w:r>
        <w:rPr>
          <w:rFonts w:ascii="Arial" w:cs="Arial" w:eastAsia="Arial" w:hAnsi="Arial"/>
          <w:i/>
          <w:iCs/>
          <w:color w:val="555555"/>
          <w:sz w:val="22"/>
          <w:szCs w:val="22"/>
        </w:rPr>
        <w:t xml:space="preserve">En conjunto, la MML presenta una preparación media para la transformación: existe una necesidad clara y un caso de negocio sólido, pero el financiamiento, el gobierno y la capacidad de operación requieren ser fortalecidos antes y durante la ejecución de las fases B, C y D del ADM.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B8B" w:sz="6" w:space="4"/>
      </w:pBdr>
      <w:tabs>
        <w:tab w:val="center" w:pos="4513"/>
        <w:tab w:val="right" w:pos="9026"/>
      </w:tabs>
      <w:spacing w:before="0"/>
    </w:pPr>
    <w:r>
      <w:rPr>
        <w:rFonts w:ascii="Arial" w:cs="Arial" w:eastAsia="Arial" w:hAnsi="Arial"/>
        <w:color w:val="777777"/>
        <w:sz w:val="16"/>
        <w:szCs w:val="16"/>
      </w:rPr>
      <w:t xml:space="preserve">Versión 0.1 (Borrador)</w:t>
    </w:r>
    <w:r>
      <w:rPr>
        <w:rFonts w:ascii="Arial" w:cs="Arial" w:eastAsia="Arial" w:hAnsi="Arial"/>
        <w:color w:val="777777"/>
        <w:sz w:val="16"/>
        <w:szCs w:val="16"/>
      </w:rPr>
      <w:t xml:space="preserve">	No Clasificado</w:t>
    </w:r>
    <w:r>
      <w:rPr>
        <w:rFonts w:ascii="Arial" w:cs="Arial" w:eastAsia="Arial" w:hAnsi="Arial"/>
        <w:color w:val="777777"/>
        <w:sz w:val="16"/>
        <w:szCs w:val="16"/>
      </w:rPr>
      <w:t xml:space="preserve">	Página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de </w:t>
    </w:r>
    <w:r>
      <w:rPr>
        <w:rFonts w:ascii="Arial" w:cs="Arial" w:eastAsia="Arial" w:hAnsi="Arial"/>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B8B" w:sz="6" w:space="4"/>
      </w:pBdr>
      <w:tabs>
        <w:tab w:val="right" w:pos="9026"/>
      </w:tabs>
      <w:spacing w:after="0"/>
    </w:pPr>
    <w:r>
      <w:rPr>
        <w:rFonts w:ascii="Arial" w:cs="Arial" w:eastAsia="Arial" w:hAnsi="Arial"/>
        <w:b/>
        <w:bCs/>
        <w:color w:val="5B2C87"/>
        <w:sz w:val="16"/>
        <w:szCs w:val="16"/>
      </w:rPr>
      <w:t xml:space="preserve">Capability Assessment</w:t>
    </w:r>
    <w:r>
      <w:rPr>
        <w:rFonts w:ascii="Arial" w:cs="Arial" w:eastAsia="Arial" w:hAnsi="Arial"/>
        <w:color w:val="777777"/>
        <w:sz w:val="16"/>
        <w:szCs w:val="16"/>
      </w:rPr>
      <w:t xml:space="preserve">	Municipalidad Metropolitana de Lima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B8B" w:sz="8" w:space="4"/>
      </w:pBdr>
      <w:spacing w:after="160" w:before="300"/>
      <w:outlineLvl w:val="0"/>
    </w:pPr>
    <w:rPr>
      <w:rFonts w:ascii="Arial" w:cs="Arial" w:eastAsia="Arial" w:hAnsi="Arial"/>
      <w:b/>
      <w:bCs/>
      <w:color w:val="5B2C87"/>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8B8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cbc97fcdb8165eaf5280528690810c0dd1e0a6b.png"/><Relationship Id="rId10" Type="http://schemas.openxmlformats.org/officeDocument/2006/relationships/image" Target="media/636a5b534c98526e4f9a1afe9e50c0548dc472d4.png"/><Relationship Id="rId11" Type="http://schemas.openxmlformats.org/officeDocument/2006/relationships/image" Target="media/f929dbad12695826bcfcfd271f9e32e53285850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2026-06-05T20:03:36.791Z</dcterms:created>
  <dcterms:modified xsi:type="dcterms:W3CDTF">2026-06-05T20:03:36.791Z</dcterms:modified>
</cp:coreProperties>
</file>

<file path=docProps/custom.xml><?xml version="1.0" encoding="utf-8"?>
<Properties xmlns="http://schemas.openxmlformats.org/officeDocument/2006/custom-properties" xmlns:vt="http://schemas.openxmlformats.org/officeDocument/2006/docPropsVTypes"/>
</file>