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30"/>
          <w:szCs w:val="30"/>
        </w:rPr>
        <w:t xml:space="preserve">UNIVERSIDAD NACIONAL DE INGENIERÍA</w:t>
      </w:r>
    </w:p>
    <w:p>
      <w:pPr>
        <w:spacing w:after="500"/>
        <w:jc w:val="center"/>
      </w:pPr>
      <w:r>
        <w:rPr>
          <w:color w:val="2E5496"/>
          <w:sz w:val="24"/>
          <w:szCs w:val="24"/>
        </w:rPr>
        <w:t xml:space="preserve">FACULTAD DE INGENIERÍA INDUSTRIAL Y SISTEMAS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APLICACIÓN DE TOGAF A LA MUNICIPALIDAD DE LIMA</w:t>
      </w:r>
    </w:p>
    <w:p>
      <w:pPr>
        <w:spacing w:after="360"/>
        <w:jc w:val="center"/>
      </w:pPr>
      <w:r>
        <w:rPr>
          <w:b/>
          <w:bCs/>
          <w:color w:val="C00000"/>
          <w:sz w:val="26"/>
          <w:szCs w:val="26"/>
        </w:rPr>
        <w:t xml:space="preserve">FASE B: ARQUITECTURA DE NEGOCIO</w:t>
      </w:r>
    </w:p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Documento de Definición de Arquitectura</w:t>
      </w:r>
    </w:p>
    <w:p>
      <w:pPr>
        <w:spacing w:after="500"/>
        <w:jc w:val="center"/>
      </w:pPr>
      <w:r>
        <w:rPr>
          <w:i/>
          <w:iCs/>
          <w:color w:val="808080"/>
          <w:sz w:val="20"/>
          <w:szCs w:val="20"/>
        </w:rPr>
        <w:t xml:space="preserve">Entregable TOGAF — Fase B: Arquitectura de Negocio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sz w:val="20"/>
          <w:szCs w:val="20"/>
        </w:rPr>
        <w:t xml:space="preserve">Chirinos Paredes, Fernando Angel — 20221247C</w:t>
      </w:r>
    </w:p>
    <w:p>
      <w:pPr>
        <w:spacing w:after="40"/>
        <w:jc w:val="center"/>
      </w:pPr>
      <w:r>
        <w:rPr>
          <w:sz w:val="20"/>
          <w:szCs w:val="20"/>
        </w:rPr>
        <w:t xml:space="preserve">Ruiz Luna, Dair Aldrin — 20212141A</w:t>
      </w:r>
    </w:p>
    <w:p>
      <w:pPr>
        <w:spacing w:after="40"/>
        <w:jc w:val="center"/>
      </w:pPr>
      <w:r>
        <w:rPr>
          <w:sz w:val="20"/>
          <w:szCs w:val="20"/>
        </w:rPr>
        <w:t xml:space="preserve">Garcia Retuerto, Jholvis Juan — 20221013B</w:t>
      </w:r>
    </w:p>
    <w:p>
      <w:pPr>
        <w:spacing w:after="40"/>
        <w:jc w:val="center"/>
      </w:pPr>
      <w:r>
        <w:rPr>
          <w:sz w:val="20"/>
          <w:szCs w:val="20"/>
        </w:rPr>
        <w:t xml:space="preserve">Jaramillo Blanco, Lenin Anderson — 20212632E</w:t>
      </w:r>
    </w:p>
    <w:p>
      <w:pPr>
        <w:spacing w:after="40"/>
        <w:jc w:val="center"/>
      </w:pPr>
      <w:r>
        <w:rPr>
          <w:sz w:val="20"/>
          <w:szCs w:val="20"/>
        </w:rPr>
        <w:t xml:space="preserve">Ramos Lopez, Denilson David Giovanni — 20191240F</w:t>
      </w:r>
    </w:p>
    <w:p>
      <w:pPr>
        <w:spacing w:after="40"/>
        <w:jc w:val="center"/>
      </w:pPr>
      <w:r>
        <w:rPr>
          <w:sz w:val="20"/>
          <w:szCs w:val="20"/>
        </w:rPr>
        <w:t xml:space="preserve">Vila Chahua, Jean Paul — 20170035D</w:t>
      </w:r>
    </w:p>
    <w:p>
      <w:pPr>
        <w:spacing w:after="40"/>
        <w:jc w:val="center"/>
      </w:pPr>
      <w:r>
        <w:rPr>
          <w:sz w:val="20"/>
          <w:szCs w:val="20"/>
        </w:rPr>
        <w:t xml:space="preserve">Chauvet, Loriano Celso Gaby — II2026102</w:t>
      </w:r>
    </w:p>
    <w:p>
      <w:pPr>
        <w:spacing w:after="300"/>
      </w:pPr>
    </w:p>
    <w:p>
      <w:pPr>
        <w:spacing w:after="40"/>
        <w:jc w:val="center"/>
      </w:pPr>
      <w:r>
        <w:rPr>
          <w:sz w:val="20"/>
          <w:szCs w:val="20"/>
        </w:rPr>
        <w:t xml:space="preserve">Docente: Tobías Enrique Aliaga Vilchez</w:t>
      </w:r>
    </w:p>
    <w:p>
      <w:pPr>
        <w:spacing w:after="200"/>
        <w:jc w:val="center"/>
      </w:pPr>
      <w:r>
        <w:rPr>
          <w:sz w:val="20"/>
          <w:szCs w:val="20"/>
        </w:rPr>
        <w:t xml:space="preserve">SI605U: Arquitectura Empresarial</w:t>
      </w:r>
    </w:p>
    <w:p>
      <w:pPr>
        <w:spacing w:after="80"/>
        <w:jc w:val="center"/>
      </w:pPr>
      <w:r>
        <w:rPr>
          <w:color w:val="808080"/>
          <w:sz w:val="20"/>
          <w:szCs w:val="20"/>
        </w:rPr>
        <w:t xml:space="preserve">Lima – Perú ·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Aplicación de TOGAF — Municipalidad Metropolitana de Lima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Título del documento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Documento de Definición de Arquitectura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Fase ADM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Fase B — Arquitectura de Negocio (Business Architecture)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Para revisión y aprobación del Comité de Arquitectura Empresarial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de Arquitectura Empresarial — FIIS-UNI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Revisado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Arquitecto Empresarial Principal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Comité de Arquitectura Empresarial (Gerencia Municipal · Planificación · GTI)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2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Estructura inicial a partir de la plantilla TOGAF 9.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Incorporación de contenido de las fases Preliminar y A.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Versión completa adaptada a la MML para Fase 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Propósito del documento</w:t>
      </w:r>
    </w:p>
    <w:p>
      <w:pPr>
        <w:spacing w:after="120" w:line="276"/>
        <w:jc w:val="both"/>
      </w:pPr>
      <w:r>
        <w:t xml:space="preserve">El presente Documento de Definición de Arquitectura (Architecture Definition Document, ADD) consolida los artefactos arquitectónicos centrales producidos durante la Fase B – Arquitectura de Negocio del Método de Desarrollo de la Arquitectura (ADM) de TOGAF, aplicado a la Municipalidad Metropolitana de Lima (MML).</w:t>
      </w:r>
    </w:p>
    <w:p>
      <w:pPr>
        <w:spacing w:after="120" w:line="276"/>
        <w:jc w:val="both"/>
      </w:pPr>
      <w:r>
        <w:t xml:space="preserve">De acuerdo con TOGAF, el ADD constituye el contenedor de entregables que abarca los cuatro dominios de arquitectura (negocio, datos, aplicaciones y tecnología) y examina los estados relevantes de la arquitectura: línea base (Baseline / AS-IS), estados de transición y arquitectura objetivo (Target / TO-BE). Dado que esta iteración del ADM corresponde a la Fase B, el documento desarrolla en profundidad el dominio de negocio y describe a alto nivel los dominios de datos, aplicaciones y tecnología, cuyo detalle se abordará en las Fases C y D.</w:t>
      </w:r>
    </w:p>
    <w:p>
      <w:pPr>
        <w:spacing w:after="120" w:line="276"/>
        <w:jc w:val="both"/>
      </w:pPr>
      <w:r>
        <w:t xml:space="preserve">Este documento es complementario a la Especificación de Requisitos de Arquitectura y a la Hoja de Ruta de Arquitectura: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Documento de Definición de Arquitectura ofrece una visión cualitativa de la solución y comunica la intención de los arquitectos.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Especificación de Requisitos de Arquitectura ofrece una visión cuantitativa, con criterios medibles que deben cumplirse durante la implementación.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Hoja de Ruta de Arquitectura ordena en el tiempo los paquetes de trabajo que llevan de la línea base a la arquitectura objetivo.</w:t>
      </w:r>
    </w:p>
    <w:p>
      <w:pPr>
        <w:spacing w:after="120" w:line="276"/>
        <w:jc w:val="both"/>
      </w:pPr>
      <w:r>
        <w:t xml:space="preserve">El contenido aquí presentado es coherente con la Fase Preliminar (alcance organizacional, marco de gobierno, equipo de AE, principios, marcos de referencia y herramientas) y con la Fase A – Visión de la Arquitectura (stakeholders, metas, impulsores, restricciones, capacidades, visión Baseline–Target, KPI, riesgos y Declaración del Trabajo de Arquitectura).</w:t>
      </w:r>
    </w:p>
    <w:p>
      <w:pPr>
        <w:pStyle w:val="Heading1"/>
      </w:pPr>
      <w:r>
        <w:t xml:space="preserve">2. Alcance</w:t>
      </w:r>
    </w:p>
    <w:p>
      <w:pPr>
        <w:spacing w:after="120" w:line="276"/>
        <w:jc w:val="both"/>
      </w:pPr>
      <w:r>
        <w:t xml:space="preserve">El alcance de la arquitectura de negocio de esta primera iteración del ADM se concentra en dos frentes prioritarios definidos en la Fase A: la digitalización de los servicios orientados al ciudadano y la integración e interoperabilidad de los procesos y sistemas internos hoy dispersos.</w:t>
      </w:r>
    </w:p>
    <w:p>
      <w:pPr>
        <w:pStyle w:val="Heading2"/>
      </w:pPr>
      <w:r>
        <w:t xml:space="preserve">2.1. Elementos dentro del alcance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Procesos de atención al ciudadano: licencias de funcionamiento, pago de arbitrios y tributos, consultas de expedientes, atención de reclamos y sugerencias, y notificaciones.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Procesos internos de soporte directamente vinculados a la atención: gestión documentaria (mesa de partes), fiscalización y recaudación tributaria.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Áreas y gerencias: atención ciudadana, administración tributaria (rentas/SAT), licencias y desarrollo urbano, fiscalización, gestión documentaria, Gerencia de Tecnologías de la Información (GTI) y Subgerencia de Gobierno Digital.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Actores externos relevantes: ciudadanos, empresas y comercios, PCM–SGTD, RENIEC y Contraloría General de la República.</w:t>
      </w:r>
    </w:p>
    <w:p>
      <w:pPr>
        <w:pStyle w:val="Heading2"/>
      </w:pPr>
      <w:r>
        <w:t xml:space="preserve">2.2. Elementos fuera del alcance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Procesos internos no relacionados directamente con la atención ciudadana en esta iteración (p. ej., detalle operativo de logística, contabilidad o recursos humanos), que se incorporarán en iteraciones posteriores.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detalle de arquitectura de datos, aplicaciones y tecnología, que se desarrollará en las Fases C y D del ADM.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Organismos públicos descentralizados y empresas municipales, salvo en sus interfaces de interoperabilidad.</w:t>
      </w:r>
    </w:p>
    <w:p>
      <w:pPr>
        <w:pStyle w:val="Heading2"/>
      </w:pPr>
      <w:r>
        <w:t xml:space="preserve">2.3. Resumen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 definido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ALC-01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Amplitud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Áreas de atención ciudadana, administración tributaria, licencias, fiscalización, gestión documentaria y TI de la MML.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ALC-02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Profundidad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Detalle pleno del dominio de negocio; nivel conceptual/lógico de datos, aplicaciones y tecnología.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ALC-03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Dominios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Negocio (foco de Fase B); datos, aplicaciones y tecnología a alto nivel.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ALC-04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Arquitectura objetivo de mediano plazo, alineada con el Plan Estratégico Institucional (PEI).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ALC-05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Gerencia Municipal (patrocinador ejecutivo); responsable técnico: Arquitecto Empresarial Principal.</w:t>
            </w:r>
          </w:p>
        </w:tc>
      </w:tr>
    </w:tbl>
    <w:p>
      <w:pPr>
        <w:pStyle w:val="Heading1"/>
      </w:pPr>
      <w:r>
        <w:t xml:space="preserve">3. Metas, objetivos y restricciones</w:t>
      </w:r>
    </w:p>
    <w:p>
      <w:pPr>
        <w:pStyle w:val="Heading2"/>
      </w:pPr>
      <w:r>
        <w:t xml:space="preserve">3.1. Metas de negocio y tecnología</w:t>
      </w:r>
    </w:p>
    <w:p>
      <w:pPr>
        <w:spacing w:after="120" w:line="276"/>
        <w:jc w:val="both"/>
      </w:pPr>
      <w:r>
        <w:t xml:space="preserve">Las metas confirmadas en la Fase A orientan la arquitectura de negocio objetivo y justifican cada inversión tecnológica por una necesidad real del municipio: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60"/>
        <w:gridCol w:w="21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MET-01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Mejorar la calidad y rapidez de la atención al ciudadano.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MET-02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Integrar la información entre gerencias y eliminar la duplicidad de datos.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Negocio / Tecnología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MET-03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Aumentar la transparencia y la trazabilidad de los procesos municipales.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MET-04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Reducir costos operativos y tiempos administrativos.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MET-05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Habilitar servicios digitales interoperables conforme a la Ley de Gobierno Digital.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Tecnología</w:t>
            </w:r>
          </w:p>
        </w:tc>
      </w:tr>
    </w:tbl>
    <w:p>
      <w:pPr>
        <w:pStyle w:val="Heading2"/>
      </w:pPr>
      <w:r>
        <w:t xml:space="preserve">3.2. Objetivos derivados de las metas</w:t>
      </w:r>
    </w:p>
    <w:p>
      <w:pPr>
        <w:spacing w:after="120" w:line="276"/>
        <w:jc w:val="both"/>
      </w:pPr>
      <w:r>
        <w:t xml:space="preserve">Cada objetivo se clasifica según TOGAF en objetivos de proyecto (alineados a la entrega) y objetivos estratégicos/empresariales (alineados a la misión institucional):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17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asociada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Digitalizar al menos el 70 % de los trámites ciudadanos prioritarios.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MET-01, MET-05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Implantar una mesa de partes virtual con seguimiento de expedientes de extremo a extremo.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MET-01, MET-03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Integrar los sistemas de las gerencias mediante la PIDE y servicios comunes.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Estratégico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MET-02, MET-05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Establecer un modelo de gobierno de datos con un registro único del ciudadano.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Estratégico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MET-02, MET-03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Reducir en 40 % el tiempo promedio de atención de trámites prioritarios.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MET-04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OBJ-06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Asegurar la protección de datos personales y la seguridad por diseño.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Estratégico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MET-03</w:t>
            </w:r>
          </w:p>
        </w:tc>
      </w:tr>
    </w:tbl>
    <w:p>
      <w:pPr>
        <w:pStyle w:val="Heading2"/>
      </w:pPr>
      <w:r>
        <w:t xml:space="preserve">3.3. Stakeholders y sus preocupaciones</w:t>
      </w:r>
    </w:p>
    <w:p>
      <w:pPr>
        <w:spacing w:after="120" w:line="276"/>
        <w:jc w:val="both"/>
      </w:pPr>
      <w:r>
        <w:t xml:space="preserve">Se retoma y refina la matriz de interesados de la Fase A, distinguiendo interesados internos y externos junto con su preocupación principal frente a la arquitectura de negocio: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Preocupación principal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Alcaldía y Gerencia Municipal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Cumplimiento del PEI, gobernabilidad y resultados visibles ante la ciudadanía.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Gerencia de Tecnologías de la Información (GTI)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Integración de sistemas, sostenibilidad técnica y seguridad de la información.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Subgerencia de Gobierno Digital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Cumplimiento de la SGTD–PCM, servicios digitales e interoperabilidad.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Gerencias de línea (licencias, rentas/SAT, fiscalización)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Continuidad operativa y simplificación de procesos sin interrumpir el servicio.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Ciudadanos y empresas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Trámites rápidos, accesibles y transparentes; protección de datos personales.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PCM – Secretaría de Gobierno y Transformación Digital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Cumplimiento de la normativa de Gobierno Digital e interoperabilidad (PIDE).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Contraloría General de la República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Externo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Trazabilidad, control interno y uso adecuado de recursos públicos.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Tabla 3.1. Catálogo de interesados (stakeholders) y preocupaciones — Fase B.</w:t>
      </w:r>
    </w:p>
    <w:p>
      <w:pPr>
        <w:pStyle w:val="Heading2"/>
      </w:pPr>
      <w:r>
        <w:t xml:space="preserve">3.4.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Presupuesto público limitado y sujeto a aprobación anual.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Económica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Sistemas heredados poco documentados y aislados.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Tecnológica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 rotación política y de autoridades.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Organizacional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RES-04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Protección obligatoria de datos personales (Ley N° 29733).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Normativa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Cumplimiento de la Ley de Gobierno Digital (D. L. N° 1412) y lineamientos SGTD–PCM.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Normativa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RES-06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Integración técnica obligatoria con la Plataforma de Interoperabilidad del Estado (PIDE).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Técnica/Normativa</w:t>
            </w:r>
          </w:p>
        </w:tc>
      </w:tr>
    </w:tbl>
    <w:p>
      <w:pPr>
        <w:pStyle w:val="Heading2"/>
      </w:pPr>
      <w:r>
        <w:t xml:space="preserve">3.5. Capacidades</w:t>
      </w:r>
    </w:p>
    <w:p>
      <w:pPr>
        <w:spacing w:after="120" w:line="276"/>
        <w:jc w:val="both"/>
      </w:pPr>
      <w:r>
        <w:t xml:space="preserve">Evaluación de la madurez de las capacidades institucionales frente al nivel requerido por la visión (heredada de la Fase A), que orienta el análisis de brechas de la sección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 institucional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Madurez actual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Madurez objetivo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Brecha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Servicios digitales al ciudadano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Significativa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Interoperabilidad e integración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Significativa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Gobierno y calidad de datos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Media-Alta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Seguridad de la información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Infraestructura tecnológica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Media-Alta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Menor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y modelado de procesos (BPM)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Media-Alta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Moderada</w:t>
            </w:r>
          </w:p>
        </w:tc>
      </w:tr>
    </w:tbl>
    <w:p>
      <w:pPr>
        <w:pStyle w:val="Heading1"/>
      </w:pPr>
      <w:r>
        <w:t xml:space="preserve">4. Cumplimiento</w:t>
      </w:r>
    </w:p>
    <w:p>
      <w:pPr>
        <w:pStyle w:val="Heading2"/>
      </w:pPr>
      <w:r>
        <w:t xml:space="preserve">4.1. Principios de arquitectura</w:t>
      </w:r>
    </w:p>
    <w:p>
      <w:pPr>
        <w:spacing w:after="120" w:line="276"/>
        <w:jc w:val="both"/>
      </w:pPr>
      <w:r>
        <w:t xml:space="preserve">La arquitectura de negocio cumple los cuatro principios confirmados en las fases Preliminar y A, que actúan como criterios rectores de todas las decisiones: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Enunciado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Implicancia para el negocio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Interoperabilidad institucional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Las áreas y sistemas deben compartir información de manera integrada y coordinada.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Procesos que consumen y publican servicios comunes; fin de la duplicidad de registros.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Orientación al ciudadano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Los servicios deben priorizar una atención rápida y accesible.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Procesos rediseñados extremo a extremo desde la perspectiva del ciudadano.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Seguridad de la información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información debe protegerse y ser accesible solo por personal autorizado.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Controles de acceso por rol en cada actividad del proceso.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Transparencia y trazabilidad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 trámite o proceso debe poder monitorearse y registrarse.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Estados y responsables visibles en cada paso del expediente.</w:t>
            </w:r>
          </w:p>
        </w:tc>
      </w:tr>
    </w:tbl>
    <w:p>
      <w:pPr>
        <w:pStyle w:val="Heading2"/>
      </w:pPr>
      <w:r>
        <w:t xml:space="preserve">4.2. Políticas y estándares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Decreto Legislativo N° 1412 — Ley de Gobierno Digital y su reglamento (D. S. N° 029-2021-PCM).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Marco de Arquitectura Digital del Estado Peruano (MADE) y lineamientos de la SGTD–PCM.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Ley N° 29733 — Protección de Datos Personales (seguridad y privacidad por diseño).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ISO/IEC 27001 para la seguridad de la información; ITIL 4 para la gestión de servicios.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Estándar de modelado ArchiMate 3.1 como lenguaje oficial; TOGAF como método (ADM).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Notación BPMN 2.0 para el modelado de procesos municipales.</w:t>
      </w:r>
    </w:p>
    <w:p>
      <w:pPr>
        <w:pStyle w:val="Heading1"/>
      </w:pPr>
      <w:r>
        <w:t xml:space="preserve">5. Riesgos y problemas</w:t>
      </w:r>
    </w:p>
    <w:p>
      <w:pPr>
        <w:pStyle w:val="Heading2"/>
      </w:pPr>
      <w:r>
        <w:t xml:space="preserve">5.1. Supuestos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Gerencia Municipal mantiene el patrocinio ejecutivo durante toda la iteración.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estructura de AE se formaliza mediante resolución gerencial (recomendación de la Fase Preliminar).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PIDE, RENIEC y los servicios de Gob.pe están disponibles para la integración.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Existe disponibilidad presupuestal mínima para iniciar los proyectos de la Hoja de Ruta.</w:t>
      </w:r>
    </w:p>
    <w:p>
      <w:pPr>
        <w:pStyle w:val="Heading2"/>
      </w:pPr>
      <w:r>
        <w:t xml:space="preserve">5.2.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60"/>
        <w:gridCol w:w="11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Cambio de gestión política durante el proyecto.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Formalizar la AE por resolución gerencial y documentar entregables.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RSK-02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Recorte o falta de presupuesto.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Priorizar entregas por valor y justificar la inversión con KPI.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Resistencia al cambio del personal.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del cambio, capacitación y red de enlaces por gerencia.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RSK-04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Baja madurez en TOGAF y AE.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Soporte de consultores con transferencia gradual de conocimiento.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RSK-05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Brechas de seguridad y datos personales.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Aplicar ISO 27001 y cumplir la Ley N° 29733 desde el diseño.</w:t>
            </w:r>
          </w:p>
        </w:tc>
      </w:tr>
    </w:tbl>
    <w:p>
      <w:pPr>
        <w:pStyle w:val="Heading2"/>
      </w:pPr>
      <w:r>
        <w:t xml:space="preserve">5.3. Problemas (Issues)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 actual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ISS-01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Sistemas fragmentados y aislados por gerencia.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Duplicidad de datos y baja coordinación institucional.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ISS-02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Trámites mayoritariamente presenciales y manuales.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Largos tiempos de espera y baja satisfacción ciudadana.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ISS-03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Trazabilidad limitada de expedientes.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Dificultad de control y rendición de cuentas.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ISS-04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Documentación escasa de procesos y sistemas heredados.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Riesgo en la migración y dependencia de personas clave.</w:t>
            </w:r>
          </w:p>
        </w:tc>
      </w:tr>
    </w:tbl>
    <w:p>
      <w:pPr>
        <w:pStyle w:val="Heading2"/>
      </w:pPr>
      <w:r>
        <w:t xml:space="preserve">5.4. Dependencias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integración de procesos depende de la habilitación de servicios en la PIDE y de los acuerdos de interoperabilidad con RENIEC.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digitalización de trámites depende del rediseño previo de los procesos (BPM) y del gobierno de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trazabilidad de extremo a extremo depende de un identificador único de expediente y de ciudadano.</w:t>
      </w:r>
    </w:p>
    <w:p>
      <w:r>
        <w:br w:type="page"/>
      </w:r>
    </w:p>
    <w:p>
      <w:pPr>
        <w:pStyle w:val="Heading1"/>
      </w:pPr>
      <w:r>
        <w:t xml:space="preserve">6. Arquitectura de línea base (Baseline / AS-IS)</w:t>
      </w:r>
    </w:p>
    <w:p>
      <w:pPr>
        <w:spacing w:after="120" w:line="276"/>
        <w:jc w:val="both"/>
      </w:pPr>
      <w:r>
        <w:t xml:space="preserve">Esta sección describe la situación actual de la MML. El detalle se concentra en el dominio de negocio; los dominios de datos, aplicaciones y tecnología se describen a alto nivel para dar contexto.</w:t>
      </w:r>
    </w:p>
    <w:p>
      <w:pPr>
        <w:pStyle w:val="Heading2"/>
      </w:pPr>
      <w:r>
        <w:t xml:space="preserve">6.1. Modelos de arquitectura de negocio (Baseline)</w:t>
      </w:r>
    </w:p>
    <w:p>
      <w:pPr>
        <w:pStyle w:val="Heading3"/>
      </w:pPr>
      <w:r>
        <w:t xml:space="preserve">6.1.1. Arquitectura de negocio conceptual (Baseline)</w:t>
      </w:r>
    </w:p>
    <w:p>
      <w:pPr>
        <w:spacing w:after="120" w:line="276"/>
        <w:jc w:val="both"/>
      </w:pPr>
      <w:r>
        <w:t xml:space="preserve">La MML opera hoy con gerencias que funcionan como silos: cada una ejecuta sus procesos con información separada y sistemas independientes. El ciudadano debe acudir presencialmente y repetir su información en cada área, generando duplicidad, demoras y baja trazabilidad.</w:t>
      </w:r>
    </w:p>
    <w:p>
      <w:pPr>
        <w:spacing w:after="120" w:line="276"/>
        <w:jc w:val="both"/>
      </w:pPr>
      <w:r>
        <w:t xml:space="preserve">Diagrama conceptual (textual) de capas de negocio — estado actual: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Actores y roles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Ciudadano · Empresa/Comercio · Mesa de Partes · Gerencias de línea (Licencias, Rentas/SAT, Fiscalización) · GTI</w:t>
            </w:r>
          </w:p>
        </w:tc>
      </w:tr>
    </w:tbl>
    <w:p>
      <w:pPr>
        <w:spacing w:after="20" w:before="20"/>
        <w:jc w:val="center"/>
      </w:pPr>
      <w:r>
        <w:rPr>
          <w:color w:val="2E549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Servicios de negocio actuales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Atención presencial de trámites · Recepción física de documentos · Cobro presencial de arbitrios · Atención de reclamos en ventanilla</w:t>
            </w:r>
          </w:p>
        </w:tc>
      </w:tr>
    </w:tbl>
    <w:p>
      <w:pPr>
        <w:spacing w:after="20" w:before="20"/>
        <w:jc w:val="center"/>
      </w:pPr>
      <w:r>
        <w:rPr>
          <w:color w:val="2E549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Procesos actuales (manuales)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Licencia de funcionamiento (presencial) · Recaudación de arbitrios (presencial) · Atención de reclamos (libro/expediente físico) · Fiscalización (registro manual)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Figura 6.1. Arquitectura de negocio conceptual de línea base (AS-IS) de la MML.</w:t>
      </w:r>
    </w:p>
    <w:p>
      <w:pPr>
        <w:pStyle w:val="Heading3"/>
      </w:pPr>
      <w:r>
        <w:t xml:space="preserve">6.1.2. Arquitectura de negocio lógica (Baseline)</w:t>
      </w:r>
    </w:p>
    <w:p>
      <w:pPr>
        <w:spacing w:after="120" w:line="276"/>
        <w:jc w:val="both"/>
      </w:pPr>
      <w:r>
        <w:t xml:space="preserve">Catálogo de procesos de negocio actuales y su característica predominante: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 de negocio (AS-IS)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 actual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Otorgamiento de licencia de funcionamiento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Presencial; verificación manual; sin seguimiento en línea.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Recaudación de arbitrios y tributos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Pago presencial/banco; conciliación manual.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documentaria (mesa de partes)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Recepción física; derivación en papel; sin trazabilidad.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Atención de reclamos y sugerencias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Registro en ventanilla; respuesta sin plazo controlado.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Fiscalización municipal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Actas manuales; información no integrada con rentas.</w:t>
            </w:r>
          </w:p>
        </w:tc>
      </w:tr>
    </w:tbl>
    <w:p>
      <w:pPr>
        <w:spacing w:after="120" w:line="276"/>
        <w:jc w:val="both"/>
      </w:pPr>
      <w:r>
        <w:t xml:space="preserve">Matriz de interacción actor–proceso (Baseline). Leyenda: E = Ejecuta, P = Participa, C = Consulta.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 / Proceso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PRC-01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PRC-02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PRC-03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PRC-04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PRC-05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Ciudadano / Empresa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Gerencia de Licencias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Rentas / SAT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Fiscalización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Tabla 6.1. Matriz actor–proceso de línea base.</w:t>
      </w:r>
    </w:p>
    <w:p>
      <w:pPr>
        <w:pStyle w:val="Heading3"/>
      </w:pPr>
      <w:r>
        <w:t xml:space="preserve">6.1.3. Arquitectura de negocio física (Baseline)</w:t>
      </w:r>
    </w:p>
    <w:p>
      <w:pPr>
        <w:spacing w:after="120" w:line="276"/>
        <w:jc w:val="both"/>
      </w:pPr>
      <w:r>
        <w:t xml:space="preserve">Físicamente, los procesos se soportan en ventanillas presenciales, expedientes físicos y hojas de cálculo aisladas por gerencia. La atención se concentra en sedes físicas, con horarios limitados y sin canal digital integrado.</w:t>
      </w:r>
    </w:p>
    <w:p>
      <w:pPr>
        <w:pStyle w:val="Heading3"/>
      </w:pPr>
      <w:r>
        <w:t xml:space="preserve">6.1.4. Referencias cruzadas de la arquitectura de negocio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Información (datos)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Aplicación de soporte actual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PRC-01 Licencias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Expediente de licencia, datos del contribuyente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 de licencias aislado / hojas de cálculo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PRC-02 Arbitrios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Cuenta corriente tributaria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 tributario (SAT) no integrado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PRC-03 Mesa de partes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Documento, cargo, derivación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Registro documentario local / físico</w:t>
            </w:r>
          </w:p>
        </w:tc>
      </w:tr>
      <w:tr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PRC-04 Reclamos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Reclamo, respuesta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Libro de reclamaciones / correo</w:t>
            </w:r>
          </w:p>
        </w:tc>
      </w:tr>
    </w:tbl>
    <w:p>
      <w:pPr>
        <w:pStyle w:val="Heading2"/>
      </w:pPr>
      <w:r>
        <w:t xml:space="preserve">6.2. Modelos de arquitectura de datos (Baseline) — alto nivel</w:t>
      </w:r>
    </w:p>
    <w:p>
      <w:pPr>
        <w:spacing w:after="120" w:line="276"/>
        <w:jc w:val="both"/>
      </w:pPr>
      <w:r>
        <w:t xml:space="preserve">La información está dispersa y duplicada entre gerencias, sin un registro único del ciudadano ni catálogos de datos compartidos. La calidad de datos es heterogénea y la integración con RENIEC y la PIDE es parcial o inexistente. El detalle se desarrollará en la Fase C.</w:t>
      </w:r>
    </w:p>
    <w:p>
      <w:pPr>
        <w:pStyle w:val="Heading2"/>
      </w:pPr>
      <w:r>
        <w:t xml:space="preserve">6.3. Modelos de arquitectura de aplicaciones (Baseline) — alto nivel</w:t>
      </w:r>
    </w:p>
    <w:p>
      <w:pPr>
        <w:spacing w:after="120" w:line="276"/>
        <w:jc w:val="both"/>
      </w:pPr>
      <w:r>
        <w:t xml:space="preserve">El portafolio aplicativo está compuesto por sistemas heredados independientes (licencias, tributos, documentario) que no se comunican entre sí y carecen de servicios (APIs) de integración. Predominan soluciones locales y hojas de cálculo. El detalle se desarrollará en la Fase C.</w:t>
      </w:r>
    </w:p>
    <w:p>
      <w:pPr>
        <w:pStyle w:val="Heading2"/>
      </w:pPr>
      <w:r>
        <w:t xml:space="preserve">6.4. Modelos de arquitectura tecnológica (Baseline) — alto nivel</w:t>
      </w:r>
    </w:p>
    <w:p>
      <w:pPr>
        <w:spacing w:after="120" w:line="276"/>
        <w:jc w:val="both"/>
      </w:pPr>
      <w:r>
        <w:t xml:space="preserve">La infraestructura combina servidores propios con disponibilidad y respaldo limitados, redes segmentadas por sede y escasa adopción de servicios en la nube. La continuidad operativa y la seguridad son reactivas. El detalle se desarrollará en la Fase D.</w:t>
      </w:r>
    </w:p>
    <w:p>
      <w:pPr>
        <w:pStyle w:val="Heading2"/>
      </w:pPr>
      <w:r>
        <w:t xml:space="preserve">6.5. Modelos de arquitectura de seguridad (Baseline)</w:t>
      </w:r>
    </w:p>
    <w:p>
      <w:pPr>
        <w:spacing w:after="120" w:line="276"/>
        <w:jc w:val="both"/>
      </w:pPr>
      <w:r>
        <w:t xml:space="preserve">La seguridad de la información es reactiva, con controles de acceso heterogéneos por sistema y sin una política unificada. La protección de datos personales se gestiona de forma parcial frente a las exigencias de la Ley N° 29733.</w:t>
      </w:r>
    </w:p>
    <w:p>
      <w:r>
        <w:br w:type="page"/>
      </w:r>
    </w:p>
    <w:p>
      <w:pPr>
        <w:pStyle w:val="Heading1"/>
      </w:pPr>
      <w:r>
        <w:t xml:space="preserve">7. Fundamentos y justificación del enfoque arquitectónico</w:t>
      </w:r>
    </w:p>
    <w:p>
      <w:pPr>
        <w:pStyle w:val="Heading2"/>
      </w:pPr>
      <w:r>
        <w:t xml:space="preserve">7.1. Justificación (Rationale)</w:t>
      </w:r>
    </w:p>
    <w:p>
      <w:pPr>
        <w:spacing w:after="120" w:line="276"/>
        <w:jc w:val="both"/>
      </w:pPr>
      <w:r>
        <w:t xml:space="preserve">La adopción de un enfoque de Arquitectura Empresarial basado en TOGAF permite alinear los procesos institucionales, la información y la tecnología con las necesidades del ciudadano, rompiendo los silos actuales. El foco en el dominio de negocio (Fase B) garantiza que cualquier inversión tecnológica posterior responda a una necesidad real del municipio.</w:t>
      </w:r>
    </w:p>
    <w:p>
      <w:pPr>
        <w:pStyle w:val="Heading2"/>
      </w:pPr>
      <w:r>
        <w:t xml:space="preserve">7.2. Enfoque (Approach)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Aplicar el ADM de TOGAF con tailoring al contexto público peruano (MADE, SGTD–PCM).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Modelar la arquitectura de negocio en ArchiMate 3.1 y los procesos en BPMN 2.0.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Rediseñar primero los procesos críticos orientados al ciudadano y luego integrarlos vía servicios comunes.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Avanzar por arquitecturas de transición incrementales que entreguen valor temprano (ver Hoja de Ruta).</w:t>
      </w:r>
    </w:p>
    <w:p>
      <w:pPr>
        <w:pStyle w:val="Heading2"/>
      </w:pPr>
      <w:r>
        <w:t xml:space="preserve">7.3. Decisiones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DEC-01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Adoptar TOGAF como método y ArchiMate como lenguaje.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Reconocimiento global, flexibilidad y alineación con la Fase Preliminar.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DEC-02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Integrar el MADE como capa normativa obligatoria.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MML es entidad del Estado peruano y debe cumplir la SGTD–PCM.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DEC-03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Centrar la integración en la PIDE.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Estándar nacional de interoperabilidad del Estado.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DEC-04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Establecer un registro único del ciudadano.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 duplicidad y habilita trazabilidad de extremo a extremo.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DEC-05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Modalidad organizativa mixta con soporte de consultores.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Equilibra costo, control interno y transferencia de conocimiento.</w:t>
            </w:r>
          </w:p>
        </w:tc>
      </w:tr>
    </w:tbl>
    <w:p>
      <w:pPr>
        <w:pStyle w:val="Heading2"/>
      </w:pPr>
      <w:r>
        <w:t xml:space="preserve">7.4. Gobierno de la arquitectura</w:t>
      </w:r>
    </w:p>
    <w:p>
      <w:pPr>
        <w:spacing w:after="120" w:line="276"/>
        <w:jc w:val="both"/>
      </w:pPr>
      <w:r>
        <w:t xml:space="preserve">La arquitectura es gobernada por el Comité de Arquitectura Empresarial (nivel directivo), conducida por el Arquitecto Empresarial Principal (nivel táctico) y ejecutada por los cuatro equipos de dominio (nivel operativo), con soporte transversal de consultores y una red de enlaces funcionales por gerencia, según el organigrama aprobado en la Fase Preliminar.</w:t>
      </w:r>
    </w:p>
    <w:p>
      <w:r>
        <w:br w:type="page"/>
      </w:r>
    </w:p>
    <w:p>
      <w:pPr>
        <w:pStyle w:val="Heading1"/>
      </w:pPr>
      <w:r>
        <w:t xml:space="preserve">8. Mapeo al repositorio de arquitectura</w:t>
      </w:r>
    </w:p>
    <w:p>
      <w:pPr>
        <w:pStyle w:val="Heading2"/>
      </w:pPr>
      <w:r>
        <w:t xml:space="preserve">8.1. Artefactos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600"/>
        <w:gridCol w:w="30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Artefacto (Fase B)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TOGAF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 de actores y roles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9.1.2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 de servicios de negocio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9.1.2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 de procesos de negocio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9.1.2 / 6.1.2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Matriz actor–proceso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Matriz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6.1.2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Matriz RACI de procesos clave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Matriz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9.1.4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Diagrama conceptual de negocio (capas)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Diagrama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6.1.1 / 9.1.1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Análisis de brechas de negocio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Matriz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>
      <w:pPr>
        <w:pStyle w:val="Heading2"/>
      </w:pPr>
      <w:r>
        <w:t xml:space="preserve">8.2. Mapeo al panorama de arquitectura (Architecture Landscape)</w:t>
      </w:r>
    </w:p>
    <w:p>
      <w:pPr>
        <w:spacing w:after="120" w:line="276"/>
        <w:jc w:val="both"/>
      </w:pPr>
      <w:r>
        <w:t xml:space="preserve">Los artefactos se ubican en el nivel de arquitectura de capacidad/segmento del panorama de la MML: la atención al ciudadano y la integración interna constituyen el segmento prioritario de esta iteración.</w:t>
      </w:r>
    </w:p>
    <w:p>
      <w:pPr>
        <w:pStyle w:val="Heading2"/>
      </w:pPr>
      <w:r>
        <w:t xml:space="preserve">8.3. Mapeo a modelos de referencia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MADE — Marco de Arquitectura Digital del Estado Peruano (modelo de referencia normativo).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Modelo de capas ArchiMate (negocio, aplicación, tecnología).</w:t>
      </w:r>
    </w:p>
    <w:p>
      <w:pPr>
        <w:pStyle w:val="Heading2"/>
      </w:pPr>
      <w:r>
        <w:t xml:space="preserve">8.4. Mapeo a estándares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D. L. N° 1412 y D. S. N° 029-2021-PCM (Gobierno Digital).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Ley N° 29733 (datos personales); ISO/IEC 27001; BPMN 2.0; ArchiMate 3.1.</w:t>
      </w:r>
    </w:p>
    <w:p>
      <w:pPr>
        <w:pStyle w:val="Heading2"/>
      </w:pPr>
      <w:r>
        <w:t xml:space="preserve">8.5. Evaluación de reutilización</w:t>
      </w:r>
    </w:p>
    <w:p>
      <w:pPr>
        <w:pStyle w:val="Heading3"/>
      </w:pPr>
      <w:r>
        <w:t xml:space="preserve">8.5.1. Uso de componentes existentes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Servicios del Estado reutilizables: PIDE, RENIEC, Gob.pe, plataforma de pagos del Estado, firma digital.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Sistemas heredados de licencias y tributos, encapsulados mediante servicios (APIs) cuando aporten valor.</w:t>
      </w:r>
    </w:p>
    <w:p>
      <w:pPr>
        <w:pStyle w:val="Heading3"/>
      </w:pPr>
      <w:r>
        <w:t xml:space="preserve">8.5.2. Oportunidades de reutilización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Servicios comunes de notificación electrónica y autenticación reutilizables por todos los trámites.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Plantillas BPMN de trámites como base para nuevos servicios digitales.</w:t>
      </w:r>
    </w:p>
    <w:p>
      <w:r>
        <w:br w:type="page"/>
      </w:r>
    </w:p>
    <w:p>
      <w:pPr>
        <w:pStyle w:val="Heading1"/>
      </w:pPr>
      <w:r>
        <w:t xml:space="preserve">9. Arquitectura objetivo (Target / TO-BE)</w:t>
      </w:r>
    </w:p>
    <w:p>
      <w:pPr>
        <w:pStyle w:val="Heading2"/>
      </w:pPr>
      <w:r>
        <w:t xml:space="preserve">9.1. Modelos de arquitectura de negocio (Target)</w:t>
      </w:r>
    </w:p>
    <w:p>
      <w:pPr>
        <w:pStyle w:val="Heading3"/>
      </w:pPr>
      <w:r>
        <w:t xml:space="preserve">9.1.1. Arquitectura de negocio conceptual (Target)</w:t>
      </w:r>
    </w:p>
    <w:p>
      <w:pPr>
        <w:spacing w:after="120" w:line="276"/>
        <w:jc w:val="both"/>
      </w:pPr>
      <w:r>
        <w:t xml:space="preserve">La MML objetivo es digital, interoperable y centrada en el ciudadano: los trámites se inician en línea por una mesa de partes virtual, se procesan con flujos automatizados y trazables, y consumen servicios comunes (autenticación, notificación, pagos) integrados con la PIDE y RENIEC.</w:t>
      </w:r>
    </w:p>
    <w:p>
      <w:pPr>
        <w:spacing w:after="120" w:line="276"/>
        <w:jc w:val="both"/>
      </w:pPr>
      <w:r>
        <w:t xml:space="preserve">Diagrama conceptual (textual) de capas de negocio — estado objetivo: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Actores y roles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Ciudadano · Empresa/Comercio · Gestor de Atención · Analista de Licencias · Analista de Rentas · Fiscalizador · Administrador de Gobierno Digital</w:t>
            </w:r>
          </w:p>
        </w:tc>
      </w:tr>
    </w:tbl>
    <w:p>
      <w:pPr>
        <w:spacing w:after="20" w:before="20"/>
        <w:jc w:val="center"/>
      </w:pPr>
      <w:r>
        <w:rPr>
          <w:color w:val="2E549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Servicios de negocio objetivo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Mesa de partes virtual · Licencia de funcionamiento en línea · Pago de arbitrios en línea · Consulta y seguimiento de expedientes · Atención de reclamos digital · Notificación electrónica</w:t>
            </w:r>
          </w:p>
        </w:tc>
      </w:tr>
    </w:tbl>
    <w:p>
      <w:pPr>
        <w:spacing w:after="20" w:before="20"/>
        <w:jc w:val="center"/>
      </w:pPr>
      <w:r>
        <w:rPr>
          <w:color w:val="2E549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Procesos objetivo (digitales y trazables)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Licencia en línea · Recaudación digital · Gestión documentaria electrónica · Atención de reclamos con SLA · Fiscalización integrada con rentas</w:t>
            </w:r>
          </w:p>
        </w:tc>
      </w:tr>
    </w:tbl>
    <w:p>
      <w:pPr>
        <w:spacing w:after="20" w:before="20"/>
        <w:jc w:val="center"/>
      </w:pPr>
      <w:r>
        <w:rPr>
          <w:color w:val="2E549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Servicios comunes / interoperabilidad</w:t>
            </w:r>
          </w:p>
          <w:p>
            <w:pPr>
              <w:spacing w:line="252"/>
            </w:pPr>
            <w:r>
              <w:rPr>
                <w:sz w:val="18"/>
                <w:szCs w:val="18"/>
              </w:rPr>
              <w:t xml:space="preserve">Autenticación (RENIEC) · PIDE · Pagos digitales del Estado · Firma digital · Registro único del ciudadano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Figura 9.1. Arquitectura de negocio conceptual objetivo (TO-BE) de la MML.</w:t>
      </w:r>
    </w:p>
    <w:p>
      <w:pPr>
        <w:pStyle w:val="Heading3"/>
      </w:pPr>
      <w:r>
        <w:t xml:space="preserve">9.1.2. Arquitectura de negocio lógica (Target)</w:t>
      </w:r>
    </w:p>
    <w:p>
      <w:pPr>
        <w:spacing w:after="120" w:line="276"/>
        <w:jc w:val="both"/>
      </w:pPr>
      <w:r>
        <w:t xml:space="preserve">Catálogo de actores y roles (Target):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52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 / Rol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principal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Ciudadano / Empresa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Inicia trámites en línea, paga y da seguimiento a sus expedientes.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ACT-02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Gestor de Atención al Ciudadano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Orienta, valida y deriva expedientes en la plataforma.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ACT-03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Analista de Licencias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Evalúa y resuelve solicitudes de licencia de funcionamiento.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ACT-04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Analista de Rentas / SAT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Gestiona la cuenta tributaria y concilia pagos digitales.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ACT-05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Fiscalizador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Realiza inspecciones y registra actas integradas con rentas.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ACT-06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Administrador de Gobierno Digital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Gobierna servicios digitales, interoperabilidad y datos.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ACT-07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Arquitecto Empresarial Principal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Asegura coherencia arquitectónica y gobierno del modelo.</w:t>
            </w:r>
          </w:p>
        </w:tc>
      </w:tr>
    </w:tbl>
    <w:p>
      <w:pPr>
        <w:spacing w:after="120" w:line="276"/>
        <w:jc w:val="both"/>
      </w:pPr>
      <w:r>
        <w:t xml:space="preserve">Catálogo de servicios de negocio (Target):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500"/>
        <w:gridCol w:w="35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 de negocio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 que lo realiza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 virtual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documentaria electrónica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Licencia de funcionamiento en línea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Otorgamiento de licencia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Pago de arbitrios y tributos en línea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Recaudación digital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Consulta y seguimiento de expedientes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Transversal (todos)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Atención de reclamos y sugerencias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Atención de reclamos con SLA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Notificación electrónica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Servicio común transversal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SRV-07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Autorizaciones y certificados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Otorgamiento de autorizaciones</w:t>
            </w:r>
          </w:p>
        </w:tc>
      </w:tr>
    </w:tbl>
    <w:p>
      <w:pPr>
        <w:spacing w:after="120" w:line="276"/>
        <w:jc w:val="both"/>
      </w:pPr>
      <w:r>
        <w:t xml:space="preserve">Catálogo de procesos de negocio objetivo: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 de negocio (TO-BE)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Mejora frente al AS-IS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Otorgamiento de licencia de funcionamiento en línea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Solicitud y pago digitales; validación con RENIEC; seguimiento en línea.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Recaudación digital de arbitrios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Pago en línea; conciliación automática; estado de cuenta consultable.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Gestión documentaria electrónica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 virtual; derivación y trazabilidad de extremo a extremo.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Atención de reclamos con SLA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Registro digital, plazos controlados y notificación electrónica.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Fiscalización integrada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Actas digitales integradas con rentas y licencias.</w:t>
            </w:r>
          </w:p>
        </w:tc>
      </w:tr>
    </w:tbl>
    <w:p>
      <w:pPr>
        <w:spacing w:after="120" w:line="276"/>
        <w:jc w:val="both"/>
      </w:pPr>
      <w:r>
        <w:t xml:space="preserve">Descomposición funcional (textual) del proceso PRC-01 — Licencia de funcionamiento en línea: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Solicitud en línea (ciudadano se autentica con RENIEC e ingresa datos).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Validación automática de requisitos y pago de la tasa en línea.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Evaluación técnica por el Analista de Licencias (con consulta a fiscalización).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Resolución y emisión de la licencia con firma digital.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Notificación electrónica al ciudadano y archivo trazable del expediente.</w:t>
      </w:r>
    </w:p>
    <w:p>
      <w:pPr>
        <w:pStyle w:val="Heading3"/>
      </w:pPr>
      <w:r>
        <w:t xml:space="preserve">9.1.3. Arquitectura de negocio física (Target)</w:t>
      </w:r>
    </w:p>
    <w:p>
      <w:pPr>
        <w:spacing w:after="120" w:line="276"/>
        <w:jc w:val="both"/>
      </w:pPr>
      <w:r>
        <w:t xml:space="preserve">La atención se realiza principalmente por canales digitales (portal y app), complementados por ventanillas de orientación. Los expedientes son electrónicos, con identificador único y disponibles 24/7, soportados por servicios comunes y la integración con la PIDE.</w:t>
      </w:r>
    </w:p>
    <w:p>
      <w:pPr>
        <w:pStyle w:val="Heading3"/>
      </w:pPr>
      <w:r>
        <w:t xml:space="preserve">9.1.4. Referencias cruzadas — Matriz RACI de procesos clave (Target)</w:t>
      </w:r>
    </w:p>
    <w:p>
      <w:pPr>
        <w:spacing w:after="120" w:line="276"/>
        <w:jc w:val="both"/>
      </w:pPr>
      <w:r>
        <w:t xml:space="preserve">Leyenda RACI: R = Responsable (ejecuta), A = Aprobador (rinde cuentas), C = Consultado, I = Informado.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300"/>
        <w:gridCol w:w="1200"/>
        <w:gridCol w:w="11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 / Rol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Ciudadano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Gestor Atención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Analista Licencias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Analista Rentas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Fiscalizador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Adm. Gob. Digital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PRC-01 Licencia en línea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PRC-02 Recaudación digital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PRC-03 Mesa de partes virtual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PRC-04 Reclamos con SLA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PRC-05 Fiscalización integrada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Tabla 9.1. Matriz RACI de los procesos de negocio objetivo.</w:t>
      </w:r>
    </w:p>
    <w:p>
      <w:pPr>
        <w:pStyle w:val="Heading2"/>
      </w:pPr>
      <w:r>
        <w:t xml:space="preserve">9.2. Modelos de arquitectura de datos (Target) — alto nivel</w:t>
      </w:r>
    </w:p>
    <w:p>
      <w:pPr>
        <w:spacing w:after="120" w:line="276"/>
        <w:jc w:val="both"/>
      </w:pPr>
      <w:r>
        <w:t xml:space="preserve">Se establece un registro único del ciudadano y catálogos de datos compartidos, con gobierno de datos, calidad y trazabilidad. La información se integra con RENIEC y se intercambia de forma segura por la PIDE. El detalle se desarrollará en la Fase C.</w:t>
      </w:r>
    </w:p>
    <w:p>
      <w:pPr>
        <w:pStyle w:val="Heading2"/>
      </w:pPr>
      <w:r>
        <w:t xml:space="preserve">9.3. Modelos de arquitectura de aplicaciones (Target) — alto nivel</w:t>
      </w:r>
    </w:p>
    <w:p>
      <w:pPr>
        <w:spacing w:after="120" w:line="276"/>
        <w:jc w:val="both"/>
      </w:pPr>
      <w:r>
        <w:t xml:space="preserve">El portafolio objetivo incorpora una plataforma de trámites en línea, una mesa de partes virtual, una pasarela de pagos y servicios comunes (autenticación, notificación) expuestos como APIs, con racionalización de sistemas heredados. El detalle se desarrollará en la Fase C.</w:t>
      </w:r>
    </w:p>
    <w:p>
      <w:pPr>
        <w:pStyle w:val="Heading2"/>
      </w:pPr>
      <w:r>
        <w:t xml:space="preserve">9.4. Modelos de arquitectura tecnológica (Target) — alto nivel</w:t>
      </w:r>
    </w:p>
    <w:p>
      <w:pPr>
        <w:spacing w:after="120" w:line="276"/>
        <w:jc w:val="both"/>
      </w:pPr>
      <w:r>
        <w:t xml:space="preserve">La tecnología objetivo adopta servicios en la nube, alta disponibilidad, respaldo y continuidad, con seguridad por diseño alineada a la SGTD–PCM. El detalle se desarrollará en la Fase D.</w:t>
      </w:r>
    </w:p>
    <w:p>
      <w:pPr>
        <w:pStyle w:val="Heading2"/>
      </w:pPr>
      <w:r>
        <w:t xml:space="preserve">9.5. Modelos de arquitectura de seguridad (Target)</w:t>
      </w:r>
    </w:p>
    <w:p>
      <w:pPr>
        <w:spacing w:after="120" w:line="276"/>
        <w:jc w:val="both"/>
      </w:pPr>
      <w:r>
        <w:t xml:space="preserve">La seguridad pasa a ser por diseño: gestión unificada de identidades y accesos por rol, cifrado, registro de auditoría y cumplimiento de la Ley N° 29733 e ISO/IEC 27001 en todos los procesos digitales.</w:t>
      </w:r>
    </w:p>
    <w:p>
      <w:r>
        <w:br w:type="page"/>
      </w:r>
    </w:p>
    <w:p>
      <w:pPr>
        <w:pStyle w:val="Heading1"/>
      </w:pPr>
      <w:r>
        <w:t xml:space="preserve">10. Análisis de brechas (Gap Analysis)</w:t>
      </w:r>
    </w:p>
    <w:p>
      <w:pPr>
        <w:spacing w:after="120" w:line="276"/>
        <w:jc w:val="both"/>
      </w:pPr>
      <w:r>
        <w:t xml:space="preserve">Comparación entre la arquitectura de negocio de línea base y la objetivo, identificando las brechas que deben cerrar los proyectos de la Hoja de Ruta. Leyenda: ✔ = mantener, + = incorporar, ✕ = eliminar/reemplazar.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 base (AS-IS)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 (TO-BE)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Brecha / Acción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Canal de atención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Presencial y manual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 con apoyo presencial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Plataforma de trámites y mesa de partes virtual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Sistemas aislados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Interoperables vía PIDE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Servicios comunes e integración con RENIEC/PIDE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Información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Dispersa y duplicada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Registro único y gobernada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Gobierno de datos; ✕ duplicidad de registros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Limitada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Extremo a extremo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Identificador único de expediente y seguimiento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Procesos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Manuales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Digitales con SLA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Rediseño BPM y automatización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Reactiva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Por diseño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 ISO 27001 y cumplimiento Ley N° 29733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Tabla 10.1. Análisis de brechas del dominio de negocio.</w:t>
      </w:r>
    </w:p>
    <w:p>
      <w:pPr>
        <w:pStyle w:val="Heading1"/>
      </w:pPr>
      <w:r>
        <w:t xml:space="preserve">11. Evaluación de impacto</w:t>
      </w:r>
    </w:p>
    <w:p>
      <w:pPr>
        <w:pStyle w:val="Heading2"/>
      </w:pPr>
      <w:r>
        <w:t xml:space="preserve">11.1. Referencia a requisitos específicos</w:t>
      </w:r>
    </w:p>
    <w:p>
      <w:pPr>
        <w:spacing w:after="120" w:line="276"/>
        <w:jc w:val="both"/>
      </w:pPr>
      <w:r>
        <w:t xml:space="preserve">Las brechas anteriores se materializan en los requisitos de arquitectura detallados en la Especificación de Requisitos de Arquitectura (documento complementario), trazables a las metas MET-01 a MET-05 y a los objetivos OBJ-01 a OBJ-06.</w:t>
      </w:r>
    </w:p>
    <w:p>
      <w:pPr>
        <w:pStyle w:val="Heading2"/>
      </w:pPr>
      <w:r>
        <w:t xml:space="preserve">11.2. Prioridad de los requisitos según los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 / Capacidad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Interesado impulsor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Mesa de partes virtual y trámites en línea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Ciudadanos, Gerencia Municipal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Interoperabilidad con PIDE y RENIEC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PCM–SGTD, GTI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Gobierno de datos y registro único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GTI, Gob. Digital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Trazabilidad y transparencia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Contraloría, ciudadanos</w:t>
            </w:r>
          </w:p>
        </w:tc>
      </w:tr>
    </w:tbl>
    <w:p>
      <w:pPr>
        <w:pStyle w:val="Heading2"/>
      </w:pPr>
      <w:r>
        <w:t xml:space="preserve">11.3. Fases a revisar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Fase A — Visión: confirmar que la arquitectura de negocio no introduce cambios de alcance no previstos.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Fases C y D — desarrollar el detalle de datos, aplicaciones y tecnología que habilitan los procesos objetivo.</w:t>
      </w:r>
    </w:p>
    <w:p>
      <w:pPr>
        <w:pStyle w:val="Heading2"/>
      </w:pPr>
      <w:r>
        <w:t xml:space="preserve">11.4. Conclusiones</w:t>
      </w:r>
    </w:p>
    <w:p>
      <w:pPr>
        <w:spacing w:after="120" w:line="276"/>
        <w:jc w:val="both"/>
      </w:pPr>
      <w:r>
        <w:t xml:space="preserve">La arquitectura de negocio objetivo cierra de forma coherente las brechas diagnosticadas, transformando una municipalidad de silos presenciales en una organización digital, interoperable y centrada en el ciudadano, sin contradecir las restricciones normativas ni presupuestales identificadas.</w:t>
      </w:r>
    </w:p>
    <w:p>
      <w:pPr>
        <w:pStyle w:val="Heading2"/>
      </w:pPr>
      <w:r>
        <w:t xml:space="preserve">11.5. Recomendaciones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Formalizar la estructura de AE por resolución gerencial para asegurar continuidad frente a la rotación política.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Iniciar por los procesos de mayor valor ciudadano (licencias, arbitrios, mesa de partes).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Aprobar la Especificación de Requisitos y la Hoja de Ruta como base contractual de la implementación.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Asegurar la transferencia de conocimiento desde los consultores hacia el personal de la GTI.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2"/>
      </w:pBdr>
      <w:jc w:val="center"/>
    </w:pPr>
    <w:r>
      <w:rPr>
        <w:color w:val="808080"/>
        <w:sz w:val="16"/>
        <w:szCs w:val="16"/>
      </w:rPr>
      <w:t xml:space="preserve">Fase B – Arquitectura de Negocio · Municipalidad Metropolitana de Lima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0"/>
    </w:pPr>
    <w:r>
      <w:rPr>
        <w:color w:val="808080"/>
        <w:sz w:val="16"/>
        <w:szCs w:val="16"/>
      </w:rPr>
      <w:t xml:space="preserve">TOGAF · MML · Documento de Definición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Definición de Arquitectura</dc:title>
  <dc:creator>Equipo de Arquitectura Empresarial - FIIS UNI</dc:creator>
  <cp:lastModifiedBy>Un-named</cp:lastModifiedBy>
  <cp:revision>1</cp:revision>
  <dcterms:created xsi:type="dcterms:W3CDTF">2026-06-05T17:21:39.948Z</dcterms:created>
  <dcterms:modified xsi:type="dcterms:W3CDTF">2026-06-05T17:21:39.949Z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