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26"/>
          <w:szCs w:val="26"/>
        </w:rPr>
        <w:t xml:space="preserve">UNIVERSIDAD NACIONAL DE INGENIERÍA</w:t>
      </w:r>
    </w:p>
    <w:p>
      <w:pPr>
        <w:spacing w:after="100"/>
        <w:jc w:val="center"/>
      </w:pPr>
      <w:r>
        <w:rPr>
          <w:b/>
          <w:bCs/>
          <w:sz w:val="22"/>
          <w:szCs w:val="22"/>
        </w:rPr>
        <w:t xml:space="preserve">FACULTAD DE INGENIERÍA INDUSTRIAL Y DE SISTEMAS</w:t>
      </w:r>
    </w:p>
    <w:p>
      <w:pPr>
        <w:spacing w:after="100"/>
        <w:jc w:val="center"/>
      </w:pPr>
      <w:r>
        <w:rPr>
          <w:i/>
          <w:iCs/>
          <w:color w:val="595959"/>
          <w:sz w:val="20"/>
          <w:szCs w:val="20"/>
        </w:rPr>
        <w:t xml:space="preserve">Unidad de Posgrado</w:t>
      </w:r>
    </w:p>
    <w:p>
      <w:pPr>
        <w:spacing w:after="200" w:before="900"/>
        <w:jc w:val="center"/>
      </w:pPr>
      <w:r>
        <w:rPr>
          <w:b/>
          <w:bCs/>
          <w:color w:val="9B1C1C"/>
          <w:sz w:val="34"/>
          <w:szCs w:val="34"/>
        </w:rPr>
        <w:t xml:space="preserve">MODELO DE MOTIVACIÓN DEL NEGOCIO (BMM)</w:t>
      </w:r>
    </w:p>
    <w:p>
      <w:pPr>
        <w:spacing w:after="100"/>
        <w:jc w:val="center"/>
      </w:pPr>
      <w:r>
        <w:rPr>
          <w:color w:val="1F3864"/>
          <w:sz w:val="24"/>
          <w:szCs w:val="24"/>
        </w:rPr>
        <w:t xml:space="preserve">Aplicado a la lucha contra la extorsión, el sicariato y el cobro de cupos</w:t>
      </w:r>
    </w:p>
    <w:p>
      <w:pPr>
        <w:spacing w:after="700"/>
        <w:jc w:val="center"/>
      </w:pPr>
      <w:r>
        <w:rPr>
          <w:b/>
          <w:bCs/>
          <w:sz w:val="26"/>
          <w:szCs w:val="26"/>
        </w:rPr>
        <w:t xml:space="preserve">Municipalidad Metropolitana de Lima</w:t>
      </w:r>
    </w:p>
    <w:p>
      <w:pPr>
        <w:spacing w:after="60"/>
        <w:jc w:val="center"/>
      </w:pPr>
      <w:r>
        <w:rPr>
          <w:b/>
          <w:bCs/>
          <w:sz w:val="20"/>
          <w:szCs w:val="20"/>
        </w:rPr>
        <w:t xml:space="preserve">Integrantes:</w:t>
      </w:r>
    </w:p>
    <w:p>
      <w:pPr>
        <w:spacing w:after="40"/>
        <w:jc w:val="center"/>
      </w:pPr>
      <w:r>
        <w:rPr>
          <w:sz w:val="20"/>
          <w:szCs w:val="20"/>
        </w:rPr>
        <w:t xml:space="preserve">Chirinos Paredes, Fernando Angel — 20221247C</w:t>
      </w:r>
    </w:p>
    <w:p>
      <w:pPr>
        <w:spacing w:after="40"/>
        <w:jc w:val="center"/>
      </w:pPr>
      <w:r>
        <w:rPr>
          <w:sz w:val="20"/>
          <w:szCs w:val="20"/>
        </w:rPr>
        <w:t xml:space="preserve">Ruiz Luna, Dair Aldrin — 20212141A</w:t>
      </w:r>
    </w:p>
    <w:p>
      <w:pPr>
        <w:spacing w:after="40"/>
        <w:jc w:val="center"/>
      </w:pPr>
      <w:r>
        <w:rPr>
          <w:sz w:val="20"/>
          <w:szCs w:val="20"/>
        </w:rPr>
        <w:t xml:space="preserve">García Retuerto, Jholvis Juan — 20221013B</w:t>
      </w:r>
    </w:p>
    <w:p>
      <w:pPr>
        <w:spacing w:after="40"/>
        <w:jc w:val="center"/>
      </w:pPr>
      <w:r>
        <w:rPr>
          <w:sz w:val="20"/>
          <w:szCs w:val="20"/>
        </w:rPr>
        <w:t xml:space="preserve">Jaramillo Blanco, Lenin Anderson — 20212632E</w:t>
      </w:r>
    </w:p>
    <w:p>
      <w:pPr>
        <w:spacing w:after="40"/>
        <w:jc w:val="center"/>
      </w:pPr>
      <w:r>
        <w:rPr>
          <w:sz w:val="20"/>
          <w:szCs w:val="20"/>
        </w:rPr>
        <w:t xml:space="preserve">Ramos Lopez, Denilson David Giovanni — 20191240F</w:t>
      </w:r>
    </w:p>
    <w:p>
      <w:pPr>
        <w:spacing w:after="40"/>
        <w:jc w:val="center"/>
      </w:pPr>
      <w:r>
        <w:rPr>
          <w:sz w:val="20"/>
          <w:szCs w:val="20"/>
        </w:rPr>
        <w:t xml:space="preserve">Vila Chahua, Jean Paul — 20170035D</w:t>
      </w:r>
    </w:p>
    <w:p>
      <w:pPr>
        <w:spacing w:after="40"/>
        <w:jc w:val="center"/>
      </w:pPr>
      <w:r>
        <w:rPr>
          <w:sz w:val="20"/>
          <w:szCs w:val="20"/>
        </w:rPr>
        <w:t xml:space="preserve">Chauvet, Loriano Celso Gaby — II2026102</w:t>
      </w:r>
    </w:p>
    <w:p>
      <w:pPr>
        <w:spacing w:after="60" w:before="300"/>
        <w:jc w:val="center"/>
      </w:pPr>
      <w:r>
        <w:rPr>
          <w:sz w:val="20"/>
          <w:szCs w:val="20"/>
        </w:rPr>
        <w:t xml:space="preserve">Docente: Tobías Enrique Aliaga Vílchez</w:t>
      </w:r>
    </w:p>
    <w:p>
      <w:pPr>
        <w:spacing w:after="60"/>
        <w:jc w:val="center"/>
      </w:pPr>
      <w:r>
        <w:rPr>
          <w:sz w:val="20"/>
          <w:szCs w:val="20"/>
        </w:rPr>
        <w:t xml:space="preserve">SI605U: Arquitectura Empresarial</w:t>
      </w:r>
    </w:p>
    <w:p>
      <w:pPr>
        <w:spacing w:before="400"/>
        <w:jc w:val="center"/>
      </w:pPr>
      <w:r>
        <w:rPr>
          <w:sz w:val="20"/>
          <w:szCs w:val="20"/>
        </w:rPr>
        <w:t xml:space="preserve">Lima, julio de 2026</w:t>
      </w:r>
    </w:p>
    <w:p>
      <w:r>
        <w:br w:type="page"/>
      </w:r>
    </w:p>
    <w:p>
      <w:pPr>
        <w:pStyle w:val="Heading1"/>
        <w:spacing w:after="200" w:before="360"/>
      </w:pPr>
      <w:r>
        <w:rPr>
          <w:b/>
          <w:bCs/>
          <w:color w:val="1F3864"/>
          <w:sz w:val="28"/>
          <w:szCs w:val="28"/>
        </w:rPr>
        <w:t xml:space="preserve">Mensaje ejecutivo en 60 segundos</w:t>
      </w:r>
    </w:p>
    <w:p>
      <w:pPr>
        <w:spacing w:after="160" w:line="300"/>
        <w:jc w:val="both"/>
      </w:pPr>
      <w:r>
        <w:rPr>
          <w:sz w:val="22"/>
          <w:szCs w:val="22"/>
        </w:rPr>
        <w:t xml:space="preserve">La sustentación de este trabajo inicia con el problema público, la propuesta de arquitectura y la decisión requerida al Comité de Arquitectura Empresarial (Comité de AE) de la Municipalidad Metropolitana de Lima (MML).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871F" w:sz="6"/>
              <w:left w:val="single" w:color="B7871F" w:sz="6"/>
              <w:bottom w:val="single" w:color="B7871F" w:sz="6"/>
              <w:right w:val="single" w:color="B7871F" w:sz="6"/>
            </w:tcBorders>
            <w:shd w:fill="FDF3E7" w:val="clear"/>
            <w:tcMar>
              <w:top w:type="dxa" w:w="160"/>
              <w:left w:type="dxa" w:w="200"/>
              <w:bottom w:type="dxa" w:w="160"/>
              <w:right w:type="dxa" w:w="200"/>
            </w:tcMar>
          </w:tcPr>
          <w:p>
            <w:pPr>
              <w:spacing w:after="100"/>
            </w:pPr>
            <w:r>
              <w:rPr>
                <w:b/>
                <w:bCs/>
                <w:color w:val="1F3864"/>
                <w:sz w:val="21"/>
                <w:szCs w:val="21"/>
              </w:rPr>
              <w:t xml:space="preserve">Frase clave para el Comité</w:t>
            </w:r>
          </w:p>
          <w:p>
            <w:pPr>
              <w:spacing w:line="280"/>
              <w:jc w:val="both"/>
            </w:pPr>
            <w:r>
              <w:rPr>
                <w:i/>
                <w:iCs/>
                <w:sz w:val="20"/>
                <w:szCs w:val="20"/>
              </w:rPr>
              <w:t xml:space="preserve">«Solicitamos aprobar el alcance y la Hoja de Ruta de arquitectura, así como los paquetes de trabajo prioritarios, para habilitar una transformación digital medible frente a la inseguridad ciudadana.»</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50"/>
      </w:tblGrid>
      <w:tr>
        <w:trPr>
          <w:tblHeader/>
        </w:trPr>
        <w:tc>
          <w:tcPr>
            <w:tcW w:type="dxa" w:w="2500"/>
            <w:shd w:fill="1F3864" w:val="clear"/>
            <w:tcMar>
              <w:top w:type="dxa" w:w="80"/>
              <w:left w:type="dxa" w:w="100"/>
              <w:bottom w:type="dxa" w:w="80"/>
              <w:right w:type="dxa" w:w="100"/>
            </w:tcMar>
            <w:vAlign w:val="center"/>
          </w:tcPr>
          <w:p>
            <w:pPr>
              <w:jc w:val="left"/>
            </w:pPr>
            <w:r>
              <w:rPr>
                <w:b/>
                <w:bCs/>
                <w:color w:val="FFFFFF"/>
                <w:sz w:val="19"/>
                <w:szCs w:val="19"/>
              </w:rPr>
              <w:t xml:space="preserve">Problema público</w:t>
            </w:r>
          </w:p>
        </w:tc>
        <w:tc>
          <w:tcPr>
            <w:tcW w:type="dxa" w:w="2500"/>
            <w:shd w:fill="1F3864" w:val="clear"/>
            <w:tcMar>
              <w:top w:type="dxa" w:w="80"/>
              <w:left w:type="dxa" w:w="100"/>
              <w:bottom w:type="dxa" w:w="80"/>
              <w:right w:type="dxa" w:w="100"/>
            </w:tcMar>
            <w:vAlign w:val="center"/>
          </w:tcPr>
          <w:p>
            <w:pPr>
              <w:jc w:val="left"/>
            </w:pPr>
            <w:r>
              <w:rPr>
                <w:b/>
                <w:bCs/>
                <w:color w:val="FFFFFF"/>
                <w:sz w:val="19"/>
                <w:szCs w:val="19"/>
              </w:rPr>
              <w:t xml:space="preserve">Arquitectura propuesta</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Valor esperado</w:t>
            </w:r>
          </w:p>
        </w:tc>
        <w:tc>
          <w:tcPr>
            <w:tcW w:type="dxa" w:w="2150"/>
            <w:shd w:fill="1F3864" w:val="clear"/>
            <w:tcMar>
              <w:top w:type="dxa" w:w="80"/>
              <w:left w:type="dxa" w:w="100"/>
              <w:bottom w:type="dxa" w:w="80"/>
              <w:right w:type="dxa" w:w="100"/>
            </w:tcMar>
            <w:vAlign w:val="center"/>
          </w:tcPr>
          <w:p>
            <w:pPr>
              <w:jc w:val="left"/>
            </w:pPr>
            <w:r>
              <w:rPr>
                <w:b/>
                <w:bCs/>
                <w:color w:val="FFFFFF"/>
                <w:sz w:val="19"/>
                <w:szCs w:val="19"/>
              </w:rPr>
              <w:t xml:space="preserve">Decisión del Comité</w:t>
            </w:r>
          </w:p>
        </w:tc>
      </w:tr>
      <w:tr>
        <w:tc>
          <w:tcPr>
            <w:tcW w:type="dxa" w:w="2500"/>
            <w:tcMar>
              <w:top w:type="dxa" w:w="80"/>
              <w:left w:type="dxa" w:w="100"/>
              <w:bottom w:type="dxa" w:w="80"/>
              <w:right w:type="dxa" w:w="100"/>
            </w:tcMar>
            <w:vAlign w:val="center"/>
          </w:tcPr>
          <w:p>
            <w:pPr>
              <w:jc w:val="left"/>
            </w:pPr>
            <w:r>
              <w:rPr>
                <w:b w:val="false"/>
                <w:bCs w:val="false"/>
                <w:sz w:val="19"/>
                <w:szCs w:val="19"/>
              </w:rPr>
              <w:t xml:space="preserve">Extorsión, sicariato y cobro de cupos en la jurisdicción metropolitana.
Información fragmentada entre áreas operativas (Serenazgo, videovigilancia, fiscalización).
Afecta a vecinos y comerciantes de Lima.</w:t>
            </w:r>
          </w:p>
        </w:tc>
        <w:tc>
          <w:tcPr>
            <w:tcW w:type="dxa" w:w="2500"/>
            <w:tcMar>
              <w:top w:type="dxa" w:w="80"/>
              <w:left w:type="dxa" w:w="100"/>
              <w:bottom w:type="dxa" w:w="80"/>
              <w:right w:type="dxa" w:w="100"/>
            </w:tcMar>
            <w:vAlign w:val="center"/>
          </w:tcPr>
          <w:p>
            <w:pPr>
              <w:jc w:val="left"/>
            </w:pPr>
            <w:r>
              <w:rPr>
                <w:b w:val="false"/>
                <w:bCs w:val="false"/>
                <w:sz w:val="19"/>
                <w:szCs w:val="19"/>
              </w:rPr>
              <w:t xml:space="preserve">Gestión de incidentes e inteligencia territorial.
Repositorio Metropolitano de Seguridad + API Gateway.
Dato único de incidente y privacidad por diseño.</w:t>
            </w:r>
          </w:p>
        </w:tc>
        <w:tc>
          <w:tcPr>
            <w:tcW w:type="dxa" w:w="2200"/>
            <w:tcMar>
              <w:top w:type="dxa" w:w="80"/>
              <w:left w:type="dxa" w:w="100"/>
              <w:bottom w:type="dxa" w:w="80"/>
              <w:right w:type="dxa" w:w="100"/>
            </w:tcMar>
            <w:vAlign w:val="center"/>
          </w:tcPr>
          <w:p>
            <w:pPr>
              <w:jc w:val="left"/>
            </w:pPr>
            <w:r>
              <w:rPr>
                <w:b w:val="false"/>
                <w:bCs w:val="false"/>
                <w:sz w:val="19"/>
                <w:szCs w:val="19"/>
              </w:rPr>
              <w:t xml:space="preserve">Disponibilidad de sistemas ≥ 99,6 % medida.
−30 % en el tiempo de atención al incidente.
Duplicidad de datos &lt; 2 %.</w:t>
            </w:r>
          </w:p>
        </w:tc>
        <w:tc>
          <w:tcPr>
            <w:tcW w:type="dxa" w:w="2150"/>
            <w:tcMar>
              <w:top w:type="dxa" w:w="80"/>
              <w:left w:type="dxa" w:w="100"/>
              <w:bottom w:type="dxa" w:w="80"/>
              <w:right w:type="dxa" w:w="100"/>
            </w:tcMar>
            <w:vAlign w:val="center"/>
          </w:tcPr>
          <w:p>
            <w:pPr>
              <w:jc w:val="left"/>
            </w:pPr>
            <w:r>
              <w:rPr>
                <w:b w:val="false"/>
                <w:bCs w:val="false"/>
                <w:sz w:val="19"/>
                <w:szCs w:val="19"/>
              </w:rPr>
              <w:t xml:space="preserve">Aprobar el alcance y la Hoja de Ruta de arquitectura.
Asignar sponsor ejecutivo y el Comité de AE.</w:t>
            </w:r>
          </w:p>
        </w:tc>
      </w:tr>
    </w:tbl>
    <w:p>
      <w:pPr>
        <w:spacing w:before="300"/>
      </w:pPr>
    </w:p>
    <w:p>
      <w:r>
        <w:br w:type="page"/>
      </w:r>
    </w:p>
    <w:p>
      <w:pPr>
        <w:pStyle w:val="Heading1"/>
        <w:spacing w:after="200" w:before="360"/>
      </w:pPr>
      <w:r>
        <w:rPr>
          <w:b/>
          <w:bCs/>
          <w:color w:val="1F3864"/>
          <w:sz w:val="28"/>
          <w:szCs w:val="28"/>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3864"/>
          <w:sz w:val="28"/>
          <w:szCs w:val="28"/>
        </w:rPr>
        <w:t xml:space="preserve">1. Introducción</w:t>
      </w:r>
    </w:p>
    <w:p>
      <w:pPr>
        <w:spacing w:after="160" w:line="300"/>
        <w:jc w:val="both"/>
      </w:pPr>
      <w:r>
        <w:rPr>
          <w:sz w:val="22"/>
          <w:szCs w:val="22"/>
        </w:rPr>
        <w:t xml:space="preserve">El Perú enfrenta una situación de inseguridad ciudadana que afecta de manera directa la paz social, la confianza institucional y el desarrollo del país. Según cifras oficiales del INEI correspondientes al semestre móvil de diciembre 2024 a mayo 2025, el 26 % de los hogares peruanos fue víctima de algún hecho delictivo, mientras que la tasa de homicidios alcanzó 10.7 por cada 100,000 habitantes, lo que evidencia una presión estructural sobre el orden público (INEI, 2025; Canal N, 2025).</w:t>
      </w:r>
    </w:p>
    <w:p>
      <w:pPr>
        <w:spacing w:after="160" w:line="300"/>
        <w:jc w:val="both"/>
      </w:pPr>
      <w:r>
        <w:rPr>
          <w:sz w:val="22"/>
          <w:szCs w:val="22"/>
        </w:rPr>
        <w:t xml:space="preserve">Dentro de este contexto nacional, la Municipalidad Metropolitana de Lima (MML) enfrenta un escenario particular de creciente complejidad: el incremento de actividades asociadas al crimen organizado en su jurisdicción, tales como la extorsión, el sicariato, el cobro de cupos, la ocupación ilegal de espacios públicos y las economías ilícitas. Este fenómeno afecta de forma directa a los vecinos y comerciantes de Lima, y exige la participación coordinada de múltiples áreas municipales —Serenazgo Metropolitano, el Centro de Control y Monitoreo, la Gerencia de Fiscalización y Control, la Gerencia de Participación Vecinal— junto con organismos externos como la Policía Nacional del Perú (PNP), el Ministerio Público y el Ministerio del Interior.</w:t>
      </w:r>
    </w:p>
    <w:p>
      <w:pPr>
        <w:spacing w:after="160" w:line="300"/>
        <w:jc w:val="both"/>
      </w:pPr>
      <w:r>
        <w:rPr>
          <w:sz w:val="22"/>
          <w:szCs w:val="22"/>
        </w:rPr>
        <w:t xml:space="preserve">Frente a esta realidad, la MML se presenta como la entidad pública responsable de gobernar y administrar el territorio de la provincia de Lima, promoviendo el desarrollo integral, sostenible e inclusivo de la ciudad y garantizando servicios públicos de calidad, entre ellos la seguridad ciudadana en el ámbito de su competencia municipal. Sin embargo, la naturaleza multidimensional del problema exige más que una descripción institucional: requiere analizar cómo la organización traduce sus fines en acciones concretas, normas y procesos. Por ello, este trabajo aplica la Arquitectura Empresarial y el Business Motivation Model (BMM) para conectar el problema público con la respuesta institucional, desde el «por qué» hasta el «cómo».</w:t>
      </w:r>
    </w:p>
    <w:p>
      <w:pPr>
        <w:spacing w:after="160" w:line="300"/>
        <w:jc w:val="both"/>
      </w:pPr>
      <w:r>
        <w:rPr>
          <w:sz w:val="22"/>
          <w:szCs w:val="22"/>
        </w:rPr>
        <w:t xml:space="preserve">En esa línea, el informe desarrolla primero el problema general y el problema particular, luego el árbol de problemas, seguido de la arquitectura empresarial de la Municipalidad Metropolitana de Lima y finalmente el modelo BMM. Esta secuencia permite pasar de la identificación de causas y efectos a la estructuración de unidades organizacionales, procesos, reglas, stakeholders, influencers, objetivos y medios de acción. Así, el documento no se queda en diagnosticar la inseguridad, sino que propone una lectura estratégica y arquitectónica para alinear la organización de la MML con la lucha contra la extorsión y el crimen organizado que afecta a la capital.</w:t>
      </w:r>
    </w:p>
    <w:p>
      <w:pPr>
        <w:pStyle w:val="Heading1"/>
        <w:spacing w:after="200" w:before="360"/>
      </w:pPr>
      <w:r>
        <w:rPr>
          <w:b/>
          <w:bCs/>
          <w:color w:val="1F3864"/>
          <w:sz w:val="28"/>
          <w:szCs w:val="28"/>
        </w:rPr>
        <w:t xml:space="preserve">2. Problema general</w:t>
      </w:r>
    </w:p>
    <w:p>
      <w:pPr>
        <w:spacing w:after="160" w:line="300"/>
        <w:jc w:val="both"/>
      </w:pPr>
      <w:r>
        <w:rPr>
          <w:sz w:val="22"/>
          <w:szCs w:val="22"/>
        </w:rPr>
        <w:t xml:space="preserve">El problema general identificado es la inseguridad ciudadana en el Perú, fenómeno que representa una alteración profunda de la paz social y un obstáculo transversal para el desarrollo del país. Según datos oficiales del INEI correspondientes al semestre móvil de diciembre 2024 a mayo 2025, el 26 % de los hogares peruanos a nivel nacional fue víctima de algún hecho delictivo (INEI, 2025). Asimismo, los índices de letalidad alcanzaron picos históricos, registrando una tasa de homicidios de 10.7 por cada 100,000 habitantes en el año 2025, lo que evidencia una crisis de orden público de carácter estructural (Canal N, 2025; INEI, 2025).</w:t>
      </w:r>
    </w:p>
    <w:p>
      <w:pPr>
        <w:spacing w:after="160" w:line="300"/>
        <w:jc w:val="both"/>
      </w:pPr>
      <w:r>
        <w:rPr>
          <w:sz w:val="22"/>
          <w:szCs w:val="22"/>
        </w:rPr>
        <w:t xml:space="preserve">Lima Metropolitana, como principal centro urbano, poblacional y económico del país, concentra una parte significativa de esta problemática. La alta densidad poblacional, la actividad comercial intensa y la presencia de economías informales configuran un entorno favorable para la expansión de modalidades delictivas asociadas al crimen organizado, que inciden de manera directa sobre la gestión municipal y sobre la percepción de seguridad de la ciudadanía limeña.</w:t>
      </w:r>
    </w:p>
    <w:p>
      <w:pPr>
        <w:pStyle w:val="Heading1"/>
        <w:spacing w:after="200" w:before="360"/>
      </w:pPr>
      <w:r>
        <w:rPr>
          <w:b/>
          <w:bCs/>
          <w:color w:val="1F3864"/>
          <w:sz w:val="28"/>
          <w:szCs w:val="28"/>
        </w:rPr>
        <w:t xml:space="preserve">3. Problema particular</w:t>
      </w:r>
    </w:p>
    <w:p>
      <w:pPr>
        <w:spacing w:after="160" w:line="300"/>
        <w:jc w:val="both"/>
      </w:pPr>
      <w:r>
        <w:rPr>
          <w:sz w:val="22"/>
          <w:szCs w:val="22"/>
        </w:rPr>
        <w:t xml:space="preserve">A partir del problema general de inseguridad ciudadana en el Perú, se identifica como problema específico el avance de la extorsión, el sicariato y el cobro de cupos en la jurisdicción de la Municipalidad Metropolitana de Lima, modalidades delictivas que afectan de manera directa a los vecinos y comerciantes de la ciudad. Dentro de este problema específico, y en línea con la evaluación de madurez institucional realizada para la Fase Preliminar de la Arquitectura Empresarial de la MML, se priorizan cuatro brechas particulares vinculadas a debilidades organizacionales.</w:t>
      </w:r>
    </w:p>
    <w:p>
      <w:pPr>
        <w:pStyle w:val="Heading3"/>
        <w:spacing w:after="120" w:before="200"/>
      </w:pPr>
      <w:r>
        <w:rPr>
          <w:b/>
          <w:bCs/>
          <w:i/>
          <w:iCs/>
          <w:color w:val="595959"/>
          <w:sz w:val="22"/>
          <w:szCs w:val="22"/>
        </w:rPr>
        <w:t xml:space="preserve">Brecha 1 — Fragmentación de la información</w:t>
      </w:r>
    </w:p>
    <w:p>
      <w:pPr>
        <w:spacing w:after="160" w:line="300"/>
        <w:jc w:val="both"/>
      </w:pPr>
      <w:r>
        <w:rPr>
          <w:sz w:val="22"/>
          <w:szCs w:val="22"/>
        </w:rPr>
        <w:t xml:space="preserve">Las áreas responsables de Serenazgo, videovigilancia, fiscalización y atención ciudadana administran información mediante sistemas parcialmente independientes. Los datos de incidentes, fiscalización, denuncias y monitoreo se encuentran distribuidos en múltiples repositorios, lo que genera duplicidad de registros, inconsistencias y dificultades para coordinar acciones frente al crecimiento del crimen organizado. Desde la Arquitectura Empresarial, esta brecha evidencia problemas de gobierno de datos e interoperabilidad interna.</w:t>
      </w:r>
    </w:p>
    <w:p>
      <w:pPr>
        <w:pStyle w:val="Heading3"/>
        <w:spacing w:after="120" w:before="200"/>
      </w:pPr>
      <w:r>
        <w:rPr>
          <w:b/>
          <w:bCs/>
          <w:i/>
          <w:iCs/>
          <w:color w:val="595959"/>
          <w:sz w:val="22"/>
          <w:szCs w:val="22"/>
        </w:rPr>
        <w:t xml:space="preserve">Brecha 2 — Coordinación institucional deficiente</w:t>
      </w:r>
    </w:p>
    <w:p>
      <w:pPr>
        <w:spacing w:after="160" w:line="300"/>
        <w:jc w:val="both"/>
      </w:pPr>
      <w:r>
        <w:rPr>
          <w:sz w:val="22"/>
          <w:szCs w:val="22"/>
        </w:rPr>
        <w:t xml:space="preserve">La coordinación entre las áreas municipales y las entidades externas —en particular la Policía Nacional del Perú y el Ministerio Público— depende en gran medida de procedimientos manuales. Esta situación reduce la capacidad institucional para detectar patrones delictivos, priorizar recursos y responder de manera oportuna a los incidentes de extorsión y cobro de cupos reportados por vecinos y comerciantes.</w:t>
      </w:r>
    </w:p>
    <w:p>
      <w:pPr>
        <w:pStyle w:val="Heading3"/>
        <w:spacing w:after="120" w:before="200"/>
      </w:pPr>
      <w:r>
        <w:rPr>
          <w:b/>
          <w:bCs/>
          <w:i/>
          <w:iCs/>
          <w:color w:val="595959"/>
          <w:sz w:val="22"/>
          <w:szCs w:val="22"/>
        </w:rPr>
        <w:t xml:space="preserve">Brecha 3 — Ausencia de un gobierno formal de arquitectura</w:t>
      </w:r>
    </w:p>
    <w:p>
      <w:pPr>
        <w:spacing w:after="160" w:line="300"/>
        <w:jc w:val="both"/>
      </w:pPr>
      <w:r>
        <w:rPr>
          <w:sz w:val="22"/>
          <w:szCs w:val="22"/>
        </w:rPr>
        <w:t xml:space="preserve">La práctica formal de Arquitectura Empresarial aún no se encuentra institucionalizada en la MML, por lo que existe una limitada capacidad para gestionar de forma integral las iniciativas de transformación digital orientadas a la seguridad ciudadana. No existe, al momento del diagnóstico, un Comité de Arquitectura Empresarial ni un equipo permanente que gobierne estas decisiones.</w:t>
      </w:r>
    </w:p>
    <w:p>
      <w:pPr>
        <w:pStyle w:val="Heading3"/>
        <w:spacing w:after="120" w:before="200"/>
      </w:pPr>
      <w:r>
        <w:rPr>
          <w:b/>
          <w:bCs/>
          <w:i/>
          <w:iCs/>
          <w:color w:val="595959"/>
          <w:sz w:val="22"/>
          <w:szCs w:val="22"/>
        </w:rPr>
        <w:t xml:space="preserve">Brecha 4 — Analítica de seguridad reactiva</w:t>
      </w:r>
    </w:p>
    <w:p>
      <w:pPr>
        <w:spacing w:after="160" w:line="300"/>
        <w:jc w:val="both"/>
      </w:pPr>
      <w:r>
        <w:rPr>
          <w:sz w:val="22"/>
          <w:szCs w:val="22"/>
        </w:rPr>
        <w:t xml:space="preserve">Predomina un enfoque de análisis reactivo frente a los incidentes de inseguridad, en contraposición a una capacidad predictiva basada en datos históricos y georreferenciación. Esto limita la capacidad de la MML para anticipar zonas y horarios de mayor riesgo de extorsión, sicariato y cobro de cupos, y para priorizar el patrullaje preventivo del Serenazgo Metropolitano.</w:t>
      </w:r>
    </w:p>
    <w:p>
      <w:pPr>
        <w:pStyle w:val="Heading1"/>
        <w:spacing w:after="200" w:before="360"/>
      </w:pPr>
      <w:r>
        <w:rPr>
          <w:b/>
          <w:bCs/>
          <w:color w:val="1F3864"/>
          <w:sz w:val="28"/>
          <w:szCs w:val="28"/>
        </w:rPr>
        <w:t xml:space="preserve">4. Árbol de problemas (causas y efectos)</w:t>
      </w:r>
    </w:p>
    <w:p>
      <w:pPr>
        <w:spacing w:after="160" w:line="300"/>
        <w:jc w:val="both"/>
      </w:pPr>
      <w:r>
        <w:rPr>
          <w:sz w:val="22"/>
          <w:szCs w:val="22"/>
        </w:rPr>
        <w:t xml:space="preserve">El árbol de problemas permite representar la relación entre las causas y los efectos del problema central identificado: el avance de la extorsión, el sicariato y el cobro de cupos en la jurisdicción de la Municipalidad Metropolitana de Lima. A continuación se presenta la estructura causa–efecto en formato de matriz, organizada en los niveles convencionales del análisis: causas raíz, causas directas, problema central, efectos directos, efectos intermedios y efectos finales.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Nivel</w:t>
            </w:r>
          </w:p>
        </w:tc>
        <w:tc>
          <w:tcPr>
            <w:tcW w:type="dxa" w:w="6750"/>
            <w:shd w:fill="1F3864" w:val="clear"/>
            <w:tcMar>
              <w:top w:type="dxa" w:w="80"/>
              <w:left w:type="dxa" w:w="100"/>
              <w:bottom w:type="dxa" w:w="80"/>
              <w:right w:type="dxa" w:w="100"/>
            </w:tcMar>
            <w:vAlign w:val="center"/>
          </w:tcPr>
          <w:p>
            <w:pPr>
              <w:jc w:val="left"/>
            </w:pPr>
            <w:r>
              <w:rPr>
                <w:b/>
                <w:bCs/>
                <w:color w:val="FFFFFF"/>
                <w:sz w:val="19"/>
                <w:szCs w:val="19"/>
              </w:rPr>
              <w:t xml:space="preserve">Descripción</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Causas raíz (estructurales)</w:t>
            </w:r>
          </w:p>
        </w:tc>
        <w:tc>
          <w:tcPr>
            <w:tcW w:type="dxa" w:w="6750"/>
            <w:tcMar>
              <w:top w:type="dxa" w:w="80"/>
              <w:left w:type="dxa" w:w="100"/>
              <w:bottom w:type="dxa" w:w="80"/>
              <w:right w:type="dxa" w:w="100"/>
            </w:tcMar>
            <w:vAlign w:val="center"/>
          </w:tcPr>
          <w:p>
            <w:pPr>
              <w:jc w:val="left"/>
            </w:pPr>
            <w:r>
              <w:rPr>
                <w:b w:val="false"/>
                <w:bCs w:val="false"/>
                <w:sz w:val="19"/>
                <w:szCs w:val="19"/>
              </w:rPr>
              <w:t xml:space="preserve">Alta densidad urbana y comercial de Lima Metropolitana; informalidad económica; baja madurez institucional en Arquitectura Empresarial (nivel de gobierno de AE = 1 sobre 5); expansión de economías ilícitas vinculadas al crimen organizado.</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Causas directas (institucionales)</w:t>
            </w:r>
          </w:p>
        </w:tc>
        <w:tc>
          <w:tcPr>
            <w:tcW w:type="dxa" w:w="6750"/>
            <w:tcMar>
              <w:top w:type="dxa" w:w="80"/>
              <w:left w:type="dxa" w:w="100"/>
              <w:bottom w:type="dxa" w:w="80"/>
              <w:right w:type="dxa" w:w="100"/>
            </w:tcMar>
            <w:vAlign w:val="center"/>
          </w:tcPr>
          <w:p>
            <w:pPr>
              <w:jc w:val="left"/>
            </w:pPr>
            <w:r>
              <w:rPr>
                <w:b w:val="false"/>
                <w:bCs w:val="false"/>
                <w:sz w:val="19"/>
                <w:szCs w:val="19"/>
              </w:rPr>
              <w:t xml:space="preserve">Fragmentación de la información entre Serenazgo, videovigilancia, fiscalización y atención ciudadana (Brecha 1); coordinación manual con la PNP y el Ministerio Público (Brecha 2); ausencia de gobierno formal de arquitectura (Brecha 3); analítica de seguridad reactiva, sin capacidad predictiva (Brecha 4).</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Problema central</w:t>
            </w:r>
          </w:p>
        </w:tc>
        <w:tc>
          <w:tcPr>
            <w:tcW w:type="dxa" w:w="6750"/>
            <w:tcMar>
              <w:top w:type="dxa" w:w="80"/>
              <w:left w:type="dxa" w:w="100"/>
              <w:bottom w:type="dxa" w:w="80"/>
              <w:right w:type="dxa" w:w="100"/>
            </w:tcMar>
            <w:vAlign w:val="center"/>
          </w:tcPr>
          <w:p>
            <w:pPr>
              <w:jc w:val="left"/>
            </w:pPr>
            <w:r>
              <w:rPr>
                <w:b w:val="false"/>
                <w:bCs w:val="false"/>
                <w:sz w:val="19"/>
                <w:szCs w:val="19"/>
              </w:rPr>
              <w:t xml:space="preserve">Avance de la extorsión, el sicariato y el cobro de cupos en la jurisdicción de la Municipalidad Metropolitana de Lima.</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Efectos directos (primer nivel)</w:t>
            </w:r>
          </w:p>
        </w:tc>
        <w:tc>
          <w:tcPr>
            <w:tcW w:type="dxa" w:w="6750"/>
            <w:tcMar>
              <w:top w:type="dxa" w:w="80"/>
              <w:left w:type="dxa" w:w="100"/>
              <w:bottom w:type="dxa" w:w="80"/>
              <w:right w:type="dxa" w:w="100"/>
            </w:tcMar>
            <w:vAlign w:val="center"/>
          </w:tcPr>
          <w:p>
            <w:pPr>
              <w:jc w:val="left"/>
            </w:pPr>
            <w:r>
              <w:rPr>
                <w:b w:val="false"/>
                <w:bCs w:val="false"/>
                <w:sz w:val="19"/>
                <w:szCs w:val="19"/>
              </w:rPr>
              <w:t xml:space="preserve">Incremento de incidentes reportados de extorsión y cobro de cupos; sobrecarga operativa del Centro de Control y Monitoreo; tiempos de atención a incidentes elevados; baja trazabilidad de las denuncias vecinales.</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Efectos intermedios</w:t>
            </w:r>
          </w:p>
        </w:tc>
        <w:tc>
          <w:tcPr>
            <w:tcW w:type="dxa" w:w="6750"/>
            <w:tcMar>
              <w:top w:type="dxa" w:w="80"/>
              <w:left w:type="dxa" w:w="100"/>
              <w:bottom w:type="dxa" w:w="80"/>
              <w:right w:type="dxa" w:w="100"/>
            </w:tcMar>
            <w:vAlign w:val="center"/>
          </w:tcPr>
          <w:p>
            <w:pPr>
              <w:jc w:val="left"/>
            </w:pPr>
            <w:r>
              <w:rPr>
                <w:b w:val="false"/>
                <w:bCs w:val="false"/>
                <w:sz w:val="19"/>
                <w:szCs w:val="19"/>
              </w:rPr>
              <w:t xml:space="preserve">Afectación directa a vecinos y comerciantes de Lima; incremento de la percepción de inseguridad; menor disposición de los comercios a operar con normalidad en zonas de riesgo; desgaste de la confianza ciudadana en la gestión municipal.</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Efectos finales</w:t>
            </w:r>
          </w:p>
        </w:tc>
        <w:tc>
          <w:tcPr>
            <w:tcW w:type="dxa" w:w="6750"/>
            <w:tcMar>
              <w:top w:type="dxa" w:w="80"/>
              <w:left w:type="dxa" w:w="100"/>
              <w:bottom w:type="dxa" w:w="80"/>
              <w:right w:type="dxa" w:w="100"/>
            </w:tcMar>
            <w:vAlign w:val="center"/>
          </w:tcPr>
          <w:p>
            <w:pPr>
              <w:jc w:val="left"/>
            </w:pPr>
            <w:r>
              <w:rPr>
                <w:b w:val="false"/>
                <w:bCs w:val="false"/>
                <w:sz w:val="19"/>
                <w:szCs w:val="19"/>
              </w:rPr>
              <w:t xml:space="preserve">Deterioro de la convivencia vecinal; freno al desarrollo económico local y comercial; erosión de la confianza institucional en la Municipalidad Metropolitana de Lima como garante de la seguridad en su jurisdicción.</w:t>
            </w:r>
          </w:p>
        </w:tc>
      </w:tr>
    </w:tbl>
    <w:p>
      <w:pPr>
        <w:spacing w:after="240" w:before="80"/>
        <w:jc w:val="center"/>
      </w:pPr>
      <w:r>
        <w:rPr>
          <w:i/>
          <w:iCs/>
          <w:color w:val="595959"/>
          <w:sz w:val="18"/>
          <w:szCs w:val="18"/>
        </w:rPr>
        <w:t xml:space="preserve">Tabla 4.1. Matriz causa–efecto del problema central — Municipalidad Metropolitana de Lima.</w:t>
      </w:r>
    </w:p>
    <w:p>
      <w:pPr>
        <w:spacing w:after="160" w:line="300"/>
        <w:jc w:val="both"/>
      </w:pPr>
      <w:r>
        <w:rPr>
          <w:sz w:val="22"/>
          <w:szCs w:val="22"/>
        </w:rPr>
        <w:t xml:space="preserve">Como se observa, las causas estructurales (densidad urbana, informalidad, baja madurez de AE) crean el entorno favorable para la expansión de las modalidades delictivas, mientras que las causas directas —de naturaleza institucional— explican por qué la respuesta municipal actual resulta insuficiente frente al problema. Los efectos, por su parte, confirman que la inseguridad no es solo un problema de orden público, sino también un obstáculo para la actividad económica y la legitimidad de la gestión municipal ante la ciudadanía limeña.</w:t>
      </w:r>
    </w:p>
    <w:p>
      <w:r>
        <w:br w:type="page"/>
      </w:r>
    </w:p>
    <w:p>
      <w:pPr>
        <w:pStyle w:val="Heading1"/>
        <w:spacing w:after="200" w:before="360"/>
      </w:pPr>
      <w:r>
        <w:rPr>
          <w:b/>
          <w:bCs/>
          <w:color w:val="1F3864"/>
          <w:sz w:val="28"/>
          <w:szCs w:val="28"/>
        </w:rPr>
        <w:t xml:space="preserve">5. Arquitectura Empresarial de la Municipalidad Metropolitana de Lima</w:t>
      </w:r>
    </w:p>
    <w:p>
      <w:pPr>
        <w:pStyle w:val="Heading2"/>
        <w:spacing w:after="160" w:before="280"/>
      </w:pPr>
      <w:r>
        <w:rPr>
          <w:b/>
          <w:bCs/>
          <w:color w:val="9B1C1C"/>
          <w:sz w:val="24"/>
          <w:szCs w:val="24"/>
        </w:rPr>
        <w:t xml:space="preserve">5.1. Fundamentación ontológica y estratégica</w:t>
      </w:r>
    </w:p>
    <w:p>
      <w:pPr>
        <w:spacing w:after="160" w:line="300"/>
        <w:jc w:val="both"/>
      </w:pPr>
      <w:r>
        <w:rPr>
          <w:sz w:val="22"/>
          <w:szCs w:val="22"/>
        </w:rPr>
        <w:t xml:space="preserve">La Municipalidad dispone de infraestructura tecnológica relevante, incluyendo videovigilancia y centros de monitoreo; sin embargo, la información se encuentra fragmentada entre las distintas áreas operativas involucradas en la seguridad ciudadana. Los procesos relacionados dependen en gran medida de la coordinación manual, y la práctica formal de Arquitectura Empresarial (AE) aún no se encuentra institucionalizada, lo que limita la capacidad de la MML para gestionar de forma integral sus iniciativas de transformación.</w:t>
      </w:r>
    </w:p>
    <w:p>
      <w:pPr>
        <w:spacing w:after="160" w:line="300"/>
        <w:jc w:val="both"/>
      </w:pPr>
      <w:r>
        <w:rPr>
          <w:sz w:val="22"/>
          <w:szCs w:val="22"/>
        </w:rPr>
        <w:t xml:space="preserve">Frente a este escenario, la Arquitectura Empresarial se aplica a la Municipalidad Metropolitana de Lima para resolver de manera sistémica las cuatro brechas identificadas en el diagnóstico institucional: la fragmentación de la información, la coordinación institucional deficiente, la ausencia de un gobierno formal de arquitectura y la analítica de seguridad reactiva. Basado en el método ADM de TOGAF, el Marco de Arquitectura Digital del Estado peruano (MADE) y el lenguaje de modelado ArchiMate, el rediseño transiciona de un modelo fragmentado (AS-IS) hacia un ecosistema integral de seguridad ciudadana (TO-BE), estructurado en cuatro dominios de arquitectura.</w:t>
      </w:r>
    </w:p>
    <w:p>
      <w:pPr>
        <w:pStyle w:val="Heading2"/>
        <w:spacing w:after="160" w:before="280"/>
      </w:pPr>
      <w:r>
        <w:rPr>
          <w:b/>
          <w:bCs/>
          <w:color w:val="9B1C1C"/>
          <w:sz w:val="24"/>
          <w:szCs w:val="24"/>
        </w:rPr>
        <w:t xml:space="preserve">5.2. Dominio de Arquitectura de Negocio</w:t>
      </w:r>
    </w:p>
    <w:p>
      <w:pPr>
        <w:spacing w:after="160" w:line="300"/>
        <w:jc w:val="both"/>
      </w:pPr>
      <w:r>
        <w:rPr>
          <w:sz w:val="22"/>
          <w:szCs w:val="22"/>
        </w:rPr>
        <w:t xml:space="preserve">Diagnóstico (AS-IS): El modelo operativo actual de seguridad ciudadana es reactivo y fragmentado. El Serenazgo Metropolitano, el Centro de Control y Monitoreo, la Gerencia de Fiscalización y Control y la Gerencia de Participación Vecinal ejecutan sus procesos con información separada y coordinación predominantemente manual. Los canales de denuncia vecinal no están integrados entre sí, y la articulación con la Policía Nacional del Perú se sostiene mediante procedimientos ad hoc, sin protocolos digitales de intercambio de información en tiempo real.</w:t>
      </w:r>
    </w:p>
    <w:p>
      <w:pPr>
        <w:spacing w:after="160" w:line="300"/>
        <w:jc w:val="both"/>
      </w:pPr>
      <w:r>
        <w:rPr>
          <w:sz w:val="22"/>
          <w:szCs w:val="22"/>
        </w:rPr>
        <w:t xml:space="preserve">Propuesta (TO-BE): Se diseña un modelo de gestión de seguridad ciudadana centralizado y preventivo. La atención de incidentes, alertas y patrullaje se articula mediante una Plataforma Metropolitana de Seguridad que integra a Serenazgo, videovigilancia, fiscalización y participación vecinal bajo un mismo esquema de gestión de incidentes. Se instituye el Comité de Arquitectura Empresarial como ente rector de las decisiones tecnológicas, garantizando coherencia entre los procesos de negocio y las inversiones en seguridad.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350"/>
        <w:gridCol w:w="3350"/>
      </w:tblGrid>
      <w:tr>
        <w:trPr>
          <w:tblHeader/>
        </w:trPr>
        <w:tc>
          <w:tcPr>
            <w:tcW w:type="dxa" w:w="2650"/>
            <w:shd w:fill="1F3864" w:val="clear"/>
            <w:tcMar>
              <w:top w:type="dxa" w:w="80"/>
              <w:left w:type="dxa" w:w="100"/>
              <w:bottom w:type="dxa" w:w="80"/>
              <w:right w:type="dxa" w:w="100"/>
            </w:tcMar>
            <w:vAlign w:val="center"/>
          </w:tcPr>
          <w:p>
            <w:pPr>
              <w:jc w:val="left"/>
            </w:pPr>
            <w:r>
              <w:rPr>
                <w:b/>
                <w:bCs/>
                <w:color w:val="FFFFFF"/>
                <w:sz w:val="19"/>
                <w:szCs w:val="19"/>
              </w:rPr>
              <w:t xml:space="preserve">Componente</w:t>
            </w:r>
          </w:p>
        </w:tc>
        <w:tc>
          <w:tcPr>
            <w:tcW w:type="dxa" w:w="3350"/>
            <w:shd w:fill="1F3864" w:val="clear"/>
            <w:tcMar>
              <w:top w:type="dxa" w:w="80"/>
              <w:left w:type="dxa" w:w="100"/>
              <w:bottom w:type="dxa" w:w="80"/>
              <w:right w:type="dxa" w:w="100"/>
            </w:tcMar>
            <w:vAlign w:val="center"/>
          </w:tcPr>
          <w:p>
            <w:pPr>
              <w:jc w:val="left"/>
            </w:pPr>
            <w:r>
              <w:rPr>
                <w:b/>
                <w:bCs/>
                <w:color w:val="FFFFFF"/>
                <w:sz w:val="19"/>
                <w:szCs w:val="19"/>
              </w:rPr>
              <w:t xml:space="preserve">Estado actual (AS-IS)</w:t>
            </w:r>
          </w:p>
        </w:tc>
        <w:tc>
          <w:tcPr>
            <w:tcW w:type="dxa" w:w="3350"/>
            <w:shd w:fill="1F3864" w:val="clear"/>
            <w:tcMar>
              <w:top w:type="dxa" w:w="80"/>
              <w:left w:type="dxa" w:w="100"/>
              <w:bottom w:type="dxa" w:w="80"/>
              <w:right w:type="dxa" w:w="100"/>
            </w:tcMar>
            <w:vAlign w:val="center"/>
          </w:tcPr>
          <w:p>
            <w:pPr>
              <w:jc w:val="left"/>
            </w:pPr>
            <w:r>
              <w:rPr>
                <w:b/>
                <w:bCs/>
                <w:color w:val="FFFFFF"/>
                <w:sz w:val="19"/>
                <w:szCs w:val="19"/>
              </w:rPr>
              <w:t xml:space="preserve">Estado futuro (TO-BE)</w:t>
            </w:r>
          </w:p>
        </w:tc>
      </w:tr>
      <w:tr>
        <w:tc>
          <w:tcPr>
            <w:tcW w:type="dxa" w:w="2650"/>
            <w:tcMar>
              <w:top w:type="dxa" w:w="80"/>
              <w:left w:type="dxa" w:w="100"/>
              <w:bottom w:type="dxa" w:w="80"/>
              <w:right w:type="dxa" w:w="100"/>
            </w:tcMar>
            <w:vAlign w:val="center"/>
          </w:tcPr>
          <w:p>
            <w:pPr>
              <w:jc w:val="left"/>
            </w:pPr>
            <w:r>
              <w:rPr>
                <w:b w:val="false"/>
                <w:bCs w:val="false"/>
                <w:sz w:val="19"/>
                <w:szCs w:val="19"/>
              </w:rPr>
              <w:t xml:space="preserve">Atención de incidentes</w:t>
            </w:r>
          </w:p>
        </w:tc>
        <w:tc>
          <w:tcPr>
            <w:tcW w:type="dxa" w:w="3350"/>
            <w:tcMar>
              <w:top w:type="dxa" w:w="80"/>
              <w:left w:type="dxa" w:w="100"/>
              <w:bottom w:type="dxa" w:w="80"/>
              <w:right w:type="dxa" w:w="100"/>
            </w:tcMar>
            <w:vAlign w:val="center"/>
          </w:tcPr>
          <w:p>
            <w:pPr>
              <w:jc w:val="left"/>
            </w:pPr>
            <w:r>
              <w:rPr>
                <w:b w:val="false"/>
                <w:bCs w:val="false"/>
                <w:sz w:val="19"/>
                <w:szCs w:val="19"/>
              </w:rPr>
              <w:t xml:space="preserve">Recepción fragmentada por área (Serenazgo, videovigilancia, fiscalización) sin trazabilidad conjunta.</w:t>
            </w:r>
          </w:p>
        </w:tc>
        <w:tc>
          <w:tcPr>
            <w:tcW w:type="dxa" w:w="3350"/>
            <w:tcMar>
              <w:top w:type="dxa" w:w="80"/>
              <w:left w:type="dxa" w:w="100"/>
              <w:bottom w:type="dxa" w:w="80"/>
              <w:right w:type="dxa" w:w="100"/>
            </w:tcMar>
            <w:vAlign w:val="center"/>
          </w:tcPr>
          <w:p>
            <w:pPr>
              <w:jc w:val="left"/>
            </w:pPr>
            <w:r>
              <w:rPr>
                <w:b w:val="false"/>
                <w:bCs w:val="false"/>
                <w:sz w:val="19"/>
                <w:szCs w:val="19"/>
              </w:rPr>
              <w:t xml:space="preserve">Gestión unificada de incidentes con priorización territorial y seguimiento de extremo a extremo.</w:t>
            </w:r>
          </w:p>
        </w:tc>
      </w:tr>
      <w:tr>
        <w:tc>
          <w:tcPr>
            <w:tcW w:type="dxa" w:w="2650"/>
            <w:tcMar>
              <w:top w:type="dxa" w:w="80"/>
              <w:left w:type="dxa" w:w="100"/>
              <w:bottom w:type="dxa" w:w="80"/>
              <w:right w:type="dxa" w:w="100"/>
            </w:tcMar>
            <w:vAlign w:val="center"/>
          </w:tcPr>
          <w:p>
            <w:pPr>
              <w:jc w:val="left"/>
            </w:pPr>
            <w:r>
              <w:rPr>
                <w:b w:val="false"/>
                <w:bCs w:val="false"/>
                <w:sz w:val="19"/>
                <w:szCs w:val="19"/>
              </w:rPr>
              <w:t xml:space="preserve">Coordinación con PNP y Ministerio Público</w:t>
            </w:r>
          </w:p>
        </w:tc>
        <w:tc>
          <w:tcPr>
            <w:tcW w:type="dxa" w:w="3350"/>
            <w:tcMar>
              <w:top w:type="dxa" w:w="80"/>
              <w:left w:type="dxa" w:w="100"/>
              <w:bottom w:type="dxa" w:w="80"/>
              <w:right w:type="dxa" w:w="100"/>
            </w:tcMar>
            <w:vAlign w:val="center"/>
          </w:tcPr>
          <w:p>
            <w:pPr>
              <w:jc w:val="left"/>
            </w:pPr>
            <w:r>
              <w:rPr>
                <w:b w:val="false"/>
                <w:bCs w:val="false"/>
                <w:sz w:val="19"/>
                <w:szCs w:val="19"/>
              </w:rPr>
              <w:t xml:space="preserve">Procedimientos manuales, sin protocolos digitales de intercambio.</w:t>
            </w:r>
          </w:p>
        </w:tc>
        <w:tc>
          <w:tcPr>
            <w:tcW w:type="dxa" w:w="3350"/>
            <w:tcMar>
              <w:top w:type="dxa" w:w="80"/>
              <w:left w:type="dxa" w:w="100"/>
              <w:bottom w:type="dxa" w:w="80"/>
              <w:right w:type="dxa" w:w="100"/>
            </w:tcMar>
            <w:vAlign w:val="center"/>
          </w:tcPr>
          <w:p>
            <w:pPr>
              <w:jc w:val="left"/>
            </w:pPr>
            <w:r>
              <w:rPr>
                <w:b w:val="false"/>
                <w:bCs w:val="false"/>
                <w:sz w:val="19"/>
                <w:szCs w:val="19"/>
              </w:rPr>
              <w:t xml:space="preserve">Interoperabilidad mediante API Gateway con canales seguros y trazables.</w:t>
            </w:r>
          </w:p>
        </w:tc>
      </w:tr>
      <w:tr>
        <w:tc>
          <w:tcPr>
            <w:tcW w:type="dxa" w:w="2650"/>
            <w:tcMar>
              <w:top w:type="dxa" w:w="80"/>
              <w:left w:type="dxa" w:w="100"/>
              <w:bottom w:type="dxa" w:w="80"/>
              <w:right w:type="dxa" w:w="100"/>
            </w:tcMar>
            <w:vAlign w:val="center"/>
          </w:tcPr>
          <w:p>
            <w:pPr>
              <w:jc w:val="left"/>
            </w:pPr>
            <w:r>
              <w:rPr>
                <w:b w:val="false"/>
                <w:bCs w:val="false"/>
                <w:sz w:val="19"/>
                <w:szCs w:val="19"/>
              </w:rPr>
              <w:t xml:space="preserve">Gobierno institucional</w:t>
            </w:r>
          </w:p>
        </w:tc>
        <w:tc>
          <w:tcPr>
            <w:tcW w:type="dxa" w:w="3350"/>
            <w:tcMar>
              <w:top w:type="dxa" w:w="80"/>
              <w:left w:type="dxa" w:w="100"/>
              <w:bottom w:type="dxa" w:w="80"/>
              <w:right w:type="dxa" w:w="100"/>
            </w:tcMar>
            <w:vAlign w:val="center"/>
          </w:tcPr>
          <w:p>
            <w:pPr>
              <w:jc w:val="left"/>
            </w:pPr>
            <w:r>
              <w:rPr>
                <w:b w:val="false"/>
                <w:bCs w:val="false"/>
                <w:sz w:val="19"/>
                <w:szCs w:val="19"/>
              </w:rPr>
              <w:t xml:space="preserve">Sin estructura formal de Arquitectura Empresarial.</w:t>
            </w:r>
          </w:p>
        </w:tc>
        <w:tc>
          <w:tcPr>
            <w:tcW w:type="dxa" w:w="3350"/>
            <w:tcMar>
              <w:top w:type="dxa" w:w="80"/>
              <w:left w:type="dxa" w:w="100"/>
              <w:bottom w:type="dxa" w:w="80"/>
              <w:right w:type="dxa" w:w="100"/>
            </w:tcMar>
            <w:vAlign w:val="center"/>
          </w:tcPr>
          <w:p>
            <w:pPr>
              <w:jc w:val="left"/>
            </w:pPr>
            <w:r>
              <w:rPr>
                <w:b w:val="false"/>
                <w:bCs w:val="false"/>
                <w:sz w:val="19"/>
                <w:szCs w:val="19"/>
              </w:rPr>
              <w:t xml:space="preserve">Comité de Arquitectura Empresarial como ente rector de decisiones tecnológicas de seguridad.</w:t>
            </w:r>
          </w:p>
        </w:tc>
      </w:tr>
    </w:tbl>
    <w:p>
      <w:pPr>
        <w:spacing w:after="240" w:before="80"/>
        <w:jc w:val="center"/>
      </w:pPr>
      <w:r>
        <w:rPr>
          <w:i/>
          <w:iCs/>
          <w:color w:val="595959"/>
          <w:sz w:val="18"/>
          <w:szCs w:val="18"/>
        </w:rPr>
        <w:t xml:space="preserve">Tabla 5.1. Transformación del Dominio de Negocio — Seguridad Ciudadana MML.</w:t>
      </w:r>
    </w:p>
    <w:p>
      <w:pPr>
        <w:pStyle w:val="Heading2"/>
        <w:spacing w:after="160" w:before="280"/>
      </w:pPr>
      <w:r>
        <w:rPr>
          <w:b/>
          <w:bCs/>
          <w:color w:val="9B1C1C"/>
          <w:sz w:val="24"/>
          <w:szCs w:val="24"/>
        </w:rPr>
        <w:t xml:space="preserve">5.3. Dominio de Arquitectura de Información / Datos</w:t>
      </w:r>
    </w:p>
    <w:p>
      <w:pPr>
        <w:spacing w:after="160" w:line="300"/>
        <w:jc w:val="both"/>
      </w:pPr>
      <w:r>
        <w:rPr>
          <w:sz w:val="22"/>
          <w:szCs w:val="22"/>
        </w:rPr>
        <w:t xml:space="preserve">Diagnóstico (AS-IS): Las áreas responsables de Serenazgo, videovigilancia, fiscalización y atención ciudadana administran información mediante sistemas parcialmente independientes (bases en SQL Server y PostgreSQL/PostGIS no interconectadas), generando duplicidad de registros e inconsistencias. No existe una fuente única de verdad ni un modelo de gobierno de datos que defina responsables, estándares de calidad y políticas de seguridad.</w:t>
      </w:r>
    </w:p>
    <w:p>
      <w:pPr>
        <w:spacing w:after="160" w:line="300"/>
        <w:jc w:val="both"/>
      </w:pPr>
      <w:r>
        <w:rPr>
          <w:sz w:val="22"/>
          <w:szCs w:val="22"/>
        </w:rPr>
        <w:t xml:space="preserve">Propuesta (TO-BE): Se implementa un Repositorio Metropolitano de Seguridad que actúa como fuente única de información (Single Source of Truth) para los datos de incidentes, videovigilancia, fiscalización y denuncias ciudadanas. Se establece un modelo de gobierno de datos alineado con la Ley N.° 29733 de Protección de Datos Personales, con clasificación de la información, cifrado y auditoría de accesos, garantizando el principio de «dato único de incidente y privacidad por diseño».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350"/>
        <w:gridCol w:w="3350"/>
      </w:tblGrid>
      <w:tr>
        <w:trPr>
          <w:tblHeader/>
        </w:trPr>
        <w:tc>
          <w:tcPr>
            <w:tcW w:type="dxa" w:w="2650"/>
            <w:shd w:fill="1F3864" w:val="clear"/>
            <w:tcMar>
              <w:top w:type="dxa" w:w="80"/>
              <w:left w:type="dxa" w:w="100"/>
              <w:bottom w:type="dxa" w:w="80"/>
              <w:right w:type="dxa" w:w="100"/>
            </w:tcMar>
            <w:vAlign w:val="center"/>
          </w:tcPr>
          <w:p>
            <w:pPr>
              <w:jc w:val="left"/>
            </w:pPr>
            <w:r>
              <w:rPr>
                <w:b/>
                <w:bCs/>
                <w:color w:val="FFFFFF"/>
                <w:sz w:val="19"/>
                <w:szCs w:val="19"/>
              </w:rPr>
              <w:t xml:space="preserve">Componente</w:t>
            </w:r>
          </w:p>
        </w:tc>
        <w:tc>
          <w:tcPr>
            <w:tcW w:type="dxa" w:w="3350"/>
            <w:shd w:fill="1F3864" w:val="clear"/>
            <w:tcMar>
              <w:top w:type="dxa" w:w="80"/>
              <w:left w:type="dxa" w:w="100"/>
              <w:bottom w:type="dxa" w:w="80"/>
              <w:right w:type="dxa" w:w="100"/>
            </w:tcMar>
            <w:vAlign w:val="center"/>
          </w:tcPr>
          <w:p>
            <w:pPr>
              <w:jc w:val="left"/>
            </w:pPr>
            <w:r>
              <w:rPr>
                <w:b/>
                <w:bCs/>
                <w:color w:val="FFFFFF"/>
                <w:sz w:val="19"/>
                <w:szCs w:val="19"/>
              </w:rPr>
              <w:t xml:space="preserve">Estado actual (AS-IS)</w:t>
            </w:r>
          </w:p>
        </w:tc>
        <w:tc>
          <w:tcPr>
            <w:tcW w:type="dxa" w:w="3350"/>
            <w:shd w:fill="1F3864" w:val="clear"/>
            <w:tcMar>
              <w:top w:type="dxa" w:w="80"/>
              <w:left w:type="dxa" w:w="100"/>
              <w:bottom w:type="dxa" w:w="80"/>
              <w:right w:type="dxa" w:w="100"/>
            </w:tcMar>
            <w:vAlign w:val="center"/>
          </w:tcPr>
          <w:p>
            <w:pPr>
              <w:jc w:val="left"/>
            </w:pPr>
            <w:r>
              <w:rPr>
                <w:b/>
                <w:bCs/>
                <w:color w:val="FFFFFF"/>
                <w:sz w:val="19"/>
                <w:szCs w:val="19"/>
              </w:rPr>
              <w:t xml:space="preserve">Estado futuro (TO-BE)</w:t>
            </w:r>
          </w:p>
        </w:tc>
      </w:tr>
      <w:tr>
        <w:tc>
          <w:tcPr>
            <w:tcW w:type="dxa" w:w="2650"/>
            <w:tcMar>
              <w:top w:type="dxa" w:w="80"/>
              <w:left w:type="dxa" w:w="100"/>
              <w:bottom w:type="dxa" w:w="80"/>
              <w:right w:type="dxa" w:w="100"/>
            </w:tcMar>
            <w:vAlign w:val="center"/>
          </w:tcPr>
          <w:p>
            <w:pPr>
              <w:jc w:val="left"/>
            </w:pPr>
            <w:r>
              <w:rPr>
                <w:b w:val="false"/>
                <w:bCs w:val="false"/>
                <w:sz w:val="19"/>
                <w:szCs w:val="19"/>
              </w:rPr>
              <w:t xml:space="preserve">Bases de datos</w:t>
            </w:r>
          </w:p>
        </w:tc>
        <w:tc>
          <w:tcPr>
            <w:tcW w:type="dxa" w:w="3350"/>
            <w:tcMar>
              <w:top w:type="dxa" w:w="80"/>
              <w:left w:type="dxa" w:w="100"/>
              <w:bottom w:type="dxa" w:w="80"/>
              <w:right w:type="dxa" w:w="100"/>
            </w:tcMar>
            <w:vAlign w:val="center"/>
          </w:tcPr>
          <w:p>
            <w:pPr>
              <w:jc w:val="left"/>
            </w:pPr>
            <w:r>
              <w:rPr>
                <w:b w:val="false"/>
                <w:bCs w:val="false"/>
                <w:sz w:val="19"/>
                <w:szCs w:val="19"/>
              </w:rPr>
              <w:t xml:space="preserve">Múltiples bases desvinculadas (Serenazgo, videovigilancia, fiscalización) sin diccionario común.</w:t>
            </w:r>
          </w:p>
        </w:tc>
        <w:tc>
          <w:tcPr>
            <w:tcW w:type="dxa" w:w="3350"/>
            <w:tcMar>
              <w:top w:type="dxa" w:w="80"/>
              <w:left w:type="dxa" w:w="100"/>
              <w:bottom w:type="dxa" w:w="80"/>
              <w:right w:type="dxa" w:w="100"/>
            </w:tcMar>
            <w:vAlign w:val="center"/>
          </w:tcPr>
          <w:p>
            <w:pPr>
              <w:jc w:val="left"/>
            </w:pPr>
            <w:r>
              <w:rPr>
                <w:b w:val="false"/>
                <w:bCs w:val="false"/>
                <w:sz w:val="19"/>
                <w:szCs w:val="19"/>
              </w:rPr>
              <w:t xml:space="preserve">Repositorio Metropolitano de Seguridad unificado, con dato único de incidente.</w:t>
            </w:r>
          </w:p>
        </w:tc>
      </w:tr>
      <w:tr>
        <w:tc>
          <w:tcPr>
            <w:tcW w:type="dxa" w:w="2650"/>
            <w:tcMar>
              <w:top w:type="dxa" w:w="80"/>
              <w:left w:type="dxa" w:w="100"/>
              <w:bottom w:type="dxa" w:w="80"/>
              <w:right w:type="dxa" w:w="100"/>
            </w:tcMar>
            <w:vAlign w:val="center"/>
          </w:tcPr>
          <w:p>
            <w:pPr>
              <w:jc w:val="left"/>
            </w:pPr>
            <w:r>
              <w:rPr>
                <w:b w:val="false"/>
                <w:bCs w:val="false"/>
                <w:sz w:val="19"/>
                <w:szCs w:val="19"/>
              </w:rPr>
              <w:t xml:space="preserve">Gobierno de datos</w:t>
            </w:r>
          </w:p>
        </w:tc>
        <w:tc>
          <w:tcPr>
            <w:tcW w:type="dxa" w:w="3350"/>
            <w:tcMar>
              <w:top w:type="dxa" w:w="80"/>
              <w:left w:type="dxa" w:w="100"/>
              <w:bottom w:type="dxa" w:w="80"/>
              <w:right w:type="dxa" w:w="100"/>
            </w:tcMar>
            <w:vAlign w:val="center"/>
          </w:tcPr>
          <w:p>
            <w:pPr>
              <w:jc w:val="left"/>
            </w:pPr>
            <w:r>
              <w:rPr>
                <w:b w:val="false"/>
                <w:bCs w:val="false"/>
                <w:sz w:val="19"/>
                <w:szCs w:val="19"/>
              </w:rPr>
              <w:t xml:space="preserve">Sin responsables ni estándares de calidad definidos.</w:t>
            </w:r>
          </w:p>
        </w:tc>
        <w:tc>
          <w:tcPr>
            <w:tcW w:type="dxa" w:w="3350"/>
            <w:tcMar>
              <w:top w:type="dxa" w:w="80"/>
              <w:left w:type="dxa" w:w="100"/>
              <w:bottom w:type="dxa" w:w="80"/>
              <w:right w:type="dxa" w:w="100"/>
            </w:tcMar>
            <w:vAlign w:val="center"/>
          </w:tcPr>
          <w:p>
            <w:pPr>
              <w:jc w:val="left"/>
            </w:pPr>
            <w:r>
              <w:rPr>
                <w:b w:val="false"/>
                <w:bCs w:val="false"/>
                <w:sz w:val="19"/>
                <w:szCs w:val="19"/>
              </w:rPr>
              <w:t xml:space="preserve">Modelo de gobierno de datos con roles, calidad y ciclo de vida (meta: duplicidad &lt; 2 %).</w:t>
            </w:r>
          </w:p>
        </w:tc>
      </w:tr>
      <w:tr>
        <w:tc>
          <w:tcPr>
            <w:tcW w:type="dxa" w:w="2650"/>
            <w:tcMar>
              <w:top w:type="dxa" w:w="80"/>
              <w:left w:type="dxa" w:w="100"/>
              <w:bottom w:type="dxa" w:w="80"/>
              <w:right w:type="dxa" w:w="100"/>
            </w:tcMar>
            <w:vAlign w:val="center"/>
          </w:tcPr>
          <w:p>
            <w:pPr>
              <w:jc w:val="left"/>
            </w:pPr>
            <w:r>
              <w:rPr>
                <w:b w:val="false"/>
                <w:bCs w:val="false"/>
                <w:sz w:val="19"/>
                <w:szCs w:val="19"/>
              </w:rPr>
              <w:t xml:space="preserve">Protección de la información</w:t>
            </w:r>
          </w:p>
        </w:tc>
        <w:tc>
          <w:tcPr>
            <w:tcW w:type="dxa" w:w="3350"/>
            <w:tcMar>
              <w:top w:type="dxa" w:w="80"/>
              <w:left w:type="dxa" w:w="100"/>
              <w:bottom w:type="dxa" w:w="80"/>
              <w:right w:type="dxa" w:w="100"/>
            </w:tcMar>
            <w:vAlign w:val="center"/>
          </w:tcPr>
          <w:p>
            <w:pPr>
              <w:jc w:val="left"/>
            </w:pPr>
            <w:r>
              <w:rPr>
                <w:b w:val="false"/>
                <w:bCs w:val="false"/>
                <w:sz w:val="19"/>
                <w:szCs w:val="19"/>
              </w:rPr>
              <w:t xml:space="preserve">Controles de acceso heterogéneos por sistema.</w:t>
            </w:r>
          </w:p>
        </w:tc>
        <w:tc>
          <w:tcPr>
            <w:tcW w:type="dxa" w:w="3350"/>
            <w:tcMar>
              <w:top w:type="dxa" w:w="80"/>
              <w:left w:type="dxa" w:w="100"/>
              <w:bottom w:type="dxa" w:w="80"/>
              <w:right w:type="dxa" w:w="100"/>
            </w:tcMar>
            <w:vAlign w:val="center"/>
          </w:tcPr>
          <w:p>
            <w:pPr>
              <w:jc w:val="left"/>
            </w:pPr>
            <w:r>
              <w:rPr>
                <w:b w:val="false"/>
                <w:bCs w:val="false"/>
                <w:sz w:val="19"/>
                <w:szCs w:val="19"/>
              </w:rPr>
              <w:t xml:space="preserve">Clasificación de datos, cifrado en tránsito y reposo, y privacidad por diseño (Ley N.° 29733).</w:t>
            </w:r>
          </w:p>
        </w:tc>
      </w:tr>
    </w:tbl>
    <w:p>
      <w:pPr>
        <w:spacing w:after="240" w:before="80"/>
        <w:jc w:val="center"/>
      </w:pPr>
      <w:r>
        <w:rPr>
          <w:i/>
          <w:iCs/>
          <w:color w:val="595959"/>
          <w:sz w:val="18"/>
          <w:szCs w:val="18"/>
        </w:rPr>
        <w:t xml:space="preserve">Tabla 5.2. Transformación del Dominio de Información — Seguridad Ciudadana MML.</w:t>
      </w:r>
    </w:p>
    <w:p>
      <w:pPr>
        <w:pStyle w:val="Heading2"/>
        <w:spacing w:after="160" w:before="280"/>
      </w:pPr>
      <w:r>
        <w:rPr>
          <w:b/>
          <w:bCs/>
          <w:color w:val="9B1C1C"/>
          <w:sz w:val="24"/>
          <w:szCs w:val="24"/>
        </w:rPr>
        <w:t xml:space="preserve">5.4. Dominio de Arquitectura de Aplicaciones</w:t>
      </w:r>
    </w:p>
    <w:p>
      <w:pPr>
        <w:spacing w:after="160" w:line="300"/>
        <w:jc w:val="both"/>
      </w:pPr>
      <w:r>
        <w:rPr>
          <w:sz w:val="22"/>
          <w:szCs w:val="22"/>
        </w:rPr>
        <w:t xml:space="preserve">Diagnóstico (AS-IS): El portafolio aplicativo de seguridad ciudadana está compuesto por sistemas heredados e independientes para Serenazgo, videovigilancia y fiscalización, que no se comunican entre sí y carecen de servicios de integración (APIs). No existe una aplicación ciudadana ni capacidades analíticas para el reconocimiento de patrones delictivos.</w:t>
      </w:r>
    </w:p>
    <w:p>
      <w:pPr>
        <w:spacing w:after="160" w:line="300"/>
        <w:jc w:val="both"/>
      </w:pPr>
      <w:r>
        <w:rPr>
          <w:sz w:val="22"/>
          <w:szCs w:val="22"/>
        </w:rPr>
        <w:t xml:space="preserve">Propuesta (TO-BE): Se proyecta una arquitectura orientada a servicios (SOA) con el despliegue de componentes desacoplados: la Plataforma Metropolitana de Seguridad como núcleo de interoperabilidad; un API Gateway que expone servicios REST hacia aplicaciones internas y hacia la PIDE y la PNP; un módulo de GIS Inteligente para georreferenciación de incidentes; y una Plataforma Analítica con capacidades predictivas para priorizar el patrullaje preventivo del Serenazgo.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350"/>
        <w:gridCol w:w="3350"/>
      </w:tblGrid>
      <w:tr>
        <w:trPr>
          <w:tblHeader/>
        </w:trPr>
        <w:tc>
          <w:tcPr>
            <w:tcW w:type="dxa" w:w="2650"/>
            <w:shd w:fill="1F3864" w:val="clear"/>
            <w:tcMar>
              <w:top w:type="dxa" w:w="80"/>
              <w:left w:type="dxa" w:w="100"/>
              <w:bottom w:type="dxa" w:w="80"/>
              <w:right w:type="dxa" w:w="100"/>
            </w:tcMar>
            <w:vAlign w:val="center"/>
          </w:tcPr>
          <w:p>
            <w:pPr>
              <w:jc w:val="left"/>
            </w:pPr>
            <w:r>
              <w:rPr>
                <w:b/>
                <w:bCs/>
                <w:color w:val="FFFFFF"/>
                <w:sz w:val="19"/>
                <w:szCs w:val="19"/>
              </w:rPr>
              <w:t xml:space="preserve">Componente</w:t>
            </w:r>
          </w:p>
        </w:tc>
        <w:tc>
          <w:tcPr>
            <w:tcW w:type="dxa" w:w="3350"/>
            <w:shd w:fill="1F3864" w:val="clear"/>
            <w:tcMar>
              <w:top w:type="dxa" w:w="80"/>
              <w:left w:type="dxa" w:w="100"/>
              <w:bottom w:type="dxa" w:w="80"/>
              <w:right w:type="dxa" w:w="100"/>
            </w:tcMar>
            <w:vAlign w:val="center"/>
          </w:tcPr>
          <w:p>
            <w:pPr>
              <w:jc w:val="left"/>
            </w:pPr>
            <w:r>
              <w:rPr>
                <w:b/>
                <w:bCs/>
                <w:color w:val="FFFFFF"/>
                <w:sz w:val="19"/>
                <w:szCs w:val="19"/>
              </w:rPr>
              <w:t xml:space="preserve">Estado actual (AS-IS)</w:t>
            </w:r>
          </w:p>
        </w:tc>
        <w:tc>
          <w:tcPr>
            <w:tcW w:type="dxa" w:w="3350"/>
            <w:shd w:fill="1F3864" w:val="clear"/>
            <w:tcMar>
              <w:top w:type="dxa" w:w="80"/>
              <w:left w:type="dxa" w:w="100"/>
              <w:bottom w:type="dxa" w:w="80"/>
              <w:right w:type="dxa" w:w="100"/>
            </w:tcMar>
            <w:vAlign w:val="center"/>
          </w:tcPr>
          <w:p>
            <w:pPr>
              <w:jc w:val="left"/>
            </w:pPr>
            <w:r>
              <w:rPr>
                <w:b/>
                <w:bCs/>
                <w:color w:val="FFFFFF"/>
                <w:sz w:val="19"/>
                <w:szCs w:val="19"/>
              </w:rPr>
              <w:t xml:space="preserve">Estado futuro (TO-BE)</w:t>
            </w:r>
          </w:p>
        </w:tc>
      </w:tr>
      <w:tr>
        <w:tc>
          <w:tcPr>
            <w:tcW w:type="dxa" w:w="2650"/>
            <w:tcMar>
              <w:top w:type="dxa" w:w="80"/>
              <w:left w:type="dxa" w:w="100"/>
              <w:bottom w:type="dxa" w:w="80"/>
              <w:right w:type="dxa" w:w="100"/>
            </w:tcMar>
            <w:vAlign w:val="center"/>
          </w:tcPr>
          <w:p>
            <w:pPr>
              <w:jc w:val="left"/>
            </w:pPr>
            <w:r>
              <w:rPr>
                <w:b w:val="false"/>
                <w:bCs w:val="false"/>
                <w:sz w:val="19"/>
                <w:szCs w:val="19"/>
              </w:rPr>
              <w:t xml:space="preserve">Sistemas core de seguridad</w:t>
            </w:r>
          </w:p>
        </w:tc>
        <w:tc>
          <w:tcPr>
            <w:tcW w:type="dxa" w:w="3350"/>
            <w:tcMar>
              <w:top w:type="dxa" w:w="80"/>
              <w:left w:type="dxa" w:w="100"/>
              <w:bottom w:type="dxa" w:w="80"/>
              <w:right w:type="dxa" w:w="100"/>
            </w:tcMar>
            <w:vAlign w:val="center"/>
          </w:tcPr>
          <w:p>
            <w:pPr>
              <w:jc w:val="left"/>
            </w:pPr>
            <w:r>
              <w:rPr>
                <w:b w:val="false"/>
                <w:bCs w:val="false"/>
                <w:sz w:val="19"/>
                <w:szCs w:val="19"/>
              </w:rPr>
              <w:t xml:space="preserve">Aplicaciones aisladas de Serenazgo, videovigilancia y fiscalización.</w:t>
            </w:r>
          </w:p>
        </w:tc>
        <w:tc>
          <w:tcPr>
            <w:tcW w:type="dxa" w:w="3350"/>
            <w:tcMar>
              <w:top w:type="dxa" w:w="80"/>
              <w:left w:type="dxa" w:w="100"/>
              <w:bottom w:type="dxa" w:w="80"/>
              <w:right w:type="dxa" w:w="100"/>
            </w:tcMar>
            <w:vAlign w:val="center"/>
          </w:tcPr>
          <w:p>
            <w:pPr>
              <w:jc w:val="left"/>
            </w:pPr>
            <w:r>
              <w:rPr>
                <w:b w:val="false"/>
                <w:bCs w:val="false"/>
                <w:sz w:val="19"/>
                <w:szCs w:val="19"/>
              </w:rPr>
              <w:t xml:space="preserve">Plataforma Metropolitana de Seguridad integrada mediante API Gateway.</w:t>
            </w:r>
          </w:p>
        </w:tc>
      </w:tr>
      <w:tr>
        <w:tc>
          <w:tcPr>
            <w:tcW w:type="dxa" w:w="2650"/>
            <w:tcMar>
              <w:top w:type="dxa" w:w="80"/>
              <w:left w:type="dxa" w:w="100"/>
              <w:bottom w:type="dxa" w:w="80"/>
              <w:right w:type="dxa" w:w="100"/>
            </w:tcMar>
            <w:vAlign w:val="center"/>
          </w:tcPr>
          <w:p>
            <w:pPr>
              <w:jc w:val="left"/>
            </w:pPr>
            <w:r>
              <w:rPr>
                <w:b w:val="false"/>
                <w:bCs w:val="false"/>
                <w:sz w:val="19"/>
                <w:szCs w:val="19"/>
              </w:rPr>
              <w:t xml:space="preserve">Analítica e inteligencia territorial</w:t>
            </w:r>
          </w:p>
        </w:tc>
        <w:tc>
          <w:tcPr>
            <w:tcW w:type="dxa" w:w="3350"/>
            <w:tcMar>
              <w:top w:type="dxa" w:w="80"/>
              <w:left w:type="dxa" w:w="100"/>
              <w:bottom w:type="dxa" w:w="80"/>
              <w:right w:type="dxa" w:w="100"/>
            </w:tcMar>
            <w:vAlign w:val="center"/>
          </w:tcPr>
          <w:p>
            <w:pPr>
              <w:jc w:val="left"/>
            </w:pPr>
            <w:r>
              <w:rPr>
                <w:b w:val="false"/>
                <w:bCs w:val="false"/>
                <w:sz w:val="19"/>
                <w:szCs w:val="19"/>
              </w:rPr>
              <w:t xml:space="preserve">Análisis reactivo, sin modelos predictivos.</w:t>
            </w:r>
          </w:p>
        </w:tc>
        <w:tc>
          <w:tcPr>
            <w:tcW w:type="dxa" w:w="3350"/>
            <w:tcMar>
              <w:top w:type="dxa" w:w="80"/>
              <w:left w:type="dxa" w:w="100"/>
              <w:bottom w:type="dxa" w:w="80"/>
              <w:right w:type="dxa" w:w="100"/>
            </w:tcMar>
            <w:vAlign w:val="center"/>
          </w:tcPr>
          <w:p>
            <w:pPr>
              <w:jc w:val="left"/>
            </w:pPr>
            <w:r>
              <w:rPr>
                <w:b w:val="false"/>
                <w:bCs w:val="false"/>
                <w:sz w:val="19"/>
                <w:szCs w:val="19"/>
              </w:rPr>
              <w:t xml:space="preserve">GIS Inteligente y Plataforma Analítica con priorización predictiva del patrullaje.</w:t>
            </w:r>
          </w:p>
        </w:tc>
      </w:tr>
      <w:tr>
        <w:tc>
          <w:tcPr>
            <w:tcW w:type="dxa" w:w="2650"/>
            <w:tcMar>
              <w:top w:type="dxa" w:w="80"/>
              <w:left w:type="dxa" w:w="100"/>
              <w:bottom w:type="dxa" w:w="80"/>
              <w:right w:type="dxa" w:w="100"/>
            </w:tcMar>
            <w:vAlign w:val="center"/>
          </w:tcPr>
          <w:p>
            <w:pPr>
              <w:jc w:val="left"/>
            </w:pPr>
            <w:r>
              <w:rPr>
                <w:b w:val="false"/>
                <w:bCs w:val="false"/>
                <w:sz w:val="19"/>
                <w:szCs w:val="19"/>
              </w:rPr>
              <w:t xml:space="preserve">Canal ciudadano</w:t>
            </w:r>
          </w:p>
        </w:tc>
        <w:tc>
          <w:tcPr>
            <w:tcW w:type="dxa" w:w="3350"/>
            <w:tcMar>
              <w:top w:type="dxa" w:w="80"/>
              <w:left w:type="dxa" w:w="100"/>
              <w:bottom w:type="dxa" w:w="80"/>
              <w:right w:type="dxa" w:w="100"/>
            </w:tcMar>
            <w:vAlign w:val="center"/>
          </w:tcPr>
          <w:p>
            <w:pPr>
              <w:jc w:val="left"/>
            </w:pPr>
            <w:r>
              <w:rPr>
                <w:b w:val="false"/>
                <w:bCs w:val="false"/>
                <w:sz w:val="19"/>
                <w:szCs w:val="19"/>
              </w:rPr>
              <w:t xml:space="preserve">Sin aplicación unificada de denuncia y alerta.</w:t>
            </w:r>
          </w:p>
        </w:tc>
        <w:tc>
          <w:tcPr>
            <w:tcW w:type="dxa" w:w="3350"/>
            <w:tcMar>
              <w:top w:type="dxa" w:w="80"/>
              <w:left w:type="dxa" w:w="100"/>
              <w:bottom w:type="dxa" w:w="80"/>
              <w:right w:type="dxa" w:w="100"/>
            </w:tcMar>
            <w:vAlign w:val="center"/>
          </w:tcPr>
          <w:p>
            <w:pPr>
              <w:jc w:val="left"/>
            </w:pPr>
            <w:r>
              <w:rPr>
                <w:b w:val="false"/>
                <w:bCs w:val="false"/>
                <w:sz w:val="19"/>
                <w:szCs w:val="19"/>
              </w:rPr>
              <w:t xml:space="preserve">Aplicación Ciudadana integrada al Repositorio Metropolitano de Seguridad.</w:t>
            </w:r>
          </w:p>
        </w:tc>
      </w:tr>
    </w:tbl>
    <w:p>
      <w:pPr>
        <w:spacing w:after="240" w:before="80"/>
        <w:jc w:val="center"/>
      </w:pPr>
      <w:r>
        <w:rPr>
          <w:i/>
          <w:iCs/>
          <w:color w:val="595959"/>
          <w:sz w:val="18"/>
          <w:szCs w:val="18"/>
        </w:rPr>
        <w:t xml:space="preserve">Tabla 5.3. Transformación del Dominio de Aplicaciones — Seguridad Ciudadana MML.</w:t>
      </w:r>
    </w:p>
    <w:p>
      <w:pPr>
        <w:pStyle w:val="Heading2"/>
        <w:spacing w:after="160" w:before="280"/>
      </w:pPr>
      <w:r>
        <w:rPr>
          <w:b/>
          <w:bCs/>
          <w:color w:val="9B1C1C"/>
          <w:sz w:val="24"/>
          <w:szCs w:val="24"/>
        </w:rPr>
        <w:t xml:space="preserve">5.5. Dominio de Arquitectura de Tecnología</w:t>
      </w:r>
    </w:p>
    <w:p>
      <w:pPr>
        <w:spacing w:after="160" w:line="300"/>
        <w:jc w:val="both"/>
      </w:pPr>
      <w:r>
        <w:rPr>
          <w:sz w:val="22"/>
          <w:szCs w:val="22"/>
        </w:rPr>
        <w:t xml:space="preserve">Diagnóstico (AS-IS): La infraestructura tecnológica es on-premises, heterogénea y reactiva, con servidores físicos de diversas generaciones alojados en el Centro de Datos Municipal, baja virtualización y nula adopción de servicios en la nube. La seguridad es perimetral, sin segmentación interna de red, y no existe un Centro de Operaciones de Seguridad (SOC) ni un SIEM institucional. Los respaldos se realizan de forma manual, sin un Plan de Recuperación ante Desastres (DRP) formal.</w:t>
      </w:r>
    </w:p>
    <w:p>
      <w:pPr>
        <w:spacing w:after="160" w:line="300"/>
        <w:jc w:val="both"/>
      </w:pPr>
      <w:r>
        <w:rPr>
          <w:sz w:val="22"/>
          <w:szCs w:val="22"/>
        </w:rPr>
        <w:t xml:space="preserve">Propuesta (TO-BE): Se establece la transición hacia un modelo de nube híbrida que aloje las cargas críticas de videovigilancia y monitoreo bajo alta disponibilidad, complementado con una red privada segmentada por zonas de seguridad. Se implementa un esquema de gestión de identidades centralizado (IAM con SSO y autenticación multifactor), un DRP con RTO ≤ 4 h y RPO ≤ 1 h, y mecanismos de continuidad operativa que garanticen una disponibilidad de la plataforma de seguridad igual o superior a 99,6 %.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350"/>
        <w:gridCol w:w="3350"/>
      </w:tblGrid>
      <w:tr>
        <w:trPr>
          <w:tblHeader/>
        </w:trPr>
        <w:tc>
          <w:tcPr>
            <w:tcW w:type="dxa" w:w="2650"/>
            <w:shd w:fill="1F3864" w:val="clear"/>
            <w:tcMar>
              <w:top w:type="dxa" w:w="80"/>
              <w:left w:type="dxa" w:w="100"/>
              <w:bottom w:type="dxa" w:w="80"/>
              <w:right w:type="dxa" w:w="100"/>
            </w:tcMar>
            <w:vAlign w:val="center"/>
          </w:tcPr>
          <w:p>
            <w:pPr>
              <w:jc w:val="left"/>
            </w:pPr>
            <w:r>
              <w:rPr>
                <w:b/>
                <w:bCs/>
                <w:color w:val="FFFFFF"/>
                <w:sz w:val="19"/>
                <w:szCs w:val="19"/>
              </w:rPr>
              <w:t xml:space="preserve">Componente</w:t>
            </w:r>
          </w:p>
        </w:tc>
        <w:tc>
          <w:tcPr>
            <w:tcW w:type="dxa" w:w="3350"/>
            <w:shd w:fill="1F3864" w:val="clear"/>
            <w:tcMar>
              <w:top w:type="dxa" w:w="80"/>
              <w:left w:type="dxa" w:w="100"/>
              <w:bottom w:type="dxa" w:w="80"/>
              <w:right w:type="dxa" w:w="100"/>
            </w:tcMar>
            <w:vAlign w:val="center"/>
          </w:tcPr>
          <w:p>
            <w:pPr>
              <w:jc w:val="left"/>
            </w:pPr>
            <w:r>
              <w:rPr>
                <w:b/>
                <w:bCs/>
                <w:color w:val="FFFFFF"/>
                <w:sz w:val="19"/>
                <w:szCs w:val="19"/>
              </w:rPr>
              <w:t xml:space="preserve">Estado actual (AS-IS)</w:t>
            </w:r>
          </w:p>
        </w:tc>
        <w:tc>
          <w:tcPr>
            <w:tcW w:type="dxa" w:w="3350"/>
            <w:shd w:fill="1F3864" w:val="clear"/>
            <w:tcMar>
              <w:top w:type="dxa" w:w="80"/>
              <w:left w:type="dxa" w:w="100"/>
              <w:bottom w:type="dxa" w:w="80"/>
              <w:right w:type="dxa" w:w="100"/>
            </w:tcMar>
            <w:vAlign w:val="center"/>
          </w:tcPr>
          <w:p>
            <w:pPr>
              <w:jc w:val="left"/>
            </w:pPr>
            <w:r>
              <w:rPr>
                <w:b/>
                <w:bCs/>
                <w:color w:val="FFFFFF"/>
                <w:sz w:val="19"/>
                <w:szCs w:val="19"/>
              </w:rPr>
              <w:t xml:space="preserve">Estado futuro (TO-BE)</w:t>
            </w:r>
          </w:p>
        </w:tc>
      </w:tr>
      <w:tr>
        <w:tc>
          <w:tcPr>
            <w:tcW w:type="dxa" w:w="2650"/>
            <w:tcMar>
              <w:top w:type="dxa" w:w="80"/>
              <w:left w:type="dxa" w:w="100"/>
              <w:bottom w:type="dxa" w:w="80"/>
              <w:right w:type="dxa" w:w="100"/>
            </w:tcMar>
            <w:vAlign w:val="center"/>
          </w:tcPr>
          <w:p>
            <w:pPr>
              <w:jc w:val="left"/>
            </w:pPr>
            <w:r>
              <w:rPr>
                <w:b w:val="false"/>
                <w:bCs w:val="false"/>
                <w:sz w:val="19"/>
                <w:szCs w:val="19"/>
              </w:rPr>
              <w:t xml:space="preserve">Infraestructura</w:t>
            </w:r>
          </w:p>
        </w:tc>
        <w:tc>
          <w:tcPr>
            <w:tcW w:type="dxa" w:w="3350"/>
            <w:tcMar>
              <w:top w:type="dxa" w:w="80"/>
              <w:left w:type="dxa" w:w="100"/>
              <w:bottom w:type="dxa" w:w="80"/>
              <w:right w:type="dxa" w:w="100"/>
            </w:tcMar>
            <w:vAlign w:val="center"/>
          </w:tcPr>
          <w:p>
            <w:pPr>
              <w:jc w:val="left"/>
            </w:pPr>
            <w:r>
              <w:rPr>
                <w:b w:val="false"/>
                <w:bCs w:val="false"/>
                <w:sz w:val="19"/>
                <w:szCs w:val="19"/>
              </w:rPr>
              <w:t xml:space="preserve">Servidores físicos on-premises heterogéneos, sin plataforma centralizada.</w:t>
            </w:r>
          </w:p>
        </w:tc>
        <w:tc>
          <w:tcPr>
            <w:tcW w:type="dxa" w:w="3350"/>
            <w:tcMar>
              <w:top w:type="dxa" w:w="80"/>
              <w:left w:type="dxa" w:w="100"/>
              <w:bottom w:type="dxa" w:w="80"/>
              <w:right w:type="dxa" w:w="100"/>
            </w:tcMar>
            <w:vAlign w:val="center"/>
          </w:tcPr>
          <w:p>
            <w:pPr>
              <w:jc w:val="left"/>
            </w:pPr>
            <w:r>
              <w:rPr>
                <w:b w:val="false"/>
                <w:bCs w:val="false"/>
                <w:sz w:val="19"/>
                <w:szCs w:val="19"/>
              </w:rPr>
              <w:t xml:space="preserve">Nube híbrida con alta disponibilidad para cargas críticas de seguridad (≥ 99,6 %).</w:t>
            </w:r>
          </w:p>
        </w:tc>
      </w:tr>
      <w:tr>
        <w:tc>
          <w:tcPr>
            <w:tcW w:type="dxa" w:w="2650"/>
            <w:tcMar>
              <w:top w:type="dxa" w:w="80"/>
              <w:left w:type="dxa" w:w="100"/>
              <w:bottom w:type="dxa" w:w="80"/>
              <w:right w:type="dxa" w:w="100"/>
            </w:tcMar>
            <w:vAlign w:val="center"/>
          </w:tcPr>
          <w:p>
            <w:pPr>
              <w:jc w:val="left"/>
            </w:pPr>
            <w:r>
              <w:rPr>
                <w:b w:val="false"/>
                <w:bCs w:val="false"/>
                <w:sz w:val="19"/>
                <w:szCs w:val="19"/>
              </w:rPr>
              <w:t xml:space="preserve">Seguridad y continuidad</w:t>
            </w:r>
          </w:p>
        </w:tc>
        <w:tc>
          <w:tcPr>
            <w:tcW w:type="dxa" w:w="3350"/>
            <w:tcMar>
              <w:top w:type="dxa" w:w="80"/>
              <w:left w:type="dxa" w:w="100"/>
              <w:bottom w:type="dxa" w:w="80"/>
              <w:right w:type="dxa" w:w="100"/>
            </w:tcMar>
            <w:vAlign w:val="center"/>
          </w:tcPr>
          <w:p>
            <w:pPr>
              <w:jc w:val="left"/>
            </w:pPr>
            <w:r>
              <w:rPr>
                <w:b w:val="false"/>
                <w:bCs w:val="false"/>
                <w:sz w:val="19"/>
                <w:szCs w:val="19"/>
              </w:rPr>
              <w:t xml:space="preserve">Firewall perimetral único, sin segmentación; respaldo manual sin DRP formal.</w:t>
            </w:r>
          </w:p>
        </w:tc>
        <w:tc>
          <w:tcPr>
            <w:tcW w:type="dxa" w:w="3350"/>
            <w:tcMar>
              <w:top w:type="dxa" w:w="80"/>
              <w:left w:type="dxa" w:w="100"/>
              <w:bottom w:type="dxa" w:w="80"/>
              <w:right w:type="dxa" w:w="100"/>
            </w:tcMar>
            <w:vAlign w:val="center"/>
          </w:tcPr>
          <w:p>
            <w:pPr>
              <w:jc w:val="left"/>
            </w:pPr>
            <w:r>
              <w:rPr>
                <w:b w:val="false"/>
                <w:bCs w:val="false"/>
                <w:sz w:val="19"/>
                <w:szCs w:val="19"/>
              </w:rPr>
              <w:t xml:space="preserve">IAM con SSO/MFA, segmentación por zonas de seguridad y DRP (RTO ≤ 4 h, RPO ≤ 1 h).</w:t>
            </w:r>
          </w:p>
        </w:tc>
      </w:tr>
      <w:tr>
        <w:tc>
          <w:tcPr>
            <w:tcW w:type="dxa" w:w="2650"/>
            <w:tcMar>
              <w:top w:type="dxa" w:w="80"/>
              <w:left w:type="dxa" w:w="100"/>
              <w:bottom w:type="dxa" w:w="80"/>
              <w:right w:type="dxa" w:w="100"/>
            </w:tcMar>
            <w:vAlign w:val="center"/>
          </w:tcPr>
          <w:p>
            <w:pPr>
              <w:jc w:val="left"/>
            </w:pPr>
            <w:r>
              <w:rPr>
                <w:b w:val="false"/>
                <w:bCs w:val="false"/>
                <w:sz w:val="19"/>
                <w:szCs w:val="19"/>
              </w:rPr>
              <w:t xml:space="preserve">Monitoreo y respuesta</w:t>
            </w:r>
          </w:p>
        </w:tc>
        <w:tc>
          <w:tcPr>
            <w:tcW w:type="dxa" w:w="3350"/>
            <w:tcMar>
              <w:top w:type="dxa" w:w="80"/>
              <w:left w:type="dxa" w:w="100"/>
              <w:bottom w:type="dxa" w:w="80"/>
              <w:right w:type="dxa" w:w="100"/>
            </w:tcMar>
            <w:vAlign w:val="center"/>
          </w:tcPr>
          <w:p>
            <w:pPr>
              <w:jc w:val="left"/>
            </w:pPr>
            <w:r>
              <w:rPr>
                <w:b w:val="false"/>
                <w:bCs w:val="false"/>
                <w:sz w:val="19"/>
                <w:szCs w:val="19"/>
              </w:rPr>
              <w:t xml:space="preserve">Sin SOC ni SIEM institucional.</w:t>
            </w:r>
          </w:p>
        </w:tc>
        <w:tc>
          <w:tcPr>
            <w:tcW w:type="dxa" w:w="3350"/>
            <w:tcMar>
              <w:top w:type="dxa" w:w="80"/>
              <w:left w:type="dxa" w:w="100"/>
              <w:bottom w:type="dxa" w:w="80"/>
              <w:right w:type="dxa" w:w="100"/>
            </w:tcMar>
            <w:vAlign w:val="center"/>
          </w:tcPr>
          <w:p>
            <w:pPr>
              <w:jc w:val="left"/>
            </w:pPr>
            <w:r>
              <w:rPr>
                <w:b w:val="false"/>
                <w:bCs w:val="false"/>
                <w:sz w:val="19"/>
                <w:szCs w:val="19"/>
              </w:rPr>
              <w:t xml:space="preserve">Centro de Operaciones de Seguridad (SOC) con orquestación SIEM y respuesta a incidentes.</w:t>
            </w:r>
          </w:p>
        </w:tc>
      </w:tr>
    </w:tbl>
    <w:p>
      <w:pPr>
        <w:spacing w:after="240" w:before="80"/>
        <w:jc w:val="center"/>
      </w:pPr>
      <w:r>
        <w:rPr>
          <w:i/>
          <w:iCs/>
          <w:color w:val="595959"/>
          <w:sz w:val="18"/>
          <w:szCs w:val="18"/>
        </w:rPr>
        <w:t xml:space="preserve">Tabla 5.4. Transformación del Dominio de Tecnología — Seguridad Ciudadana MML.</w:t>
      </w:r>
    </w:p>
    <w:p>
      <w:r>
        <w:br w:type="page"/>
      </w:r>
    </w:p>
    <w:p>
      <w:pPr>
        <w:pStyle w:val="Heading1"/>
        <w:spacing w:after="200" w:before="360"/>
      </w:pPr>
      <w:r>
        <w:rPr>
          <w:b/>
          <w:bCs/>
          <w:color w:val="1F3864"/>
          <w:sz w:val="28"/>
          <w:szCs w:val="28"/>
        </w:rPr>
        <w:t xml:space="preserve">6. Modelo BMM para la organización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871F" w:sz="6"/>
              <w:left w:val="single" w:color="B7871F" w:sz="6"/>
              <w:bottom w:val="single" w:color="B7871F" w:sz="6"/>
              <w:right w:val="single" w:color="B7871F" w:sz="6"/>
            </w:tcBorders>
            <w:shd w:fill="FDF3E7" w:val="clear"/>
            <w:tcMar>
              <w:top w:type="dxa" w:w="160"/>
              <w:left w:type="dxa" w:w="200"/>
              <w:bottom w:type="dxa" w:w="160"/>
              <w:right w:type="dxa" w:w="200"/>
            </w:tcMar>
          </w:tcPr>
          <w:p>
            <w:pPr>
              <w:spacing w:after="100"/>
            </w:pPr>
            <w:r>
              <w:rPr>
                <w:b/>
                <w:bCs/>
                <w:color w:val="1F3864"/>
                <w:sz w:val="21"/>
                <w:szCs w:val="21"/>
              </w:rPr>
              <w:t xml:space="preserve">Mensaje clave para el Comité</w:t>
            </w:r>
          </w:p>
          <w:p>
            <w:pPr>
              <w:spacing w:line="280"/>
              <w:jc w:val="both"/>
            </w:pPr>
            <w:r>
              <w:rPr>
                <w:i/>
                <w:iCs/>
                <w:sz w:val="20"/>
                <w:szCs w:val="20"/>
              </w:rPr>
              <w:t xml:space="preserve">El BMM demuestra que la propuesta de arquitectura no nace de una moda tecnológica, sino de una motivación estratégica vinculada a la protección de vecinos y comerciantes de Lima frente a la extorsión, el sicariato y el cobro de cupos.</w:t>
            </w:r>
          </w:p>
        </w:tc>
      </w:tr>
    </w:tbl>
    <w:p>
      <w:pPr>
        <w:spacing w:before="200"/>
      </w:pPr>
    </w:p>
    <w:p>
      <w:pPr>
        <w:pStyle w:val="Heading2"/>
        <w:spacing w:after="160" w:before="280"/>
      </w:pPr>
      <w:r>
        <w:rPr>
          <w:b/>
          <w:bCs/>
          <w:color w:val="9B1C1C"/>
          <w:sz w:val="24"/>
          <w:szCs w:val="24"/>
        </w:rPr>
        <w:t xml:space="preserve">6.1 Elementos referenciados del modelo de negocio (Organization Units, Business Processes, Business Rules)</w:t>
      </w:r>
    </w:p>
    <w:p>
      <w:pPr>
        <w:spacing w:after="160" w:line="300"/>
        <w:jc w:val="both"/>
      </w:pPr>
      <w:r>
        <w:rPr>
          <w:sz w:val="22"/>
          <w:szCs w:val="22"/>
        </w:rPr>
        <w:t xml:space="preserve">En este apartado se describen los elementos estructurales y operativos del modelo de negocio de la Municipalidad Metropolitana de Lima, con énfasis en su rol frente a la extorsión, el sicariato y el cobro de cupos. Estos elementos constituyen la base organizacional sobre la cual se construye el Modelo de Motivación del Negocio (BMM).</w:t>
      </w:r>
    </w:p>
    <w:p>
      <w:pPr>
        <w:pStyle w:val="Heading3"/>
        <w:spacing w:after="120" w:before="200"/>
      </w:pPr>
      <w:r>
        <w:rPr>
          <w:b/>
          <w:bCs/>
          <w:i/>
          <w:iCs/>
          <w:color w:val="595959"/>
          <w:sz w:val="22"/>
          <w:szCs w:val="22"/>
        </w:rPr>
        <w:t xml:space="preserve">6.1.1. Organization Units (Unidades organizacionales)</w:t>
      </w:r>
    </w:p>
    <w:p>
      <w:pPr>
        <w:spacing w:after="160" w:line="300"/>
        <w:jc w:val="both"/>
      </w:pPr>
      <w:r>
        <w:rPr>
          <w:sz w:val="22"/>
          <w:szCs w:val="22"/>
        </w:rPr>
        <w:t xml:space="preserve">La Municipalidad Metropolitana de Lima presenta una estructura orientada a la formulación, ejecución y supervisión de la gestión municipal, incluyendo la seguridad ciudadana dentro de su competencia. Para efectos de este trabajo, el alcance organizacional se concentra en las áreas que participan directa o indirectamente en la prevención, monitoreo y respuesta frente al crimen organizado.</w:t>
      </w:r>
    </w:p>
    <w:p>
      <w:pPr>
        <w:spacing w:after="160" w:line="300"/>
        <w:jc w:val="both"/>
      </w:pPr>
      <w:r>
        <w:rPr>
          <w:b/>
          <w:bCs/>
          <w:sz w:val="22"/>
          <w:szCs w:val="22"/>
        </w:rPr>
        <w:t xml:space="preserve">a) Nivel Estratégico</w:t>
      </w:r>
    </w:p>
    <w:p>
      <w:pPr>
        <w:pStyle w:val="ListParagraph"/>
        <w:numPr>
          <w:ilvl w:val="0"/>
          <w:numId w:val="2"/>
        </w:numPr>
        <w:spacing w:after="100" w:line="280"/>
      </w:pPr>
      <w:r>
        <w:rPr>
          <w:b/>
          <w:bCs/>
          <w:sz w:val="21"/>
          <w:szCs w:val="21"/>
        </w:rPr>
        <w:t xml:space="preserve">Alcaldía Metropolitana de Lima / Gerencia Municipal:</w:t>
      </w:r>
      <w:r>
        <w:rPr>
          <w:sz w:val="21"/>
          <w:szCs w:val="21"/>
        </w:rPr>
        <w:t xml:space="preserve"> Definen las políticas y la asignación de recursos frente a la inseguridad en la jurisdicción metropolitana.</w:t>
      </w:r>
    </w:p>
    <w:p>
      <w:pPr>
        <w:spacing w:after="160" w:line="300"/>
        <w:jc w:val="both"/>
      </w:pPr>
      <w:r>
        <w:rPr>
          <w:b/>
          <w:bCs/>
          <w:sz w:val="22"/>
          <w:szCs w:val="22"/>
        </w:rPr>
        <w:t xml:space="preserve">b) Nivel Táctico (Gerencias)</w:t>
      </w:r>
    </w:p>
    <w:p>
      <w:pPr>
        <w:pStyle w:val="ListParagraph"/>
        <w:numPr>
          <w:ilvl w:val="0"/>
          <w:numId w:val="2"/>
        </w:numPr>
        <w:spacing w:after="100" w:line="280"/>
      </w:pPr>
      <w:r>
        <w:rPr>
          <w:b/>
          <w:bCs/>
          <w:sz w:val="21"/>
          <w:szCs w:val="21"/>
        </w:rPr>
        <w:t xml:space="preserve">Gerencia de Seguridad Ciudadana:</w:t>
      </w:r>
      <w:r>
        <w:rPr>
          <w:sz w:val="21"/>
          <w:szCs w:val="21"/>
        </w:rPr>
        <w:t xml:space="preserve"> Conduce el patrullaje preventivo y la atención de incidentes a través del Serenazgo Metropolitano.</w:t>
      </w:r>
    </w:p>
    <w:p>
      <w:pPr>
        <w:pStyle w:val="ListParagraph"/>
        <w:numPr>
          <w:ilvl w:val="0"/>
          <w:numId w:val="2"/>
        </w:numPr>
        <w:spacing w:after="100" w:line="280"/>
      </w:pPr>
      <w:r>
        <w:rPr>
          <w:b/>
          <w:bCs/>
          <w:sz w:val="21"/>
          <w:szCs w:val="21"/>
        </w:rPr>
        <w:t xml:space="preserve">Gerencia de Fiscalización y Control:</w:t>
      </w:r>
      <w:r>
        <w:rPr>
          <w:sz w:val="21"/>
          <w:szCs w:val="21"/>
        </w:rPr>
        <w:t xml:space="preserve"> Realiza intervenciones comerciales, recuperación de espacios públicos y control de actividades informales vinculadas a las economías ilícitas.</w:t>
      </w:r>
    </w:p>
    <w:p>
      <w:pPr>
        <w:pStyle w:val="ListParagraph"/>
        <w:numPr>
          <w:ilvl w:val="0"/>
          <w:numId w:val="2"/>
        </w:numPr>
        <w:spacing w:after="100" w:line="280"/>
      </w:pPr>
      <w:r>
        <w:rPr>
          <w:b/>
          <w:bCs/>
          <w:sz w:val="21"/>
          <w:szCs w:val="21"/>
        </w:rPr>
        <w:t xml:space="preserve">Gerencia de Participación Vecinal:</w:t>
      </w:r>
      <w:r>
        <w:rPr>
          <w:sz w:val="21"/>
          <w:szCs w:val="21"/>
        </w:rPr>
        <w:t xml:space="preserve"> Articula juntas vecinales y canales de denuncia para la participación ciudadana en la prevención del delito.</w:t>
      </w:r>
    </w:p>
    <w:p>
      <w:pPr>
        <w:pStyle w:val="ListParagraph"/>
        <w:numPr>
          <w:ilvl w:val="0"/>
          <w:numId w:val="2"/>
        </w:numPr>
        <w:spacing w:after="100" w:line="280"/>
      </w:pPr>
      <w:r>
        <w:rPr>
          <w:b/>
          <w:bCs/>
          <w:sz w:val="21"/>
          <w:szCs w:val="21"/>
        </w:rPr>
        <w:t xml:space="preserve">Gerencia de Tecnologías de la Información (GTI):</w:t>
      </w:r>
      <w:r>
        <w:rPr>
          <w:sz w:val="21"/>
          <w:szCs w:val="21"/>
        </w:rPr>
        <w:t xml:space="preserve"> Gestiona la infraestructura tecnológica, la integración de sistemas y el gobierno de datos que soportan la respuesta de seguridad.</w:t>
      </w:r>
    </w:p>
    <w:p>
      <w:pPr>
        <w:spacing w:after="160" w:line="300"/>
        <w:jc w:val="both"/>
      </w:pPr>
      <w:r>
        <w:rPr>
          <w:b/>
          <w:bCs/>
          <w:sz w:val="22"/>
          <w:szCs w:val="22"/>
        </w:rPr>
        <w:t xml:space="preserve">c) Nivel Operativo</w:t>
      </w:r>
    </w:p>
    <w:p>
      <w:pPr>
        <w:pStyle w:val="ListParagraph"/>
        <w:numPr>
          <w:ilvl w:val="0"/>
          <w:numId w:val="2"/>
        </w:numPr>
        <w:spacing w:after="100" w:line="280"/>
      </w:pPr>
      <w:r>
        <w:rPr>
          <w:b/>
          <w:bCs/>
          <w:sz w:val="21"/>
          <w:szCs w:val="21"/>
        </w:rPr>
        <w:t xml:space="preserve">Serenazgo Metropolitano:</w:t>
      </w:r>
      <w:r>
        <w:rPr>
          <w:sz w:val="21"/>
          <w:szCs w:val="21"/>
        </w:rPr>
        <w:t xml:space="preserve"> Ejecuta el patrullaje preventivo y la atención directa de incidentes reportados por vecinos y comerciantes.</w:t>
      </w:r>
    </w:p>
    <w:p>
      <w:pPr>
        <w:pStyle w:val="ListParagraph"/>
        <w:numPr>
          <w:ilvl w:val="0"/>
          <w:numId w:val="2"/>
        </w:numPr>
        <w:spacing w:after="100" w:line="280"/>
      </w:pPr>
      <w:r>
        <w:rPr>
          <w:b/>
          <w:bCs/>
          <w:sz w:val="21"/>
          <w:szCs w:val="21"/>
        </w:rPr>
        <w:t xml:space="preserve">Centro de Control y Monitoreo:</w:t>
      </w:r>
      <w:r>
        <w:rPr>
          <w:sz w:val="21"/>
          <w:szCs w:val="21"/>
        </w:rPr>
        <w:t xml:space="preserve"> Gestiona las cámaras de videovigilancia, el monitoreo urbano y la generación de alertas en tiempo real.</w:t>
      </w:r>
    </w:p>
    <w:p>
      <w:pPr>
        <w:spacing w:after="160" w:line="300"/>
        <w:jc w:val="both"/>
      </w:pPr>
      <w:r>
        <w:rPr>
          <w:b/>
          <w:bCs/>
          <w:sz w:val="22"/>
          <w:szCs w:val="22"/>
        </w:rPr>
        <w:t xml:space="preserve">d) Órganos y entidades externas coordinadas</w:t>
      </w:r>
    </w:p>
    <w:p>
      <w:pPr>
        <w:pStyle w:val="ListParagraph"/>
        <w:numPr>
          <w:ilvl w:val="0"/>
          <w:numId w:val="2"/>
        </w:numPr>
        <w:spacing w:after="100" w:line="280"/>
      </w:pPr>
      <w:r>
        <w:rPr>
          <w:b/>
          <w:bCs/>
          <w:sz w:val="21"/>
          <w:szCs w:val="21"/>
        </w:rPr>
        <w:t xml:space="preserve">Policía Nacional del Perú (PNP):</w:t>
      </w:r>
      <w:r>
        <w:rPr>
          <w:sz w:val="21"/>
          <w:szCs w:val="21"/>
        </w:rPr>
        <w:t xml:space="preserve"> Ejecutor de operativos, investigaciones y acciones de inteligencia; principal socio externo de la MML en materia de seguridad.</w:t>
      </w:r>
    </w:p>
    <w:p>
      <w:pPr>
        <w:pStyle w:val="ListParagraph"/>
        <w:numPr>
          <w:ilvl w:val="0"/>
          <w:numId w:val="2"/>
        </w:numPr>
        <w:spacing w:after="100" w:line="280"/>
      </w:pPr>
      <w:r>
        <w:rPr>
          <w:b/>
          <w:bCs/>
          <w:sz w:val="21"/>
          <w:szCs w:val="21"/>
        </w:rPr>
        <w:t xml:space="preserve">Ministerio Público:</w:t>
      </w:r>
      <w:r>
        <w:rPr>
          <w:sz w:val="21"/>
          <w:szCs w:val="21"/>
        </w:rPr>
        <w:t xml:space="preserve"> Dirige la investigación penal de los casos de extorsión y sicariato derivados desde la MML.</w:t>
      </w:r>
    </w:p>
    <w:p>
      <w:pPr>
        <w:pStyle w:val="ListParagraph"/>
        <w:numPr>
          <w:ilvl w:val="0"/>
          <w:numId w:val="2"/>
        </w:numPr>
        <w:spacing w:after="100" w:line="280"/>
      </w:pPr>
      <w:r>
        <w:rPr>
          <w:b/>
          <w:bCs/>
          <w:sz w:val="21"/>
          <w:szCs w:val="21"/>
        </w:rPr>
        <w:t xml:space="preserve">Poder Judicial:</w:t>
      </w:r>
      <w:r>
        <w:rPr>
          <w:sz w:val="21"/>
          <w:szCs w:val="21"/>
        </w:rPr>
        <w:t xml:space="preserve"> Autoriza medidas legales y sanciona los delitos investigados.</w:t>
      </w:r>
    </w:p>
    <w:p>
      <w:pPr>
        <w:pStyle w:val="ListParagraph"/>
        <w:numPr>
          <w:ilvl w:val="0"/>
          <w:numId w:val="2"/>
        </w:numPr>
        <w:spacing w:after="100" w:line="280"/>
      </w:pPr>
      <w:r>
        <w:rPr>
          <w:b/>
          <w:bCs/>
          <w:sz w:val="21"/>
          <w:szCs w:val="21"/>
        </w:rPr>
        <w:t xml:space="preserve">Municipalidades distritales:</w:t>
      </w:r>
      <w:r>
        <w:rPr>
          <w:sz w:val="21"/>
          <w:szCs w:val="21"/>
        </w:rPr>
        <w:t xml:space="preserve"> Coordinan acciones de seguridad ciudadana en jurisdicciones colindantes.</w:t>
      </w:r>
    </w:p>
    <w:p>
      <w:pPr>
        <w:pStyle w:val="ListParagraph"/>
        <w:numPr>
          <w:ilvl w:val="0"/>
          <w:numId w:val="2"/>
        </w:numPr>
        <w:spacing w:after="100" w:line="280"/>
      </w:pPr>
      <w:r>
        <w:rPr>
          <w:b/>
          <w:bCs/>
          <w:sz w:val="21"/>
          <w:szCs w:val="21"/>
        </w:rPr>
        <w:t xml:space="preserve">Ministerio del Interior:</w:t>
      </w:r>
      <w:r>
        <w:rPr>
          <w:sz w:val="21"/>
          <w:szCs w:val="21"/>
        </w:rPr>
        <w:t xml:space="preserve"> Ente rector del Sistema Nacional de Seguridad Ciudadana (SINASEC), con el que la MML se articula mediante los comités de seguridad ciudadana.</w:t>
      </w:r>
    </w:p>
    <w:p>
      <w:pPr>
        <w:spacing w:after="160" w:line="300"/>
        <w:jc w:val="both"/>
      </w:pPr>
      <w:r>
        <w:rPr>
          <w:sz w:val="22"/>
          <w:szCs w:val="22"/>
        </w:rPr>
        <w:t xml:space="preserve">Quedan expresamente fuera del alcance organizacional la investigación criminal especializada, la inteligencia policial, los procesos judiciales y las operaciones militares, competencias que corresponden a otras entidades del Estado.</w:t>
      </w:r>
    </w:p>
    <w:p>
      <w:pPr>
        <w:pStyle w:val="Heading3"/>
        <w:spacing w:after="120" w:before="200"/>
      </w:pPr>
      <w:r>
        <w:rPr>
          <w:b/>
          <w:bCs/>
          <w:i/>
          <w:iCs/>
          <w:color w:val="595959"/>
          <w:sz w:val="22"/>
          <w:szCs w:val="22"/>
        </w:rPr>
        <w:t xml:space="preserve">6.1.2. Business Processes (Procesos de negocio)</w:t>
      </w:r>
    </w:p>
    <w:p>
      <w:pPr>
        <w:spacing w:after="160" w:line="300"/>
        <w:jc w:val="both"/>
      </w:pPr>
      <w:r>
        <w:rPr>
          <w:sz w:val="22"/>
          <w:szCs w:val="22"/>
        </w:rPr>
        <w:t xml:space="preserve">Los procesos de la Municipalidad Metropolitana de Lima vinculados a la seguridad ciudadana se organizan, de manera análoga al Mapa de Procesos Nivel 0 de la entidad, en procesos estratégicos, operativos y de soporte.</w:t>
      </w:r>
    </w:p>
    <w:p>
      <w:pPr>
        <w:spacing w:after="160" w:line="300"/>
        <w:jc w:val="both"/>
      </w:pPr>
      <w:r>
        <w:rPr>
          <w:b/>
          <w:bCs/>
          <w:sz w:val="22"/>
          <w:szCs w:val="22"/>
        </w:rPr>
        <w:t xml:space="preserve">a) Procesos estratégicos</w:t>
      </w:r>
    </w:p>
    <w:p>
      <w:pPr>
        <w:pStyle w:val="ListParagraph"/>
        <w:numPr>
          <w:ilvl w:val="0"/>
          <w:numId w:val="2"/>
        </w:numPr>
        <w:spacing w:after="100" w:line="280"/>
      </w:pPr>
      <w:r>
        <w:rPr>
          <w:b/>
          <w:bCs/>
          <w:sz w:val="21"/>
          <w:szCs w:val="21"/>
        </w:rPr>
        <w:t xml:space="preserve">Direccionamiento estratégico de seguridad ciudadana:</w:t>
      </w:r>
      <w:r>
        <w:rPr>
          <w:sz w:val="21"/>
          <w:szCs w:val="21"/>
        </w:rPr>
        <w:t xml:space="preserve"> Definen el rumbo institucional frente a la extorsión, el sicariato y el cobro de cupos, estableciendo prioridades y asignando recursos.</w:t>
      </w:r>
    </w:p>
    <w:p>
      <w:pPr>
        <w:pStyle w:val="ListParagraph"/>
        <w:numPr>
          <w:ilvl w:val="0"/>
          <w:numId w:val="2"/>
        </w:numPr>
        <w:spacing w:after="100" w:line="280"/>
      </w:pPr>
      <w:r>
        <w:rPr>
          <w:b/>
          <w:bCs/>
          <w:sz w:val="21"/>
          <w:szCs w:val="21"/>
        </w:rPr>
        <w:t xml:space="preserve">Gobierno de la Arquitectura Empresarial:</w:t>
      </w:r>
      <w:r>
        <w:rPr>
          <w:sz w:val="21"/>
          <w:szCs w:val="21"/>
        </w:rPr>
        <w:t xml:space="preserve"> Fortalece el Comité de Arquitectura Empresarial como ente rector de las decisiones tecnológicas de seguridad.</w:t>
      </w:r>
    </w:p>
    <w:p>
      <w:pPr>
        <w:spacing w:after="160" w:line="300"/>
        <w:jc w:val="both"/>
      </w:pPr>
      <w:r>
        <w:rPr>
          <w:b/>
          <w:bCs/>
          <w:sz w:val="22"/>
          <w:szCs w:val="22"/>
        </w:rPr>
        <w:t xml:space="preserve">b) Procesos operativos</w:t>
      </w:r>
    </w:p>
    <w:p>
      <w:pPr>
        <w:pStyle w:val="ListParagraph"/>
        <w:numPr>
          <w:ilvl w:val="0"/>
          <w:numId w:val="2"/>
        </w:numPr>
        <w:spacing w:after="100" w:line="280"/>
      </w:pPr>
      <w:r>
        <w:rPr>
          <w:b/>
          <w:bCs/>
          <w:sz w:val="21"/>
          <w:szCs w:val="21"/>
        </w:rPr>
        <w:t xml:space="preserve">Patrullaje preventivo:</w:t>
      </w:r>
      <w:r>
        <w:rPr>
          <w:sz w:val="21"/>
          <w:szCs w:val="21"/>
        </w:rPr>
        <w:t xml:space="preserve"> Patrullaje preventivo del Serenazgo Metropolitano en zonas de riesgo identificadas.</w:t>
      </w:r>
    </w:p>
    <w:p>
      <w:pPr>
        <w:pStyle w:val="ListParagraph"/>
        <w:numPr>
          <w:ilvl w:val="0"/>
          <w:numId w:val="2"/>
        </w:numPr>
        <w:spacing w:after="100" w:line="280"/>
      </w:pPr>
      <w:r>
        <w:rPr>
          <w:b/>
          <w:bCs/>
          <w:sz w:val="21"/>
          <w:szCs w:val="21"/>
        </w:rPr>
        <w:t xml:space="preserve">Atención de incidentes:</w:t>
      </w:r>
      <w:r>
        <w:rPr>
          <w:sz w:val="21"/>
          <w:szCs w:val="21"/>
        </w:rPr>
        <w:t xml:space="preserve"> Recepción, priorización y seguimiento de incidentes reportados por vecinos y comerciantes.</w:t>
      </w:r>
    </w:p>
    <w:p>
      <w:pPr>
        <w:pStyle w:val="ListParagraph"/>
        <w:numPr>
          <w:ilvl w:val="0"/>
          <w:numId w:val="2"/>
        </w:numPr>
        <w:spacing w:after="100" w:line="280"/>
      </w:pPr>
      <w:r>
        <w:rPr>
          <w:b/>
          <w:bCs/>
          <w:sz w:val="21"/>
          <w:szCs w:val="21"/>
        </w:rPr>
        <w:t xml:space="preserve">Gestión de videovigilancia y alertas:</w:t>
      </w:r>
      <w:r>
        <w:rPr>
          <w:sz w:val="21"/>
          <w:szCs w:val="21"/>
        </w:rPr>
        <w:t xml:space="preserve"> Gestión de cámaras, monitoreo urbano y generación de alertas desde el Centro de Control y Monitoreo.</w:t>
      </w:r>
    </w:p>
    <w:p>
      <w:pPr>
        <w:pStyle w:val="ListParagraph"/>
        <w:numPr>
          <w:ilvl w:val="0"/>
          <w:numId w:val="2"/>
        </w:numPr>
        <w:spacing w:after="100" w:line="280"/>
      </w:pPr>
      <w:r>
        <w:rPr>
          <w:b/>
          <w:bCs/>
          <w:sz w:val="21"/>
          <w:szCs w:val="21"/>
        </w:rPr>
        <w:t xml:space="preserve">Fiscalización y control:</w:t>
      </w:r>
      <w:r>
        <w:rPr>
          <w:sz w:val="21"/>
          <w:szCs w:val="21"/>
        </w:rPr>
        <w:t xml:space="preserve"> Intervenciones comerciales y recuperación de espacios públicos vinculados a economías ilícitas.</w:t>
      </w:r>
    </w:p>
    <w:p>
      <w:pPr>
        <w:pStyle w:val="ListParagraph"/>
        <w:numPr>
          <w:ilvl w:val="0"/>
          <w:numId w:val="2"/>
        </w:numPr>
        <w:spacing w:after="100" w:line="280"/>
      </w:pPr>
      <w:r>
        <w:rPr>
          <w:b/>
          <w:bCs/>
          <w:sz w:val="21"/>
          <w:szCs w:val="21"/>
        </w:rPr>
        <w:t xml:space="preserve">Participación vecinal:</w:t>
      </w:r>
      <w:r>
        <w:rPr>
          <w:sz w:val="21"/>
          <w:szCs w:val="21"/>
        </w:rPr>
        <w:t xml:space="preserve"> Canales de denuncia y juntas vecinales para la participación ciudadana en la prevención.</w:t>
      </w:r>
    </w:p>
    <w:p>
      <w:pPr>
        <w:pStyle w:val="ListParagraph"/>
        <w:numPr>
          <w:ilvl w:val="0"/>
          <w:numId w:val="2"/>
        </w:numPr>
        <w:spacing w:after="100" w:line="280"/>
      </w:pPr>
      <w:r>
        <w:rPr>
          <w:b/>
          <w:bCs/>
          <w:sz w:val="21"/>
          <w:szCs w:val="21"/>
        </w:rPr>
        <w:t xml:space="preserve">Coordinación interinstitucional:</w:t>
      </w:r>
      <w:r>
        <w:rPr>
          <w:sz w:val="21"/>
          <w:szCs w:val="21"/>
        </w:rPr>
        <w:t xml:space="preserve"> Derivación de casos de extorsión y sicariato hacia la Policía Nacional del Perú y el Ministerio Público.</w:t>
      </w:r>
    </w:p>
    <w:p>
      <w:pPr>
        <w:spacing w:after="160" w:line="300"/>
        <w:jc w:val="both"/>
      </w:pPr>
      <w:r>
        <w:rPr>
          <w:b/>
          <w:bCs/>
          <w:sz w:val="22"/>
          <w:szCs w:val="22"/>
        </w:rPr>
        <w:t xml:space="preserve">c) Procesos de soporte</w:t>
      </w:r>
    </w:p>
    <w:p>
      <w:pPr>
        <w:pStyle w:val="ListParagraph"/>
        <w:numPr>
          <w:ilvl w:val="0"/>
          <w:numId w:val="2"/>
        </w:numPr>
        <w:spacing w:after="100" w:line="280"/>
      </w:pPr>
      <w:r>
        <w:rPr>
          <w:b/>
          <w:bCs/>
          <w:sz w:val="21"/>
          <w:szCs w:val="21"/>
        </w:rPr>
        <w:t xml:space="preserve">Gestión de tecnologías de información:</w:t>
      </w:r>
      <w:r>
        <w:rPr>
          <w:sz w:val="21"/>
          <w:szCs w:val="21"/>
        </w:rPr>
        <w:t xml:space="preserve"> Gestión de la infraestructura tecnológica, integración de sistemas y gobierno de datos.</w:t>
      </w:r>
    </w:p>
    <w:p>
      <w:pPr>
        <w:pStyle w:val="ListParagraph"/>
        <w:numPr>
          <w:ilvl w:val="0"/>
          <w:numId w:val="2"/>
        </w:numPr>
        <w:spacing w:after="100" w:line="280"/>
      </w:pPr>
      <w:r>
        <w:rPr>
          <w:b/>
          <w:bCs/>
          <w:sz w:val="21"/>
          <w:szCs w:val="21"/>
        </w:rPr>
        <w:t xml:space="preserve">Asesoría jurídica y cumplimiento:</w:t>
      </w:r>
      <w:r>
        <w:rPr>
          <w:sz w:val="21"/>
          <w:szCs w:val="21"/>
        </w:rPr>
        <w:t xml:space="preserve"> Cumplimiento normativo y protección de datos personales.</w:t>
      </w:r>
    </w:p>
    <w:p>
      <w:pPr>
        <w:pStyle w:val="ListParagraph"/>
        <w:numPr>
          <w:ilvl w:val="0"/>
          <w:numId w:val="2"/>
        </w:numPr>
        <w:spacing w:after="100" w:line="280"/>
      </w:pPr>
      <w:r>
        <w:rPr>
          <w:b/>
          <w:bCs/>
          <w:sz w:val="21"/>
          <w:szCs w:val="21"/>
        </w:rPr>
        <w:t xml:space="preserve">Gestión de recursos humanos y logística:</w:t>
      </w:r>
      <w:r>
        <w:rPr>
          <w:sz w:val="21"/>
          <w:szCs w:val="21"/>
        </w:rPr>
        <w:t xml:space="preserve"> Provisión de recursos humanos y logísticos para el Serenazgo y el Centro de Control y Monitoreo.</w:t>
      </w:r>
    </w:p>
    <w:p>
      <w:pPr>
        <w:pStyle w:val="Heading3"/>
        <w:spacing w:after="120" w:before="200"/>
      </w:pPr>
      <w:r>
        <w:rPr>
          <w:b/>
          <w:bCs/>
          <w:i/>
          <w:iCs/>
          <w:color w:val="595959"/>
          <w:sz w:val="22"/>
          <w:szCs w:val="22"/>
        </w:rPr>
        <w:t xml:space="preserve">6.1.3. Business Rules (Reglas de negocio)</w:t>
      </w:r>
    </w:p>
    <w:p>
      <w:pPr>
        <w:spacing w:after="160" w:line="300"/>
        <w:jc w:val="both"/>
      </w:pPr>
      <w:r>
        <w:rPr>
          <w:sz w:val="22"/>
          <w:szCs w:val="22"/>
        </w:rPr>
        <w:t xml:space="preserve">Las reglas de negocio de la Municipalidad Metropolitana de Lima en materia de seguridad ciudadana están conformadas por el conjunto de normas legales, reglamentarias y operativas que regulan su accionar. Estas reglas determinan los límites, condiciones y procedimientos bajo los cuales se ejecutan los procesos institucionales descritos en el apartado anterior.</w:t>
      </w:r>
    </w:p>
    <w:p>
      <w:pPr>
        <w:pStyle w:val="ListParagraph"/>
        <w:numPr>
          <w:ilvl w:val="0"/>
          <w:numId w:val="2"/>
        </w:numPr>
        <w:spacing w:after="100" w:line="280"/>
      </w:pPr>
      <w:r>
        <w:rPr>
          <w:b/>
          <w:bCs/>
          <w:sz w:val="21"/>
          <w:szCs w:val="21"/>
        </w:rPr>
        <w:t xml:space="preserve">Ley N.° 27972 — Ley Orgánica de Municipalidades:</w:t>
      </w:r>
      <w:r>
        <w:rPr>
          <w:sz w:val="21"/>
          <w:szCs w:val="21"/>
        </w:rPr>
        <w:t xml:space="preserve"> Establece las competencias de las municipalidades en materia de seguridad ciudadana, incluyendo la organización y conducción del servicio de Serenazgo en su jurisdicción.</w:t>
      </w:r>
    </w:p>
    <w:p>
      <w:pPr>
        <w:pStyle w:val="ListParagraph"/>
        <w:numPr>
          <w:ilvl w:val="0"/>
          <w:numId w:val="2"/>
        </w:numPr>
        <w:spacing w:after="100" w:line="280"/>
      </w:pPr>
      <w:r>
        <w:rPr>
          <w:b/>
          <w:bCs/>
          <w:sz w:val="21"/>
          <w:szCs w:val="21"/>
        </w:rPr>
        <w:t xml:space="preserve">Ley N.° 27933 — Ley del Sistema Nacional de Seguridad Ciudadana (SINASEC):</w:t>
      </w:r>
      <w:r>
        <w:rPr>
          <w:sz w:val="21"/>
          <w:szCs w:val="21"/>
        </w:rPr>
        <w:t xml:space="preserve"> Crea el Sistema Nacional de Seguridad Ciudadana (SINASEC) y establece los Comités de Seguridad Ciudadana como espacios de coordinación entre la MML, la PNP, el Ministerio Público y la sociedad civil; determina además la obligación de estandarizar e interoperar los sistemas de videovigilancia con la Policía Nacional del Perú.</w:t>
      </w:r>
    </w:p>
    <w:p>
      <w:pPr>
        <w:pStyle w:val="ListParagraph"/>
        <w:numPr>
          <w:ilvl w:val="0"/>
          <w:numId w:val="2"/>
        </w:numPr>
        <w:spacing w:after="100" w:line="280"/>
      </w:pPr>
      <w:r>
        <w:rPr>
          <w:b/>
          <w:bCs/>
          <w:sz w:val="21"/>
          <w:szCs w:val="21"/>
        </w:rPr>
        <w:t xml:space="preserve">Decreto Legislativo N.° 1412 — Ley de Gobierno Digital:</w:t>
      </w:r>
      <w:r>
        <w:rPr>
          <w:sz w:val="21"/>
          <w:szCs w:val="21"/>
        </w:rPr>
        <w:t xml:space="preserve"> Obliga a la MML a implementar servicios digitales, interoperabilidad y gobierno de datos conforme al Marco de Arquitectura Digital del Estado (MADE) para toda plataforma tecnológica, incluida la de seguridad ciudadana.</w:t>
      </w:r>
    </w:p>
    <w:p>
      <w:pPr>
        <w:pStyle w:val="ListParagraph"/>
        <w:numPr>
          <w:ilvl w:val="0"/>
          <w:numId w:val="2"/>
        </w:numPr>
        <w:spacing w:after="100" w:line="280"/>
      </w:pPr>
      <w:r>
        <w:rPr>
          <w:b/>
          <w:bCs/>
          <w:sz w:val="21"/>
          <w:szCs w:val="21"/>
        </w:rPr>
        <w:t xml:space="preserve">Ley N.° 29733 — Ley de Protección de Datos Personales:</w:t>
      </w:r>
      <w:r>
        <w:rPr>
          <w:sz w:val="21"/>
          <w:szCs w:val="21"/>
        </w:rPr>
        <w:t xml:space="preserve"> Regula el tratamiento de los datos de vecinos, comerciantes y denunciantes en el Repositorio Metropolitano de Seguridad, exigiendo seguridad y privacidad desde el diseño.</w:t>
      </w:r>
    </w:p>
    <w:p>
      <w:pPr>
        <w:pStyle w:val="ListParagraph"/>
        <w:numPr>
          <w:ilvl w:val="0"/>
          <w:numId w:val="2"/>
        </w:numPr>
        <w:spacing w:after="100" w:line="280"/>
      </w:pPr>
      <w:r>
        <w:rPr>
          <w:b/>
          <w:bCs/>
          <w:sz w:val="21"/>
          <w:szCs w:val="21"/>
        </w:rPr>
        <w:t xml:space="preserve">ISO/IEC 27001:</w:t>
      </w:r>
      <w:r>
        <w:rPr>
          <w:sz w:val="21"/>
          <w:szCs w:val="21"/>
        </w:rPr>
        <w:t xml:space="preserve"> Define los estándares de seguridad de la información aplicables a la Plataforma Metropolitana de Seguridad y al Centro de Operaciones de Seguridad (SOC).</w:t>
      </w:r>
    </w:p>
    <w:p>
      <w:pPr>
        <w:spacing w:after="160" w:line="300"/>
        <w:jc w:val="both"/>
      </w:pPr>
      <w:r>
        <w:rPr>
          <w:sz w:val="22"/>
          <w:szCs w:val="22"/>
        </w:rPr>
        <w:t xml:space="preserve">Si bien este marco normativo fortalece la capacidad de acción de la MML, también introduce límites relevantes: la derivación de casos de extorsión y sicariato hacia la PNP y el Ministerio Público depende de protocolos y autorizaciones que exceden la competencia municipal, lo que puede generar demoras si la coordinación no está soportada por interoperabilidad digital. Esta tensión es, precisamente, uno de los influencers analizados en el siguiente apartado.</w:t>
      </w:r>
    </w:p>
    <w:p>
      <w:pPr>
        <w:pStyle w:val="Heading2"/>
        <w:spacing w:after="160" w:before="280"/>
      </w:pPr>
      <w:r>
        <w:rPr>
          <w:b/>
          <w:bCs/>
          <w:color w:val="9B1C1C"/>
          <w:sz w:val="24"/>
          <w:szCs w:val="24"/>
        </w:rPr>
        <w:t xml:space="preserve">6.2 Stakeholders e influencers (internos y externos)</w:t>
      </w:r>
    </w:p>
    <w:p>
      <w:pPr>
        <w:spacing w:after="160" w:line="300"/>
        <w:jc w:val="both"/>
      </w:pPr>
      <w:r>
        <w:rPr>
          <w:sz w:val="22"/>
          <w:szCs w:val="22"/>
        </w:rPr>
        <w:t xml:space="preserve">La respuesta de la Municipalidad Metropolitana de Lima frente a la extorsión, el sicariato y el cobro de cupos está condicionada tanto por los actores involucrados (stakeholders) como por factores estructurales (influencers) que afectan la toma de decisiones y la efectividad institucional.</w:t>
      </w:r>
    </w:p>
    <w:p>
      <w:pPr>
        <w:pStyle w:val="Heading3"/>
        <w:spacing w:after="120" w:before="200"/>
      </w:pPr>
      <w:r>
        <w:rPr>
          <w:b/>
          <w:bCs/>
          <w:i/>
          <w:iCs/>
          <w:color w:val="595959"/>
          <w:sz w:val="22"/>
          <w:szCs w:val="22"/>
        </w:rPr>
        <w:t xml:space="preserve">6.2.1 Stakeholders</w:t>
      </w:r>
    </w:p>
    <w:p>
      <w:pPr>
        <w:spacing w:after="160" w:line="300"/>
        <w:jc w:val="both"/>
      </w:pPr>
      <w:r>
        <w:rPr>
          <w:b/>
          <w:bCs/>
          <w:sz w:val="22"/>
          <w:szCs w:val="22"/>
        </w:rPr>
        <w:t xml:space="preserve">a) Stakeholders internos</w:t>
      </w:r>
    </w:p>
    <w:p>
      <w:pPr>
        <w:pStyle w:val="ListParagraph"/>
        <w:numPr>
          <w:ilvl w:val="0"/>
          <w:numId w:val="2"/>
        </w:numPr>
        <w:spacing w:after="100" w:line="280"/>
      </w:pPr>
      <w:r>
        <w:rPr>
          <w:b/>
          <w:bCs/>
          <w:sz w:val="21"/>
          <w:szCs w:val="21"/>
        </w:rPr>
        <w:t xml:space="preserve">Alcaldía Metropolitana y Gerencia Municipal:</w:t>
      </w:r>
      <w:r>
        <w:rPr>
          <w:sz w:val="21"/>
          <w:szCs w:val="21"/>
        </w:rPr>
        <w:t xml:space="preserve"> Definen las políticas y la asignación de recursos frente a la inseguridad.</w:t>
      </w:r>
    </w:p>
    <w:p>
      <w:pPr>
        <w:pStyle w:val="ListParagraph"/>
        <w:numPr>
          <w:ilvl w:val="0"/>
          <w:numId w:val="2"/>
        </w:numPr>
        <w:spacing w:after="100" w:line="280"/>
      </w:pPr>
      <w:r>
        <w:rPr>
          <w:b/>
          <w:bCs/>
          <w:sz w:val="21"/>
          <w:szCs w:val="21"/>
        </w:rPr>
        <w:t xml:space="preserve">Gerencia de Seguridad Ciudadana:</w:t>
      </w:r>
      <w:r>
        <w:rPr>
          <w:sz w:val="21"/>
          <w:szCs w:val="21"/>
        </w:rPr>
        <w:t xml:space="preserve"> Conduce el patrullaje preventivo y la atención de incidentes a través del Serenazgo.</w:t>
      </w:r>
    </w:p>
    <w:p>
      <w:pPr>
        <w:pStyle w:val="ListParagraph"/>
        <w:numPr>
          <w:ilvl w:val="0"/>
          <w:numId w:val="2"/>
        </w:numPr>
        <w:spacing w:after="100" w:line="280"/>
      </w:pPr>
      <w:r>
        <w:rPr>
          <w:b/>
          <w:bCs/>
          <w:sz w:val="21"/>
          <w:szCs w:val="21"/>
        </w:rPr>
        <w:t xml:space="preserve">Gerencia de Tecnologías de la Información (GTI):</w:t>
      </w:r>
      <w:r>
        <w:rPr>
          <w:sz w:val="21"/>
          <w:szCs w:val="21"/>
        </w:rPr>
        <w:t xml:space="preserve"> Determina la capacidad tecnológica real para integrar información y sistemas.</w:t>
      </w:r>
    </w:p>
    <w:p>
      <w:pPr>
        <w:pStyle w:val="ListParagraph"/>
        <w:numPr>
          <w:ilvl w:val="0"/>
          <w:numId w:val="2"/>
        </w:numPr>
        <w:spacing w:after="100" w:line="280"/>
      </w:pPr>
      <w:r>
        <w:rPr>
          <w:b/>
          <w:bCs/>
          <w:sz w:val="21"/>
          <w:szCs w:val="21"/>
        </w:rPr>
        <w:t xml:space="preserve">Gerencia de Fiscalización y Control:</w:t>
      </w:r>
      <w:r>
        <w:rPr>
          <w:sz w:val="21"/>
          <w:szCs w:val="21"/>
        </w:rPr>
        <w:t xml:space="preserve"> Ejecuta intervenciones comerciales y recuperación de espacios públicos.</w:t>
      </w:r>
    </w:p>
    <w:p>
      <w:pPr>
        <w:pStyle w:val="ListParagraph"/>
        <w:numPr>
          <w:ilvl w:val="0"/>
          <w:numId w:val="2"/>
        </w:numPr>
        <w:spacing w:after="100" w:line="280"/>
      </w:pPr>
      <w:r>
        <w:rPr>
          <w:b/>
          <w:bCs/>
          <w:sz w:val="21"/>
          <w:szCs w:val="21"/>
        </w:rPr>
        <w:t xml:space="preserve">Gerencia de Participación Vecinal:</w:t>
      </w:r>
      <w:r>
        <w:rPr>
          <w:sz w:val="21"/>
          <w:szCs w:val="21"/>
        </w:rPr>
        <w:t xml:space="preserve"> Canaliza la participación ciudadana en la prevención del delito.</w:t>
      </w:r>
    </w:p>
    <w:p>
      <w:pPr>
        <w:pStyle w:val="ListParagraph"/>
        <w:numPr>
          <w:ilvl w:val="0"/>
          <w:numId w:val="2"/>
        </w:numPr>
        <w:spacing w:after="100" w:line="280"/>
      </w:pPr>
      <w:r>
        <w:rPr>
          <w:b/>
          <w:bCs/>
          <w:sz w:val="21"/>
          <w:szCs w:val="21"/>
        </w:rPr>
        <w:t xml:space="preserve">Serenazgo Metropolitano y Centro de Control y Monitoreo:</w:t>
      </w:r>
      <w:r>
        <w:rPr>
          <w:sz w:val="21"/>
          <w:szCs w:val="21"/>
        </w:rPr>
        <w:t xml:space="preserve"> Operan el patrullaje y el monitoreo urbano en campo.</w:t>
      </w:r>
    </w:p>
    <w:p>
      <w:pPr>
        <w:spacing w:after="160" w:line="300"/>
        <w:jc w:val="both"/>
      </w:pPr>
      <w:r>
        <w:rPr>
          <w:b/>
          <w:bCs/>
          <w:sz w:val="22"/>
          <w:szCs w:val="22"/>
        </w:rPr>
        <w:t xml:space="preserve">b) Stakeholders externos</w:t>
      </w:r>
    </w:p>
    <w:p>
      <w:pPr>
        <w:pStyle w:val="ListParagraph"/>
        <w:numPr>
          <w:ilvl w:val="0"/>
          <w:numId w:val="2"/>
        </w:numPr>
        <w:spacing w:after="100" w:line="280"/>
      </w:pPr>
      <w:r>
        <w:rPr>
          <w:b/>
          <w:bCs/>
          <w:sz w:val="21"/>
          <w:szCs w:val="21"/>
        </w:rPr>
        <w:t xml:space="preserve">Policía Nacional del Perú:</w:t>
      </w:r>
      <w:r>
        <w:rPr>
          <w:sz w:val="21"/>
          <w:szCs w:val="21"/>
        </w:rPr>
        <w:t xml:space="preserve"> Principal ejecutor de operativos, investigaciones y acciones de inteligencia frente a la extorsión y el sicariato.</w:t>
      </w:r>
    </w:p>
    <w:p>
      <w:pPr>
        <w:pStyle w:val="ListParagraph"/>
        <w:numPr>
          <w:ilvl w:val="0"/>
          <w:numId w:val="2"/>
        </w:numPr>
        <w:spacing w:after="100" w:line="280"/>
      </w:pPr>
      <w:r>
        <w:rPr>
          <w:b/>
          <w:bCs/>
          <w:sz w:val="21"/>
          <w:szCs w:val="21"/>
        </w:rPr>
        <w:t xml:space="preserve">Ministerio Público:</w:t>
      </w:r>
      <w:r>
        <w:rPr>
          <w:sz w:val="21"/>
          <w:szCs w:val="21"/>
        </w:rPr>
        <w:t xml:space="preserve"> Dirige la investigación penal de los casos derivados por la MML.</w:t>
      </w:r>
    </w:p>
    <w:p>
      <w:pPr>
        <w:pStyle w:val="ListParagraph"/>
        <w:numPr>
          <w:ilvl w:val="0"/>
          <w:numId w:val="2"/>
        </w:numPr>
        <w:spacing w:after="100" w:line="280"/>
      </w:pPr>
      <w:r>
        <w:rPr>
          <w:b/>
          <w:bCs/>
          <w:sz w:val="21"/>
          <w:szCs w:val="21"/>
        </w:rPr>
        <w:t xml:space="preserve">Poder Judicial:</w:t>
      </w:r>
      <w:r>
        <w:rPr>
          <w:sz w:val="21"/>
          <w:szCs w:val="21"/>
        </w:rPr>
        <w:t xml:space="preserve"> Autoriza medidas legales y sanciona los delitos investigados.</w:t>
      </w:r>
    </w:p>
    <w:p>
      <w:pPr>
        <w:pStyle w:val="ListParagraph"/>
        <w:numPr>
          <w:ilvl w:val="0"/>
          <w:numId w:val="2"/>
        </w:numPr>
        <w:spacing w:after="100" w:line="280"/>
      </w:pPr>
      <w:r>
        <w:rPr>
          <w:b/>
          <w:bCs/>
          <w:sz w:val="21"/>
          <w:szCs w:val="21"/>
        </w:rPr>
        <w:t xml:space="preserve">Vecinos y comerciantes de Lima:</w:t>
      </w:r>
      <w:r>
        <w:rPr>
          <w:sz w:val="21"/>
          <w:szCs w:val="21"/>
        </w:rPr>
        <w:t xml:space="preserve"> Principales beneficiarios y afectados directos del problema; fuente primaria de denuncias y alertas.</w:t>
      </w:r>
    </w:p>
    <w:p>
      <w:pPr>
        <w:pStyle w:val="ListParagraph"/>
        <w:numPr>
          <w:ilvl w:val="0"/>
          <w:numId w:val="2"/>
        </w:numPr>
        <w:spacing w:after="100" w:line="280"/>
      </w:pPr>
      <w:r>
        <w:rPr>
          <w:b/>
          <w:bCs/>
          <w:sz w:val="21"/>
          <w:szCs w:val="21"/>
        </w:rPr>
        <w:t xml:space="preserve">Ministerio del Interior:</w:t>
      </w:r>
      <w:r>
        <w:rPr>
          <w:sz w:val="21"/>
          <w:szCs w:val="21"/>
        </w:rPr>
        <w:t xml:space="preserve"> Ente rector del SINASEC, con el que la MML coordina políticas de seguridad ciudadana.</w:t>
      </w:r>
    </w:p>
    <w:p>
      <w:pPr>
        <w:pStyle w:val="ListParagraph"/>
        <w:numPr>
          <w:ilvl w:val="0"/>
          <w:numId w:val="2"/>
        </w:numPr>
        <w:spacing w:after="100" w:line="280"/>
      </w:pPr>
      <w:r>
        <w:rPr>
          <w:b/>
          <w:bCs/>
          <w:sz w:val="21"/>
          <w:szCs w:val="21"/>
        </w:rPr>
        <w:t xml:space="preserve">Municipalidades distritales:</w:t>
      </w:r>
      <w:r>
        <w:rPr>
          <w:sz w:val="21"/>
          <w:szCs w:val="21"/>
        </w:rPr>
        <w:t xml:space="preserve"> Coordinan acciones conjuntas de seguridad en jurisdicciones colindantes.</w:t>
      </w:r>
    </w:p>
    <w:p>
      <w:pPr>
        <w:pStyle w:val="ListParagraph"/>
        <w:numPr>
          <w:ilvl w:val="0"/>
          <w:numId w:val="2"/>
        </w:numPr>
        <w:spacing w:after="100" w:line="280"/>
      </w:pPr>
      <w:r>
        <w:rPr>
          <w:b/>
          <w:bCs/>
          <w:sz w:val="21"/>
          <w:szCs w:val="21"/>
        </w:rPr>
        <w:t xml:space="preserve">Medios de comunicación:</w:t>
      </w:r>
      <w:r>
        <w:rPr>
          <w:sz w:val="21"/>
          <w:szCs w:val="21"/>
        </w:rPr>
        <w:t xml:space="preserve"> Generan presión pública sobre los resultados de la gestión municipal en seguridad.</w:t>
      </w:r>
    </w:p>
    <w:p>
      <w:pPr>
        <w:pStyle w:val="Heading3"/>
        <w:spacing w:after="120" w:before="200"/>
      </w:pPr>
      <w:r>
        <w:rPr>
          <w:b/>
          <w:bCs/>
          <w:i/>
          <w:iCs/>
          <w:color w:val="595959"/>
          <w:sz w:val="22"/>
          <w:szCs w:val="22"/>
        </w:rPr>
        <w:t xml:space="preserve">6.2.2 Influencers (Factores de influencia)</w:t>
      </w:r>
    </w:p>
    <w:p>
      <w:pPr>
        <w:spacing w:after="160" w:line="300"/>
        <w:jc w:val="both"/>
      </w:pPr>
      <w:r>
        <w:rPr>
          <w:sz w:val="22"/>
          <w:szCs w:val="22"/>
        </w:rPr>
        <w:t xml:space="preserve">Son factores internos y externos que afectan el desempeño del sistema de seguridad ciudadana de la MML, sin ser necesariamente actores directos.</w:t>
      </w:r>
    </w:p>
    <w:p>
      <w:pPr>
        <w:spacing w:after="160" w:line="300"/>
        <w:jc w:val="both"/>
      </w:pPr>
      <w:r>
        <w:rPr>
          <w:b/>
          <w:bCs/>
          <w:sz w:val="22"/>
          <w:szCs w:val="22"/>
        </w:rPr>
        <w:t xml:space="preserve">a) Influencers internos</w:t>
      </w:r>
    </w:p>
    <w:p>
      <w:pPr>
        <w:pStyle w:val="ListParagraph"/>
        <w:numPr>
          <w:ilvl w:val="0"/>
          <w:numId w:val="2"/>
        </w:numPr>
        <w:spacing w:after="100" w:line="280"/>
      </w:pPr>
      <w:r>
        <w:rPr>
          <w:b/>
          <w:bCs/>
          <w:sz w:val="21"/>
          <w:szCs w:val="21"/>
        </w:rPr>
        <w:t xml:space="preserve">Baja madurez institucional en Arquitectura Empresarial:</w:t>
      </w:r>
      <w:r>
        <w:rPr>
          <w:sz w:val="21"/>
          <w:szCs w:val="21"/>
        </w:rPr>
        <w:t xml:space="preserve"> Nivel de madurez 1 sobre 5 en gobierno de Arquitectura Empresarial; ausencia de un Comité de AE formal.</w:t>
      </w:r>
    </w:p>
    <w:p>
      <w:pPr>
        <w:pStyle w:val="ListParagraph"/>
        <w:numPr>
          <w:ilvl w:val="0"/>
          <w:numId w:val="2"/>
        </w:numPr>
        <w:spacing w:after="100" w:line="280"/>
      </w:pPr>
      <w:r>
        <w:rPr>
          <w:b/>
          <w:bCs/>
          <w:sz w:val="21"/>
          <w:szCs w:val="21"/>
        </w:rPr>
        <w:t xml:space="preserve">Débil integración de sistemas de información:</w:t>
      </w:r>
      <w:r>
        <w:rPr>
          <w:sz w:val="21"/>
          <w:szCs w:val="21"/>
        </w:rPr>
        <w:t xml:space="preserve"> Serenazgo, videovigilancia y fiscalización operan con datos separados, dificultando la inteligencia territorial.</w:t>
      </w:r>
    </w:p>
    <w:p>
      <w:pPr>
        <w:pStyle w:val="ListParagraph"/>
        <w:numPr>
          <w:ilvl w:val="0"/>
          <w:numId w:val="2"/>
        </w:numPr>
        <w:spacing w:after="100" w:line="280"/>
      </w:pPr>
      <w:r>
        <w:rPr>
          <w:b/>
          <w:bCs/>
          <w:sz w:val="21"/>
          <w:szCs w:val="21"/>
        </w:rPr>
        <w:t xml:space="preserve">Coordinación interna manual:</w:t>
      </w:r>
      <w:r>
        <w:rPr>
          <w:sz w:val="21"/>
          <w:szCs w:val="21"/>
        </w:rPr>
        <w:t xml:space="preserve"> Predominio de procedimientos manuales entre gerencias.</w:t>
      </w:r>
    </w:p>
    <w:p>
      <w:pPr>
        <w:pStyle w:val="ListParagraph"/>
        <w:numPr>
          <w:ilvl w:val="0"/>
          <w:numId w:val="2"/>
        </w:numPr>
        <w:spacing w:after="100" w:line="280"/>
      </w:pPr>
      <w:r>
        <w:rPr>
          <w:b/>
          <w:bCs/>
          <w:sz w:val="21"/>
          <w:szCs w:val="21"/>
        </w:rPr>
        <w:t xml:space="preserve">Presupuesto público limitado y sujeto a aprobación anual:</w:t>
      </w:r>
      <w:r>
        <w:rPr>
          <w:sz w:val="21"/>
          <w:szCs w:val="21"/>
        </w:rPr>
        <w:t xml:space="preserve"> Restringe la velocidad de adopción de nuevas plataformas tecnológicas.</w:t>
      </w:r>
    </w:p>
    <w:p>
      <w:pPr>
        <w:spacing w:after="160" w:line="300"/>
        <w:jc w:val="both"/>
      </w:pPr>
      <w:r>
        <w:rPr>
          <w:b/>
          <w:bCs/>
          <w:sz w:val="22"/>
          <w:szCs w:val="22"/>
        </w:rPr>
        <w:t xml:space="preserve">b) Influencers externos</w:t>
      </w:r>
    </w:p>
    <w:p>
      <w:pPr>
        <w:pStyle w:val="ListParagraph"/>
        <w:numPr>
          <w:ilvl w:val="0"/>
          <w:numId w:val="2"/>
        </w:numPr>
        <w:spacing w:after="100" w:line="280"/>
      </w:pPr>
      <w:r>
        <w:rPr>
          <w:b/>
          <w:bCs/>
          <w:sz w:val="21"/>
          <w:szCs w:val="21"/>
        </w:rPr>
        <w:t xml:space="preserve">Crecimiento del crimen organizado:</w:t>
      </w:r>
      <w:r>
        <w:rPr>
          <w:sz w:val="21"/>
          <w:szCs w:val="21"/>
        </w:rPr>
        <w:t xml:space="preserve"> Mayor complejidad de intervención frente a redes de extorsión y cobro de cupos que operan de forma transterritorial.</w:t>
      </w:r>
    </w:p>
    <w:p>
      <w:pPr>
        <w:pStyle w:val="ListParagraph"/>
        <w:numPr>
          <w:ilvl w:val="0"/>
          <w:numId w:val="2"/>
        </w:numPr>
        <w:spacing w:after="100" w:line="280"/>
      </w:pPr>
      <w:r>
        <w:rPr>
          <w:b/>
          <w:bCs/>
          <w:sz w:val="21"/>
          <w:szCs w:val="21"/>
        </w:rPr>
        <w:t xml:space="preserve">Marco legal y normativo (SINASEC, Gobierno Digital):</w:t>
      </w:r>
      <w:r>
        <w:rPr>
          <w:sz w:val="21"/>
          <w:szCs w:val="21"/>
        </w:rPr>
        <w:t xml:space="preserve"> La Ley N.° 27933 y el D.L. N.° 1412 exigen estandarización, interoperabilidad y gobierno de datos, lo que condiciona el diseño de la arquitectura.</w:t>
      </w:r>
    </w:p>
    <w:p>
      <w:pPr>
        <w:pStyle w:val="ListParagraph"/>
        <w:numPr>
          <w:ilvl w:val="0"/>
          <w:numId w:val="2"/>
        </w:numPr>
        <w:spacing w:after="100" w:line="280"/>
      </w:pPr>
      <w:r>
        <w:rPr>
          <w:b/>
          <w:bCs/>
          <w:sz w:val="21"/>
          <w:szCs w:val="21"/>
        </w:rPr>
        <w:t xml:space="preserve">Presión mediática y ciudadana:</w:t>
      </w:r>
      <w:r>
        <w:rPr>
          <w:sz w:val="21"/>
          <w:szCs w:val="21"/>
        </w:rPr>
        <w:t xml:space="preserve"> Influye en la priorización política de la seguridad ciudadana dentro de la agenda municipal.</w:t>
      </w:r>
    </w:p>
    <w:p>
      <w:pPr>
        <w:pStyle w:val="ListParagraph"/>
        <w:numPr>
          <w:ilvl w:val="0"/>
          <w:numId w:val="2"/>
        </w:numPr>
        <w:spacing w:after="100" w:line="280"/>
      </w:pPr>
      <w:r>
        <w:rPr>
          <w:b/>
          <w:bCs/>
          <w:sz w:val="21"/>
          <w:szCs w:val="21"/>
        </w:rPr>
        <w:t xml:space="preserve">Coordinación interinstitucional deficiente con la PNP y el Ministerio Público:</w:t>
      </w:r>
      <w:r>
        <w:rPr>
          <w:sz w:val="21"/>
          <w:szCs w:val="21"/>
        </w:rPr>
        <w:t xml:space="preserve"> Afecta la respuesta conjunta frente a bandas que operan en más de una jurisdicción.</w:t>
      </w:r>
    </w:p>
    <w:p>
      <w:pPr>
        <w:pStyle w:val="Heading3"/>
        <w:spacing w:after="120" w:before="200"/>
      </w:pPr>
      <w:r>
        <w:rPr>
          <w:b/>
          <w:bCs/>
          <w:i/>
          <w:iCs/>
          <w:color w:val="595959"/>
          <w:sz w:val="22"/>
          <w:szCs w:val="22"/>
        </w:rPr>
        <w:t xml:space="preserve">6.2.3 Relación entre stakeholders e influencers</w:t>
      </w:r>
    </w:p>
    <w:p>
      <w:pPr>
        <w:spacing w:after="160" w:line="300"/>
        <w:jc w:val="both"/>
      </w:pPr>
      <w:r>
        <w:rPr>
          <w:sz w:val="22"/>
          <w:szCs w:val="22"/>
        </w:rPr>
        <w:t xml:space="preserve">Existe una relación directa entre ambos elementos: los stakeholders toman decisiones, pero están condicionados por los influencers; a su vez, los influencers pueden potenciar o limitar la acción de los stakeholders. Un ejemplo ilustrativo:</w:t>
      </w:r>
    </w:p>
    <w:p>
      <w:pPr>
        <w:pStyle w:val="ListParagraph"/>
        <w:numPr>
          <w:ilvl w:val="0"/>
          <w:numId w:val="2"/>
        </w:numPr>
        <w:spacing w:after="100" w:line="280"/>
      </w:pPr>
      <w:r>
        <w:rPr>
          <w:b/>
          <w:bCs/>
          <w:sz w:val="21"/>
          <w:szCs w:val="21"/>
        </w:rPr>
        <w:t xml:space="preserve">Stakeholder:</w:t>
      </w:r>
      <w:r>
        <w:rPr>
          <w:sz w:val="21"/>
          <w:szCs w:val="21"/>
        </w:rPr>
        <w:t xml:space="preserve"> Serenazgo Metropolitano.</w:t>
      </w:r>
    </w:p>
    <w:p>
      <w:pPr>
        <w:pStyle w:val="ListParagraph"/>
        <w:numPr>
          <w:ilvl w:val="0"/>
          <w:numId w:val="2"/>
        </w:numPr>
        <w:spacing w:after="100" w:line="280"/>
      </w:pPr>
      <w:r>
        <w:rPr>
          <w:b/>
          <w:bCs/>
          <w:sz w:val="21"/>
          <w:szCs w:val="21"/>
        </w:rPr>
        <w:t xml:space="preserve">Influencer:</w:t>
      </w:r>
      <w:r>
        <w:rPr>
          <w:sz w:val="21"/>
          <w:szCs w:val="21"/>
        </w:rPr>
        <w:t xml:space="preserve"> Débil integración de sistemas de información con videovigilancia y fiscalización.</w:t>
      </w:r>
    </w:p>
    <w:p>
      <w:pPr>
        <w:pStyle w:val="ListParagraph"/>
        <w:numPr>
          <w:ilvl w:val="0"/>
          <w:numId w:val="2"/>
        </w:numPr>
        <w:spacing w:after="100" w:line="280"/>
      </w:pPr>
      <w:r>
        <w:rPr>
          <w:b/>
          <w:bCs/>
          <w:sz w:val="21"/>
          <w:szCs w:val="21"/>
        </w:rPr>
        <w:t xml:space="preserve">Resultado:</w:t>
      </w:r>
      <w:r>
        <w:rPr>
          <w:sz w:val="21"/>
          <w:szCs w:val="21"/>
        </w:rPr>
        <w:t xml:space="preserve"> Baja efectividad en la priorización territorial del patrullaje preventivo frente a la extorsión y el cobro de cupos.</w:t>
      </w:r>
    </w:p>
    <w:p>
      <w:pPr>
        <w:pStyle w:val="Heading2"/>
        <w:spacing w:after="160" w:before="280"/>
      </w:pPr>
      <w:r>
        <w:rPr>
          <w:b/>
          <w:bCs/>
          <w:color w:val="9B1C1C"/>
          <w:sz w:val="24"/>
          <w:szCs w:val="24"/>
        </w:rPr>
        <w:t xml:space="preserve">6.3 Assessment del impacto de los influencers</w:t>
      </w:r>
    </w:p>
    <w:p>
      <w:pPr>
        <w:spacing w:after="160" w:line="300"/>
        <w:jc w:val="both"/>
      </w:pPr>
      <w:r>
        <w:rPr>
          <w:sz w:val="22"/>
          <w:szCs w:val="22"/>
        </w:rPr>
        <w:t xml:space="preserve">A partir del problema particular del avance de la extorsión, el sicariato y el cobro de cupos en la jurisdicción de la Municipalidad Metropolitana de Lima, los influencers identificados en el apartado anterior permiten entender por qué la MML no responde de forma automática ni lineal, sino condicionada por factores internos y externos que afectan su capacidad real de intervención. En ese sentido, el assessment no solo describe influencias, sino que evalúa cómo estas modifican la posibilidad de actuar con eficacia frente a la fragmentación de información, la coordinación institucional deficiente, la ausencia de gobierno de arquitectura y la analítica reactiva, que son expresiones concretas del problema analizado en las secciones iniciales del trabajo.</w:t>
      </w:r>
    </w:p>
    <w:p>
      <w:pPr>
        <w:spacing w:after="160" w:line="300"/>
        <w:jc w:val="both"/>
      </w:pPr>
      <w:r>
        <w:rPr>
          <w:sz w:val="22"/>
          <w:szCs w:val="22"/>
        </w:rPr>
        <w:t xml:space="preserve">En primer lugar, los influencers internos inciden directamente en la estructura y en los recursos disponibles. El nivel de madurez de Arquitectura Empresarial —evaluado en 1 sobre 5 durante el diagnóstico institucional— condiciona la capacidad de la MML para integrar a Serenazgo, videovigilancia, fiscalización y participación vecinal bajo un mismo modelo de gestión de incidentes. En ese marco, la creación de un Comité de Arquitectura Empresarial y la consolidación de inventarios de procesos, aplicaciones y datos constituyen pasos de corto plazo que buscan corregir una estructura hoy fragmentada, orientando más capacidad institucional hacia la inteligencia territorial frente al crimen organizado.</w:t>
      </w:r>
    </w:p>
    <w:p>
      <w:pPr>
        <w:spacing w:after="160" w:line="300"/>
        <w:jc w:val="both"/>
      </w:pPr>
      <w:r>
        <w:rPr>
          <w:sz w:val="22"/>
          <w:szCs w:val="22"/>
        </w:rPr>
        <w:t xml:space="preserve">En segundo lugar, los influencers externos obligan a la MML a reajustar su orientación estratégica. El crecimiento de modalidades como la extorsión y el cobro de cupos, junto con la exigencia normativa de interoperabilidad establecida por la Ley N.° 27933 y el D.L. N.° 1412, muestran que el entorno cambia más rápido que la respuesta institucional actual. Por ello, la propuesta de una Plataforma Metropolitana de Seguridad no es decorativa: implica nuevas competencias tecnológicas, nuevas prioridades presupuestales y una mayor demanda de coordinación con la Policía Nacional del Perú y el Ministerio Público.</w:t>
      </w:r>
    </w:p>
    <w:p>
      <w:pPr>
        <w:spacing w:after="160" w:line="300"/>
        <w:jc w:val="both"/>
      </w:pPr>
      <w:r>
        <w:rPr>
          <w:sz w:val="22"/>
          <w:szCs w:val="22"/>
        </w:rPr>
        <w:t xml:space="preserve">Finalmente, el impacto de estos influencers se expresa en brechas concretas de capacidad. La fragmentación de la información, la coordinación manual entre dependencias y la ausencia de analítica predictiva reducen la efectividad de la MML frente al delito organizado. Frente a ello, medidas como el Repositorio Metropolitano de Seguridad, el API Gateway y el GIS Inteligente apuntan a cerrar esas brechas y modernizar la respuesta institucional. En síntesis, los influencers no solo describen el contexto: explican por qué la Municipalidad Metropolitana de Lima necesita transformarse para proteger a sus vecinos y comerciantes frente a un problema que ya desborda la lógica operativa tradicional.</w:t>
      </w:r>
    </w:p>
    <w:p>
      <w:pPr>
        <w:pStyle w:val="Heading2"/>
        <w:spacing w:after="160" w:before="280"/>
      </w:pPr>
      <w:r>
        <w:rPr>
          <w:b/>
          <w:bCs/>
          <w:color w:val="9B1C1C"/>
          <w:sz w:val="24"/>
          <w:szCs w:val="24"/>
        </w:rPr>
        <w:t xml:space="preserve">6.4 Ends: Visión, Goals y Objectives</w:t>
      </w:r>
    </w:p>
    <w:p>
      <w:pPr>
        <w:spacing w:after="160" w:line="300"/>
        <w:jc w:val="both"/>
      </w:pPr>
      <w:r>
        <w:rPr>
          <w:sz w:val="22"/>
          <w:szCs w:val="22"/>
        </w:rPr>
        <w:t xml:space="preserve">En el Business Motivation Model, los Ends representan el estado deseado al que la organización quiere llegar. En el caso de la Municipalidad Metropolitana de Lima, esos fines se conectan directamente con el propósito de proteger a los vecinos y comerciantes de Lima frente a la extorsión, el sicariato y el cobro de cupos, y de recuperar la confianza ciudadana en la gestión municipal de la seguridad. Esto se alinea con el problema desarrollado al inicio del informe, donde la fragmentación de la información y la coordinación institucional deficiente evidencian que la MML necesita una respuesta más articulada, eficaz y medible.</w:t>
      </w:r>
    </w:p>
    <w:p>
      <w:pPr>
        <w:spacing w:after="160" w:line="300"/>
        <w:jc w:val="both"/>
      </w:pPr>
      <w:r>
        <w:rPr>
          <w:sz w:val="22"/>
          <w:szCs w:val="22"/>
        </w:rPr>
        <w:t xml:space="preserve">La visión institucional de la MML en esta materia se orienta hacia una ciudad con menor incidencia de extorsión y cobro de cupos, con mayor confianza vecinal y comercial en la gestión municipal. Desde esa perspectiva, el objetivo estratégico no es únicamente reducir el número de incidentes, sino fortalecer la capacidad de la municipalidad para prevenir, monitorear y responder de forma coordinada, integrando a Serenazgo, videovigilancia, fiscalización y participación vecinal bajo una arquitectura empresarial gobernada.</w:t>
      </w:r>
    </w:p>
    <w:p>
      <w:pPr>
        <w:spacing w:after="160" w:line="300"/>
        <w:jc w:val="both"/>
      </w:pPr>
      <w:r>
        <w:rPr>
          <w:sz w:val="22"/>
          <w:szCs w:val="22"/>
        </w:rPr>
        <w:t xml:space="preserve">Bajo esta lógica, los goals de la MML pueden entenderse como resultados cualitativos de mediano plazo: reducir la incidencia de extorsión y cobro de cupos percibida por vecinos y comerciantes, mejorar la confianza ciudadana en el Serenazgo y el Centro de Control y Monitoreo, y consolidar el gobierno de la Arquitectura Empresarial como práctica institucionalizada. A su vez, los objectives constituyen metas medibles y trazables hacia esos fines, aprobadas en la hoja de ruta de arquitectura sometida al Comité de AE: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5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Ref.</w:t>
            </w:r>
          </w:p>
        </w:tc>
        <w:tc>
          <w:tcPr>
            <w:tcW w:type="dxa" w:w="5400"/>
            <w:shd w:fill="1F3864" w:val="clear"/>
            <w:tcMar>
              <w:top w:type="dxa" w:w="80"/>
              <w:left w:type="dxa" w:w="100"/>
              <w:bottom w:type="dxa" w:w="80"/>
              <w:right w:type="dxa" w:w="100"/>
            </w:tcMar>
            <w:vAlign w:val="center"/>
          </w:tcPr>
          <w:p>
            <w:pPr>
              <w:jc w:val="left"/>
            </w:pPr>
            <w:r>
              <w:rPr>
                <w:b/>
                <w:bCs/>
                <w:color w:val="FFFFFF"/>
                <w:sz w:val="19"/>
                <w:szCs w:val="19"/>
              </w:rPr>
              <w:t xml:space="preserve">Objetivo (Ends medibles)</w:t>
            </w:r>
          </w:p>
        </w:tc>
        <w:tc>
          <w:tcPr>
            <w:tcW w:type="dxa" w:w="2500"/>
            <w:shd w:fill="1F3864" w:val="clear"/>
            <w:tcMar>
              <w:top w:type="dxa" w:w="80"/>
              <w:left w:type="dxa" w:w="100"/>
              <w:bottom w:type="dxa" w:w="80"/>
              <w:right w:type="dxa" w:w="100"/>
            </w:tcMar>
            <w:vAlign w:val="center"/>
          </w:tcPr>
          <w:p>
            <w:pPr>
              <w:jc w:val="left"/>
            </w:pPr>
            <w:r>
              <w:rPr>
                <w:b/>
                <w:bCs/>
                <w:color w:val="FFFFFF"/>
                <w:sz w:val="19"/>
                <w:szCs w:val="19"/>
              </w:rPr>
              <w:t xml:space="preserve">Meta asociada</w:t>
            </w:r>
          </w:p>
        </w:tc>
      </w:tr>
      <w:tr>
        <w:tc>
          <w:tcPr>
            <w:tcW w:type="dxa" w:w="1100"/>
            <w:tcMar>
              <w:top w:type="dxa" w:w="80"/>
              <w:left w:type="dxa" w:w="100"/>
              <w:bottom w:type="dxa" w:w="80"/>
              <w:right w:type="dxa" w:w="100"/>
            </w:tcMar>
            <w:vAlign w:val="center"/>
          </w:tcPr>
          <w:p>
            <w:pPr>
              <w:jc w:val="left"/>
            </w:pPr>
            <w:r>
              <w:rPr>
                <w:b w:val="false"/>
                <w:bCs w:val="false"/>
                <w:sz w:val="19"/>
                <w:szCs w:val="19"/>
              </w:rPr>
              <w:t xml:space="preserve">OBJ-01</w:t>
            </w:r>
          </w:p>
        </w:tc>
        <w:tc>
          <w:tcPr>
            <w:tcW w:type="dxa" w:w="5400"/>
            <w:tcMar>
              <w:top w:type="dxa" w:w="80"/>
              <w:left w:type="dxa" w:w="100"/>
              <w:bottom w:type="dxa" w:w="80"/>
              <w:right w:type="dxa" w:w="100"/>
            </w:tcMar>
            <w:vAlign w:val="center"/>
          </w:tcPr>
          <w:p>
            <w:pPr>
              <w:jc w:val="left"/>
            </w:pPr>
            <w:r>
              <w:rPr>
                <w:b w:val="false"/>
                <w:bCs w:val="false"/>
                <w:sz w:val="19"/>
                <w:szCs w:val="19"/>
              </w:rPr>
              <w:t xml:space="preserve">Garantizar una disponibilidad de la Plataforma Metropolitana de Seguridad ≥ 99,6 % medida.</w:t>
            </w:r>
          </w:p>
        </w:tc>
        <w:tc>
          <w:tcPr>
            <w:tcW w:type="dxa" w:w="2500"/>
            <w:tcMar>
              <w:top w:type="dxa" w:w="80"/>
              <w:left w:type="dxa" w:w="100"/>
              <w:bottom w:type="dxa" w:w="80"/>
              <w:right w:type="dxa" w:w="100"/>
            </w:tcMar>
            <w:vAlign w:val="center"/>
          </w:tcPr>
          <w:p>
            <w:pPr>
              <w:jc w:val="left"/>
            </w:pPr>
            <w:r>
              <w:rPr>
                <w:b w:val="false"/>
                <w:bCs w:val="false"/>
                <w:sz w:val="19"/>
                <w:szCs w:val="19"/>
              </w:rPr>
              <w:t xml:space="preserve">Continuidad de la atención de incidentes y videovigilancia.</w:t>
            </w:r>
          </w:p>
        </w:tc>
      </w:tr>
      <w:tr>
        <w:tc>
          <w:tcPr>
            <w:tcW w:type="dxa" w:w="1100"/>
            <w:tcMar>
              <w:top w:type="dxa" w:w="80"/>
              <w:left w:type="dxa" w:w="100"/>
              <w:bottom w:type="dxa" w:w="80"/>
              <w:right w:type="dxa" w:w="100"/>
            </w:tcMar>
            <w:vAlign w:val="center"/>
          </w:tcPr>
          <w:p>
            <w:pPr>
              <w:jc w:val="left"/>
            </w:pPr>
            <w:r>
              <w:rPr>
                <w:b w:val="false"/>
                <w:bCs w:val="false"/>
                <w:sz w:val="19"/>
                <w:szCs w:val="19"/>
              </w:rPr>
              <w:t xml:space="preserve">OBJ-02</w:t>
            </w:r>
          </w:p>
        </w:tc>
        <w:tc>
          <w:tcPr>
            <w:tcW w:type="dxa" w:w="5400"/>
            <w:tcMar>
              <w:top w:type="dxa" w:w="80"/>
              <w:left w:type="dxa" w:w="100"/>
              <w:bottom w:type="dxa" w:w="80"/>
              <w:right w:type="dxa" w:w="100"/>
            </w:tcMar>
            <w:vAlign w:val="center"/>
          </w:tcPr>
          <w:p>
            <w:pPr>
              <w:jc w:val="left"/>
            </w:pPr>
            <w:r>
              <w:rPr>
                <w:b w:val="false"/>
                <w:bCs w:val="false"/>
                <w:sz w:val="19"/>
                <w:szCs w:val="19"/>
              </w:rPr>
              <w:t xml:space="preserve">Reducir en 30 % el tiempo de atención al incidente reportado por vecinos y comerciantes en 24 meses.</w:t>
            </w:r>
          </w:p>
        </w:tc>
        <w:tc>
          <w:tcPr>
            <w:tcW w:type="dxa" w:w="2500"/>
            <w:tcMar>
              <w:top w:type="dxa" w:w="80"/>
              <w:left w:type="dxa" w:w="100"/>
              <w:bottom w:type="dxa" w:w="80"/>
              <w:right w:type="dxa" w:w="100"/>
            </w:tcMar>
            <w:vAlign w:val="center"/>
          </w:tcPr>
          <w:p>
            <w:pPr>
              <w:jc w:val="left"/>
            </w:pPr>
            <w:r>
              <w:rPr>
                <w:b w:val="false"/>
                <w:bCs w:val="false"/>
                <w:sz w:val="19"/>
                <w:szCs w:val="19"/>
              </w:rPr>
              <w:t xml:space="preserve">Mejorar la efectividad del patrullaje preventivo y la respuesta del Serenazgo.</w:t>
            </w:r>
          </w:p>
        </w:tc>
      </w:tr>
      <w:tr>
        <w:tc>
          <w:tcPr>
            <w:tcW w:type="dxa" w:w="1100"/>
            <w:tcMar>
              <w:top w:type="dxa" w:w="80"/>
              <w:left w:type="dxa" w:w="100"/>
              <w:bottom w:type="dxa" w:w="80"/>
              <w:right w:type="dxa" w:w="100"/>
            </w:tcMar>
            <w:vAlign w:val="center"/>
          </w:tcPr>
          <w:p>
            <w:pPr>
              <w:jc w:val="left"/>
            </w:pPr>
            <w:r>
              <w:rPr>
                <w:b w:val="false"/>
                <w:bCs w:val="false"/>
                <w:sz w:val="19"/>
                <w:szCs w:val="19"/>
              </w:rPr>
              <w:t xml:space="preserve">OBJ-03</w:t>
            </w:r>
          </w:p>
        </w:tc>
        <w:tc>
          <w:tcPr>
            <w:tcW w:type="dxa" w:w="5400"/>
            <w:tcMar>
              <w:top w:type="dxa" w:w="80"/>
              <w:left w:type="dxa" w:w="100"/>
              <w:bottom w:type="dxa" w:w="80"/>
              <w:right w:type="dxa" w:w="100"/>
            </w:tcMar>
            <w:vAlign w:val="center"/>
          </w:tcPr>
          <w:p>
            <w:pPr>
              <w:jc w:val="left"/>
            </w:pPr>
            <w:r>
              <w:rPr>
                <w:b w:val="false"/>
                <w:bCs w:val="false"/>
                <w:sz w:val="19"/>
                <w:szCs w:val="19"/>
              </w:rPr>
              <w:t xml:space="preserve">Mantener la duplicidad de datos del Repositorio Metropolitano de Seguridad por debajo del 2 %.</w:t>
            </w:r>
          </w:p>
        </w:tc>
        <w:tc>
          <w:tcPr>
            <w:tcW w:type="dxa" w:w="2500"/>
            <w:tcMar>
              <w:top w:type="dxa" w:w="80"/>
              <w:left w:type="dxa" w:w="100"/>
              <w:bottom w:type="dxa" w:w="80"/>
              <w:right w:type="dxa" w:w="100"/>
            </w:tcMar>
            <w:vAlign w:val="center"/>
          </w:tcPr>
          <w:p>
            <w:pPr>
              <w:jc w:val="left"/>
            </w:pPr>
            <w:r>
              <w:rPr>
                <w:b w:val="false"/>
                <w:bCs w:val="false"/>
                <w:sz w:val="19"/>
                <w:szCs w:val="19"/>
              </w:rPr>
              <w:t xml:space="preserve">Fuente única de información confiable para la toma de decisiones.</w:t>
            </w:r>
          </w:p>
        </w:tc>
      </w:tr>
      <w:tr>
        <w:tc>
          <w:tcPr>
            <w:tcW w:type="dxa" w:w="1100"/>
            <w:tcMar>
              <w:top w:type="dxa" w:w="80"/>
              <w:left w:type="dxa" w:w="100"/>
              <w:bottom w:type="dxa" w:w="80"/>
              <w:right w:type="dxa" w:w="100"/>
            </w:tcMar>
            <w:vAlign w:val="center"/>
          </w:tcPr>
          <w:p>
            <w:pPr>
              <w:jc w:val="left"/>
            </w:pPr>
            <w:r>
              <w:rPr>
                <w:b w:val="false"/>
                <w:bCs w:val="false"/>
                <w:sz w:val="19"/>
                <w:szCs w:val="19"/>
              </w:rPr>
              <w:t xml:space="preserve">OBJ-04</w:t>
            </w:r>
          </w:p>
        </w:tc>
        <w:tc>
          <w:tcPr>
            <w:tcW w:type="dxa" w:w="5400"/>
            <w:tcMar>
              <w:top w:type="dxa" w:w="80"/>
              <w:left w:type="dxa" w:w="100"/>
              <w:bottom w:type="dxa" w:w="80"/>
              <w:right w:type="dxa" w:w="100"/>
            </w:tcMar>
            <w:vAlign w:val="center"/>
          </w:tcPr>
          <w:p>
            <w:pPr>
              <w:jc w:val="left"/>
            </w:pPr>
            <w:r>
              <w:rPr>
                <w:b w:val="false"/>
                <w:bCs w:val="false"/>
                <w:sz w:val="19"/>
                <w:szCs w:val="19"/>
              </w:rPr>
              <w:t xml:space="preserve">Aprobar el alcance y la Hoja de Ruta de arquitectura ante el Comité de AE, con sponsor ejecutivo asignado.</w:t>
            </w:r>
          </w:p>
        </w:tc>
        <w:tc>
          <w:tcPr>
            <w:tcW w:type="dxa" w:w="2500"/>
            <w:tcMar>
              <w:top w:type="dxa" w:w="80"/>
              <w:left w:type="dxa" w:w="100"/>
              <w:bottom w:type="dxa" w:w="80"/>
              <w:right w:type="dxa" w:w="100"/>
            </w:tcMar>
            <w:vAlign w:val="center"/>
          </w:tcPr>
          <w:p>
            <w:pPr>
              <w:jc w:val="left"/>
            </w:pPr>
            <w:r>
              <w:rPr>
                <w:b w:val="false"/>
                <w:bCs w:val="false"/>
                <w:sz w:val="19"/>
                <w:szCs w:val="19"/>
              </w:rPr>
              <w:t xml:space="preserve">Institucionalizar el gobierno de la Arquitectura Empresarial.</w:t>
            </w:r>
          </w:p>
        </w:tc>
      </w:tr>
      <w:tr>
        <w:tc>
          <w:tcPr>
            <w:tcW w:type="dxa" w:w="1100"/>
            <w:tcMar>
              <w:top w:type="dxa" w:w="80"/>
              <w:left w:type="dxa" w:w="100"/>
              <w:bottom w:type="dxa" w:w="80"/>
              <w:right w:type="dxa" w:w="100"/>
            </w:tcMar>
            <w:vAlign w:val="center"/>
          </w:tcPr>
          <w:p>
            <w:pPr>
              <w:jc w:val="left"/>
            </w:pPr>
            <w:r>
              <w:rPr>
                <w:b w:val="false"/>
                <w:bCs w:val="false"/>
                <w:sz w:val="19"/>
                <w:szCs w:val="19"/>
              </w:rPr>
              <w:t xml:space="preserve">OBJ-05</w:t>
            </w:r>
          </w:p>
        </w:tc>
        <w:tc>
          <w:tcPr>
            <w:tcW w:type="dxa" w:w="5400"/>
            <w:tcMar>
              <w:top w:type="dxa" w:w="80"/>
              <w:left w:type="dxa" w:w="100"/>
              <w:bottom w:type="dxa" w:w="80"/>
              <w:right w:type="dxa" w:w="100"/>
            </w:tcMar>
            <w:vAlign w:val="center"/>
          </w:tcPr>
          <w:p>
            <w:pPr>
              <w:jc w:val="left"/>
            </w:pPr>
            <w:r>
              <w:rPr>
                <w:b w:val="false"/>
                <w:bCs w:val="false"/>
                <w:sz w:val="19"/>
                <w:szCs w:val="19"/>
              </w:rPr>
              <w:t xml:space="preserve">Integrar mediante API Gateway los sistemas de Serenazgo, videovigilancia y fiscalización con la PIDE y la PNP.</w:t>
            </w:r>
          </w:p>
        </w:tc>
        <w:tc>
          <w:tcPr>
            <w:tcW w:type="dxa" w:w="2500"/>
            <w:tcMar>
              <w:top w:type="dxa" w:w="80"/>
              <w:left w:type="dxa" w:w="100"/>
              <w:bottom w:type="dxa" w:w="80"/>
              <w:right w:type="dxa" w:w="100"/>
            </w:tcMar>
            <w:vAlign w:val="center"/>
          </w:tcPr>
          <w:p>
            <w:pPr>
              <w:jc w:val="left"/>
            </w:pPr>
            <w:r>
              <w:rPr>
                <w:b w:val="false"/>
                <w:bCs w:val="false"/>
                <w:sz w:val="19"/>
                <w:szCs w:val="19"/>
              </w:rPr>
              <w:t xml:space="preserve">Interoperabilidad institucional (D.L. N.° 1412, Ley N.° 27933).</w:t>
            </w:r>
          </w:p>
        </w:tc>
      </w:tr>
    </w:tbl>
    <w:p>
      <w:pPr>
        <w:spacing w:after="240" w:before="80"/>
        <w:jc w:val="center"/>
      </w:pPr>
      <w:r>
        <w:rPr>
          <w:i/>
          <w:iCs/>
          <w:color w:val="595959"/>
          <w:sz w:val="18"/>
          <w:szCs w:val="18"/>
        </w:rPr>
        <w:t xml:space="preserve">Tabla 6.1. Ends medibles — Modelo BMM de la Municipalidad Metropolitana de Lima.</w:t>
      </w:r>
    </w:p>
    <w:p>
      <w:pPr>
        <w:spacing w:after="160" w:line="300"/>
        <w:jc w:val="both"/>
      </w:pPr>
      <w:r>
        <w:rPr>
          <w:sz w:val="22"/>
          <w:szCs w:val="22"/>
        </w:rPr>
        <w:t xml:space="preserve">Así, la visión no queda en una declaración abstracta, sino que se traduce en resultados concretos y medibles que responden al problema central identificado en las primeras secciones del trabajo: la protección de vecinos y comerciantes frente a la extorsión, el sicariato y el cobro de cupos.</w:t>
      </w:r>
    </w:p>
    <w:p>
      <w:pPr>
        <w:pStyle w:val="Heading2"/>
        <w:spacing w:after="160" w:before="280"/>
      </w:pPr>
      <w:r>
        <w:rPr>
          <w:b/>
          <w:bCs/>
          <w:color w:val="9B1C1C"/>
          <w:sz w:val="24"/>
          <w:szCs w:val="24"/>
        </w:rPr>
        <w:t xml:space="preserve">6.5 Means: Misión, Estrategias, Tácticas, Políticas y Reglas de negocio</w:t>
      </w:r>
    </w:p>
    <w:p>
      <w:pPr>
        <w:spacing w:after="160" w:line="300"/>
        <w:jc w:val="both"/>
      </w:pPr>
      <w:r>
        <w:rPr>
          <w:sz w:val="22"/>
          <w:szCs w:val="22"/>
        </w:rPr>
        <w:t xml:space="preserve">Si los Ends explican el «para qué», los Means explican el «con qué» y el «cómo». En el caso de la Municipalidad Metropolitana de Lima, la misión institucional consiste en gobernar y administrar el territorio de la provincia de Lima promoviendo el desarrollo integral, sostenible e inclusivo de la ciudad, garantizando servicios públicos de calidad —entre ellos la seguridad ciudadana en el ámbito de su competencia— y la participación ciudadana activa. En el contexto de la extorsión y el cobro de cupos, esa misión se operacionaliza mediante la conducción del Serenazgo Metropolitano, la articulación con la Policía Nacional del Perú y el Ministerio Público, y la habilitación de canales de denuncia vecinal.</w:t>
      </w:r>
    </w:p>
    <w:p>
      <w:pPr>
        <w:spacing w:after="160" w:line="300"/>
        <w:jc w:val="both"/>
      </w:pPr>
      <w:r>
        <w:rPr>
          <w:sz w:val="22"/>
          <w:szCs w:val="22"/>
        </w:rPr>
        <w:t xml:space="preserve">A partir de esa misión se despliegan las estrategias, que son cursos de acción de mediano plazo orientados a cerrar las brechas descritas en el problema. Una primera estrategia es la consolidación de un Repositorio Metropolitano de Seguridad como fuente única de información, que elimine la duplicidad de registros entre Serenazgo, videovigilancia y fiscalización. Una segunda estrategia es la interoperabilidad mediante API Gateway, que habilite el intercambio seguro de información con la PIDE, la PNP y el Ministerio Público. Una tercera estrategia es la consolidación del gobierno de Arquitectura Empresarial, mediante el fortalecimiento del Comité de AE como ente rector de las decisiones tecnológicas. Finalmente, una estrategia clave es el desarrollo de inteligencia territorial predictiva, que permita anticipar zonas y horarios de mayor riesgo de extorsión y cobro de cupos.</w:t>
      </w:r>
    </w:p>
    <w:p>
      <w:pPr>
        <w:spacing w:after="160" w:line="300"/>
        <w:jc w:val="both"/>
      </w:pPr>
      <w:r>
        <w:rPr>
          <w:sz w:val="22"/>
          <w:szCs w:val="22"/>
        </w:rPr>
        <w:t xml:space="preserve">Las tácticas son la materialización concreta de esas estrategias. Aquí entran el despliegue del GIS Inteligente para la georreferenciación de incidentes, la implementación de la Aplicación Ciudadana para la recepción de alertas y denuncias, la puesta en marcha del Centro de Operaciones de Seguridad (SOC) con orquestación SIEM, y la priorización del patrullaje preventivo del Serenazgo según los mapas de riesgo generados por la Plataforma Analítica. También se incluye la derivación digital y trazable de casos sensibles hacia la Policía Nacional del Perú y el Ministerio Público, y la capacitación del personal de Serenazgo y del Centro de Control y Monitoreo en el uso de las nuevas herramientas.</w:t>
      </w:r>
    </w:p>
    <w:p>
      <w:pPr>
        <w:spacing w:after="160" w:line="300"/>
        <w:jc w:val="both"/>
      </w:pPr>
      <w:r>
        <w:rPr>
          <w:sz w:val="22"/>
          <w:szCs w:val="22"/>
        </w:rPr>
        <w:t xml:space="preserve">Las políticas de negocio, por su parte, definen cómo deben ejecutarse esas tácticas. Por ejemplo, la clasificación de la información del Repositorio Metropolitano de Seguridad, la auditoría de accesos, el cifrado de datos en tránsito y en reposo, y la obligación de cooperación interinstitucional con la PNP y el Ministerio Público son directrices que orientan el comportamiento institucional. Finalmente, las reglas de negocio constituyen el marco normativo obligatorio que regula todo el sistema: la Ley N.° 27972 (Ley Orgánica de Municipalidades), la Ley N.° 27933 (SINASEC), el D.L. N.° 1412 (Gobierno Digital), la Ley N.° 29733 (Protección de Datos Personales) y el estándar ISO/IEC 27001. En conjunto, estas reglas no solo ordenan la acción de la MML, sino que delimitan sus posibilidades reales de intervención frente a la extorsión, el sicariato y el cobro de cupos.</w:t>
      </w:r>
    </w:p>
    <w:p>
      <w:pPr>
        <w:pStyle w:val="Heading2"/>
        <w:spacing w:after="160" w:before="280"/>
      </w:pPr>
      <w:r>
        <w:rPr>
          <w:b/>
          <w:bCs/>
          <w:color w:val="9B1C1C"/>
          <w:sz w:val="24"/>
          <w:szCs w:val="24"/>
        </w:rPr>
        <w:t xml:space="preserve">6.6 Trazabilidad: del «por qué» al «cómo»</w:t>
      </w:r>
    </w:p>
    <w:p>
      <w:pPr>
        <w:spacing w:after="160" w:line="300"/>
        <w:jc w:val="both"/>
      </w:pPr>
      <w:r>
        <w:rPr>
          <w:sz w:val="22"/>
          <w:szCs w:val="22"/>
        </w:rPr>
        <w:t xml:space="preserve">La principal utilidad del BMM en este trabajo es que permite trazar la relación entre el problema identificado al inicio y la respuesta institucional diseñada para enfrentarlo. Esa trazabilidad conecta influencias, fines, medios, procesos y reglas, mostrando con claridad cómo una situación problemática como la extorsión, el sicariato y el cobro de cupos se transforma en decisiones estratégicas y operativas dentro de la Municipalidad Metropolitana de Lima. De esta forma, el modelo evita que la arquitectura empresarial se quede en una descripción formal y permite convertir el diagnóstico en acción concreta, medible y sujeta a la aprobación del Comité de AE.</w:t>
      </w:r>
    </w:p>
    <w:p>
      <w:pPr>
        <w:spacing w:after="160" w:line="300"/>
        <w:jc w:val="both"/>
      </w:pPr>
      <w:r>
        <w:rPr>
          <w:sz w:val="22"/>
          <w:szCs w:val="22"/>
        </w:rPr>
        <w:t xml:space="preserve">En el caso de la fragmentación de la información, por ejemplo, la débil integración entre Serenazgo, videovigilancia y fiscalización actúa como influencer negativo, porque limita la capacidad de priorizar el patrullaje preventivo en zonas de riesgo. Frente a ello, el End correspondiente es consolidar un dato único de incidente con duplicidad menor al 2 %. Ese objetivo se alcanza mediante la estrategia de un Repositorio Metropolitano de Seguridad y se concreta a través de un modelo de gobierno de datos y reglas de negocio que obligan al cumplimiento de la Ley N.° 29733. Así, el «por qué» de la acción está en la necesidad de cerrar la brecha de integración de información, y el «cómo» se expresa en el repositorio y las políticas de datos que lo hacen posible.</w:t>
      </w:r>
    </w:p>
    <w:p>
      <w:pPr>
        <w:spacing w:after="160" w:line="300"/>
        <w:jc w:val="both"/>
      </w:pPr>
      <w:r>
        <w:rPr>
          <w:sz w:val="22"/>
          <w:szCs w:val="22"/>
        </w:rPr>
        <w:t xml:space="preserve">De manera similar, la coordinación institucional deficiente con la PNP y el Ministerio Público se explica por la ausencia de protocolos digitales de intercambio. El fin institucional, entonces, es habilitar canales seguros y trazables de derivación de casos. Ese fin se concreta mediante la estrategia de interoperabilidad vía API Gateway, la táctica de conectividad segura con la PIDE, y las políticas de auditoría de accesos y cifrado. Aquí también se ve la lógica BMM: una influencia concreta genera una evaluación, la evaluación redefine el objetivo, y el objetivo se traduce en procesos y reglas específicas.</w:t>
      </w:r>
    </w:p>
    <w:p>
      <w:pPr>
        <w:spacing w:after="160" w:line="300"/>
        <w:jc w:val="both"/>
      </w:pPr>
      <w:r>
        <w:rPr>
          <w:sz w:val="22"/>
          <w:szCs w:val="22"/>
        </w:rPr>
        <w:t xml:space="preserve">Algo similar ocurre con la analítica de seguridad reactiva. La dificultad para anticipar patrones de extorsión y cobro de cupos revela una debilidad crítica en la capacidad de la MML para priorizar recursos limitados. Por ello, el objetivo no es solo atender incidentes, sino anticiparlos mediante inteligencia territorial. La estrategia correspondiente es el desarrollo de capacidades predictivas, mientras que la táctica consiste en desplegar el GIS Inteligente y la Plataforma Analítica que orienten el patrullaje preventivo del Serenazgo Metropolitano hacia las zonas de mayor riesgo para vecinos y comerciantes.</w:t>
      </w:r>
    </w:p>
    <w:p>
      <w:r>
        <w:br w:type="page"/>
      </w:r>
    </w:p>
    <w:p>
      <w:pPr>
        <w:pStyle w:val="Heading1"/>
        <w:spacing w:after="200" w:before="360"/>
      </w:pPr>
      <w:r>
        <w:rPr>
          <w:b/>
          <w:bCs/>
          <w:color w:val="1F3864"/>
          <w:sz w:val="28"/>
          <w:szCs w:val="28"/>
        </w:rPr>
        <w:t xml:space="preserve">7. Conclusiones</w:t>
      </w:r>
    </w:p>
    <w:p>
      <w:pPr>
        <w:pStyle w:val="ListParagraph"/>
        <w:numPr>
          <w:ilvl w:val="0"/>
          <w:numId w:val="2"/>
        </w:numPr>
        <w:spacing w:after="100" w:line="280"/>
      </w:pPr>
      <w:r>
        <w:rPr>
          <w:b/>
          <w:bCs/>
          <w:sz w:val="21"/>
          <w:szCs w:val="21"/>
        </w:rPr>
        <w:t xml:space="preserve">1.</w:t>
      </w:r>
      <w:r>
        <w:rPr>
          <w:sz w:val="21"/>
          <w:szCs w:val="21"/>
        </w:rPr>
        <w:t xml:space="preserve"> La inseguridad ciudadana en el Perú no puede entenderse como un hecho aislado, sino como un problema estructural que, en el caso de la Municipalidad Metropolitana de Lima, se expresa con particular intensidad a través de la extorsión, el sicariato y el cobro de cupos. Estas modalidades afectan de manera directa a los vecinos y comerciantes de la ciudad y erosionan la confianza en la gestión municipal.</w:t>
      </w:r>
    </w:p>
    <w:p>
      <w:pPr>
        <w:pStyle w:val="ListParagraph"/>
        <w:numPr>
          <w:ilvl w:val="0"/>
          <w:numId w:val="2"/>
        </w:numPr>
        <w:spacing w:after="100" w:line="280"/>
      </w:pPr>
      <w:r>
        <w:rPr>
          <w:b/>
          <w:bCs/>
          <w:sz w:val="21"/>
          <w:szCs w:val="21"/>
        </w:rPr>
        <w:t xml:space="preserve">2.</w:t>
      </w:r>
      <w:r>
        <w:rPr>
          <w:sz w:val="21"/>
          <w:szCs w:val="21"/>
        </w:rPr>
        <w:t xml:space="preserve"> El árbol de problemas permite ver con claridad que el avance de estas modalidades delictivas responde tanto a causas estructurales —densidad urbana, informalidad, baja madurez institucional en Arquitectura Empresarial— como a causas directas de naturaleza institucional: fragmentación de la información, coordinación manual con la PNP, ausencia de gobierno de arquitectura y analítica reactiva.</w:t>
      </w:r>
    </w:p>
    <w:p>
      <w:pPr>
        <w:pStyle w:val="ListParagraph"/>
        <w:numPr>
          <w:ilvl w:val="0"/>
          <w:numId w:val="2"/>
        </w:numPr>
        <w:spacing w:after="100" w:line="280"/>
      </w:pPr>
      <w:r>
        <w:rPr>
          <w:b/>
          <w:bCs/>
          <w:sz w:val="21"/>
          <w:szCs w:val="21"/>
        </w:rPr>
        <w:t xml:space="preserve">3.</w:t>
      </w:r>
      <w:r>
        <w:rPr>
          <w:sz w:val="21"/>
          <w:szCs w:val="21"/>
        </w:rPr>
        <w:t xml:space="preserve"> La Arquitectura Empresarial de la Municipalidad Metropolitana de Lima evidencia que la organización actual todavía funciona con una lógica fragmentada y reactiva en materia de seguridad ciudadana, lo que dificulta responder con rapidez y coordinación frente a la extorsión y el cobro de cupos. Por eso, la propuesta de transición hacia un modelo más integrado, interoperable y orientado a la privacidad por diseño resulta necesaria para mejorar la atención de incidentes, la gestión de información y la inteligencia territorial.</w:t>
      </w:r>
    </w:p>
    <w:p>
      <w:pPr>
        <w:pStyle w:val="ListParagraph"/>
        <w:numPr>
          <w:ilvl w:val="0"/>
          <w:numId w:val="2"/>
        </w:numPr>
        <w:spacing w:after="100" w:line="280"/>
      </w:pPr>
      <w:r>
        <w:rPr>
          <w:b/>
          <w:bCs/>
          <w:sz w:val="21"/>
          <w:szCs w:val="21"/>
        </w:rPr>
        <w:t xml:space="preserve">4.</w:t>
      </w:r>
      <w:r>
        <w:rPr>
          <w:sz w:val="21"/>
          <w:szCs w:val="21"/>
        </w:rPr>
        <w:t xml:space="preserve"> El modelo BMM permite ordenar de forma lógica la estructura de la MML frente a este problema: unidades organizacionales, procesos, reglas de negocio, stakeholders e influencers. Esta mirada muestra que la lucha contra la extorsión y el cobro de cupos no depende solo del Serenazgo Metropolitano, sino también de la alta dirección, la Gerencia de Tecnologías de la Información, la Gerencia de Fiscalización, la Gerencia de Participación Vecinal y actores externos como la Policía Nacional del Perú, el Ministerio Público y la propia ciudadanía.</w:t>
      </w:r>
    </w:p>
    <w:p>
      <w:pPr>
        <w:pStyle w:val="ListParagraph"/>
        <w:numPr>
          <w:ilvl w:val="0"/>
          <w:numId w:val="2"/>
        </w:numPr>
        <w:spacing w:after="100" w:line="280"/>
      </w:pPr>
      <w:r>
        <w:rPr>
          <w:b/>
          <w:bCs/>
          <w:sz w:val="21"/>
          <w:szCs w:val="21"/>
        </w:rPr>
        <w:t xml:space="preserve">5.</w:t>
      </w:r>
      <w:r>
        <w:rPr>
          <w:sz w:val="21"/>
          <w:szCs w:val="21"/>
        </w:rPr>
        <w:t xml:space="preserve"> Los stakeholders e influencers condicionan directamente la capacidad institucional de la MML. Factores como la baja madurez de Arquitectura Empresarial (nivel 1 de 5), la débil integración de sistemas, el presupuesto público limitado y la presión mediática influyen en la forma en que la institución decide, ejecuta y evalúa su respuesta. En ese sentido, el assessment no solo diagnostica problemas: también justifica cambios en gobierno, tecnología y recursos.</w:t>
      </w:r>
    </w:p>
    <w:p>
      <w:pPr>
        <w:pStyle w:val="ListParagraph"/>
        <w:numPr>
          <w:ilvl w:val="0"/>
          <w:numId w:val="2"/>
        </w:numPr>
        <w:spacing w:after="100" w:line="280"/>
      </w:pPr>
      <w:r>
        <w:rPr>
          <w:b/>
          <w:bCs/>
          <w:sz w:val="21"/>
          <w:szCs w:val="21"/>
        </w:rPr>
        <w:t xml:space="preserve">6.</w:t>
      </w:r>
      <w:r>
        <w:rPr>
          <w:sz w:val="21"/>
          <w:szCs w:val="21"/>
        </w:rPr>
        <w:t xml:space="preserve"> La principal utilidad del BMM en este trabajo es la trazabilidad. El modelo permite conectar de manera reversible las influencias con los fines, y los fines con los medios, mostrando por qué existen ciertos procesos, reglas y responsabilidades. Esa trazabilidad es lo que convierte la propuesta de arquitectura —Repositorio Metropolitano de Seguridad, API Gateway, GIS Inteligente y gobierno de Arquitectura Empresarial— en algo ejecutable, medible y sujeto a la aprobación del Comité de AE, evitando que la arquitectura empresarial se reduzca a un dibujo bonito sin impacto real para los vecinos y comerciantes de Lima.</w:t>
      </w:r>
    </w:p>
    <w:p>
      <w:r>
        <w:br w:type="page"/>
      </w:r>
    </w:p>
    <w:p>
      <w:pPr>
        <w:pStyle w:val="Heading1"/>
        <w:spacing w:after="200" w:before="360"/>
      </w:pPr>
      <w:r>
        <w:rPr>
          <w:b/>
          <w:bCs/>
          <w:color w:val="1F3864"/>
          <w:sz w:val="28"/>
          <w:szCs w:val="28"/>
        </w:rPr>
        <w:t xml:space="preserve">8. Referencias Bibliográficas</w:t>
      </w:r>
    </w:p>
    <w:p>
      <w:pPr>
        <w:pStyle w:val="ListParagraph"/>
        <w:numPr>
          <w:ilvl w:val="0"/>
          <w:numId w:val="3"/>
        </w:numPr>
        <w:spacing w:after="140" w:line="280"/>
      </w:pPr>
      <w:r>
        <w:rPr>
          <w:sz w:val="20"/>
          <w:szCs w:val="20"/>
        </w:rPr>
        <w:t xml:space="preserve">Congreso de la República del Perú. (2003). Ley N.° 27933, Ley del Sistema Nacional de Seguridad Ciudadana. Plataforma del Estado Peruano. https://www.gob.pe/institucion/congreso-de-la-republica/normas-legales/331205-27933</w:t>
      </w:r>
    </w:p>
    <w:p>
      <w:pPr>
        <w:pStyle w:val="ListParagraph"/>
        <w:numPr>
          <w:ilvl w:val="0"/>
          <w:numId w:val="3"/>
        </w:numPr>
        <w:spacing w:after="140" w:line="280"/>
      </w:pPr>
      <w:r>
        <w:rPr>
          <w:sz w:val="20"/>
          <w:szCs w:val="20"/>
        </w:rPr>
        <w:t xml:space="preserve">Congreso de la República del Perú. (2003). Ley N.° 27972, Ley Orgánica de Municipalidades.</w:t>
      </w:r>
    </w:p>
    <w:p>
      <w:pPr>
        <w:pStyle w:val="ListParagraph"/>
        <w:numPr>
          <w:ilvl w:val="0"/>
          <w:numId w:val="3"/>
        </w:numPr>
        <w:spacing w:after="140" w:line="280"/>
      </w:pPr>
      <w:r>
        <w:rPr>
          <w:sz w:val="20"/>
          <w:szCs w:val="20"/>
        </w:rPr>
        <w:t xml:space="preserve">Congreso de la República del Perú. (2011). Ley N.° 29733, Ley de Protección de Datos Personales.</w:t>
      </w:r>
    </w:p>
    <w:p>
      <w:pPr>
        <w:pStyle w:val="ListParagraph"/>
        <w:numPr>
          <w:ilvl w:val="0"/>
          <w:numId w:val="3"/>
        </w:numPr>
        <w:spacing w:after="140" w:line="280"/>
      </w:pPr>
      <w:r>
        <w:rPr>
          <w:sz w:val="20"/>
          <w:szCs w:val="20"/>
        </w:rPr>
        <w:t xml:space="preserve">Presidencia del Consejo de Ministros. (2018). Decreto Legislativo N.° 1412, Decreto Legislativo que aprueba la Ley de Gobierno Digital. Plataforma del Estado Peruano. https://www.gob.pe/institucion/pcm/normas-legales/289706-1412</w:t>
      </w:r>
    </w:p>
    <w:p>
      <w:pPr>
        <w:pStyle w:val="ListParagraph"/>
        <w:numPr>
          <w:ilvl w:val="0"/>
          <w:numId w:val="3"/>
        </w:numPr>
        <w:spacing w:after="140" w:line="280"/>
      </w:pPr>
      <w:r>
        <w:rPr>
          <w:sz w:val="20"/>
          <w:szCs w:val="20"/>
        </w:rPr>
        <w:t xml:space="preserve">Presidencia del Consejo de Ministros — Secretaría de Gobierno y Transformación Digital (SGTD). Marco de Arquitectura Digital del Estado Peruano (MADE).</w:t>
      </w:r>
    </w:p>
    <w:p>
      <w:pPr>
        <w:pStyle w:val="ListParagraph"/>
        <w:numPr>
          <w:ilvl w:val="0"/>
          <w:numId w:val="3"/>
        </w:numPr>
        <w:spacing w:after="140" w:line="280"/>
      </w:pPr>
      <w:r>
        <w:rPr>
          <w:sz w:val="20"/>
          <w:szCs w:val="20"/>
        </w:rPr>
        <w:t xml:space="preserve">Instituto Nacional de Estadística e Informática (INEI). (2025). Estadísticas de seguridad ciudadana, semestre móvil diciembre 2024–mayo 2025.</w:t>
      </w:r>
    </w:p>
    <w:p>
      <w:pPr>
        <w:pStyle w:val="ListParagraph"/>
        <w:numPr>
          <w:ilvl w:val="0"/>
          <w:numId w:val="3"/>
        </w:numPr>
        <w:spacing w:after="140" w:line="280"/>
      </w:pPr>
      <w:r>
        <w:rPr>
          <w:sz w:val="20"/>
          <w:szCs w:val="20"/>
        </w:rPr>
        <w:t xml:space="preserve">Canal N. (2025). Reporte sobre tasa de homicidios en el Perú.</w:t>
      </w:r>
    </w:p>
    <w:p>
      <w:pPr>
        <w:pStyle w:val="ListParagraph"/>
        <w:numPr>
          <w:ilvl w:val="0"/>
          <w:numId w:val="3"/>
        </w:numPr>
        <w:spacing w:after="140" w:line="280"/>
      </w:pPr>
      <w:r>
        <w:rPr>
          <w:sz w:val="20"/>
          <w:szCs w:val="20"/>
        </w:rPr>
        <w:t xml:space="preserve">Municipalidad Metropolitana de Lima — Equipo de Arquitectura Empresarial. (2026). Organizational Model for Enterprise Architecture — MML (Fase Preliminar).</w:t>
      </w:r>
    </w:p>
    <w:p>
      <w:pPr>
        <w:pStyle w:val="ListParagraph"/>
        <w:numPr>
          <w:ilvl w:val="0"/>
          <w:numId w:val="3"/>
        </w:numPr>
        <w:spacing w:after="140" w:line="280"/>
      </w:pPr>
      <w:r>
        <w:rPr>
          <w:sz w:val="20"/>
          <w:szCs w:val="20"/>
        </w:rPr>
        <w:t xml:space="preserve">Municipalidad Metropolitana de Lima — Equipo de Arquitectura Empresarial. (2026). Documento de Definición de Arquitectura — Fase C: Sistemas de Información (Datos y Aplicaciones).</w:t>
      </w:r>
    </w:p>
    <w:p>
      <w:pPr>
        <w:pStyle w:val="ListParagraph"/>
        <w:numPr>
          <w:ilvl w:val="0"/>
          <w:numId w:val="3"/>
        </w:numPr>
        <w:spacing w:after="140" w:line="280"/>
      </w:pPr>
      <w:r>
        <w:rPr>
          <w:sz w:val="20"/>
          <w:szCs w:val="20"/>
        </w:rPr>
        <w:t xml:space="preserve">Municipalidad Metropolitana de Lima — Equipo de Arquitectura Empresarial. (2026). Documento de Definición de Arquitectura — Fase D: Arquitectura de Tecnología.</w:t>
      </w:r>
    </w:p>
    <w:p>
      <w:pPr>
        <w:pStyle w:val="ListParagraph"/>
        <w:numPr>
          <w:ilvl w:val="0"/>
          <w:numId w:val="3"/>
        </w:numPr>
        <w:spacing w:after="140" w:line="280"/>
      </w:pPr>
      <w:r>
        <w:rPr>
          <w:sz w:val="20"/>
          <w:szCs w:val="20"/>
        </w:rPr>
        <w:t xml:space="preserve">Municipalidad Metropolitana de Lima — Equipo de Arquitectura Empresarial. (2026). Hoja de Ruta de Arquitectura — Fase C.</w:t>
      </w:r>
    </w:p>
    <w:p>
      <w:pPr>
        <w:pStyle w:val="ListParagraph"/>
        <w:numPr>
          <w:ilvl w:val="0"/>
          <w:numId w:val="3"/>
        </w:numPr>
        <w:spacing w:after="140" w:line="280"/>
      </w:pPr>
      <w:r>
        <w:rPr>
          <w:sz w:val="20"/>
          <w:szCs w:val="20"/>
        </w:rPr>
        <w:t xml:space="preserve">The Open Group. (2018). TOGAF® Version 9.2 — Business Motivation Model.</w:t>
      </w:r>
    </w:p>
    <w:p>
      <w:pPr>
        <w:pStyle w:val="ListParagraph"/>
        <w:numPr>
          <w:ilvl w:val="0"/>
          <w:numId w:val="3"/>
        </w:numPr>
        <w:spacing w:after="140" w:line="280"/>
      </w:pPr>
      <w:r>
        <w:rPr>
          <w:sz w:val="20"/>
          <w:szCs w:val="20"/>
        </w:rPr>
        <w:t xml:space="preserve">International Organization for Standardization. ISO/IEC 27001 — Information security management systems.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Modelo BMM — Municipalidad Metropolitana de Lima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2026-07-03T22:15:50.838Z</dcterms:created>
  <dcterms:modified xsi:type="dcterms:W3CDTF">2026-07-03T22:15:50.850Z</dcterms:modified>
</cp:coreProperties>
</file>

<file path=docProps/custom.xml><?xml version="1.0" encoding="utf-8"?>
<Properties xmlns="http://schemas.openxmlformats.org/officeDocument/2006/custom-properties" xmlns:vt="http://schemas.openxmlformats.org/officeDocument/2006/docPropsVTypes"/>
</file>