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286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561975"/>
                    </a:xfrm>
                    <a:prstGeom prst="rect">
                      <a:avLst/>
                    </a:prstGeom>
                  </pic:spPr>
                </pic:pic>
              </a:graphicData>
            </a:graphic>
          </wp:inline>
        </w:drawing>
      </w:r>
    </w:p>
    <w:p/>
    <w:p/>
    <w:p/>
    <w:p/>
    <w:p/>
    <w:p/>
    <w:p/>
    <w:p/>
    <w:p/>
    <w:p/>
    <w:p>
      <w:pPr>
        <w:spacing w:after="0" w:line="276"/>
        <w:ind w:left="2880"/>
      </w:pPr>
      <w:r>
        <w:rPr>
          <w:rFonts w:ascii="Arial" w:cs="Arial" w:eastAsia="Arial" w:hAnsi="Arial"/>
          <w:b/>
          <w:bCs/>
          <w:sz w:val="40"/>
          <w:szCs w:val="40"/>
        </w:rPr>
        <w:t xml:space="preserve">Architecture Principles</w:t>
      </w:r>
    </w:p>
    <w:p>
      <w:pPr>
        <w:spacing w:after="0" w:line="276"/>
        <w:ind w:left="2880"/>
      </w:pPr>
      <w:r>
        <w:rPr>
          <w:rFonts w:ascii="Arial" w:cs="Arial" w:eastAsia="Arial" w:hAnsi="Arial"/>
          <w:b/>
          <w:bCs/>
          <w:sz w:val="40"/>
          <w:szCs w:val="40"/>
        </w:rPr>
        <w:t xml:space="preserve">Municipalidad Metropolitana de Lima</w:t>
      </w:r>
    </w:p>
    <w:p>
      <w:pPr>
        <w:spacing w:after="0" w:line="276"/>
        <w:ind w:left="2880"/>
      </w:pPr>
      <w:r>
        <w:rPr>
          <w:rFonts w:ascii="Arial" w:cs="Arial" w:eastAsia="Arial" w:hAnsi="Arial"/>
          <w:b/>
          <w:bCs/>
          <w:sz w:val="40"/>
          <w:szCs w:val="40"/>
        </w:rPr>
        <w:t xml:space="preserve">Cliente: Municipalidad Metropolitana de Lima</w:t>
      </w:r>
    </w:p>
    <w:p>
      <w:r>
        <w:br w:type="page"/>
      </w:r>
    </w:p>
    <w:p>
      <w:pPr>
        <w:spacing w:after="200"/>
      </w:pPr>
      <w:r>
        <w:rPr>
          <w:rFonts w:ascii="Arial" w:cs="Arial" w:eastAsia="Arial" w:hAnsi="Arial"/>
          <w:b/>
          <w:bCs/>
          <w:sz w:val="28"/>
          <w:szCs w:val="28"/>
        </w:rPr>
        <w:t xml:space="preserve">Table of Contents</w:t>
      </w:r>
    </w:p>
    <w:p>
      <w:pPr>
        <w:tabs>
          <w:tab w:val="right" w:pos="9350" w:leader="dot"/>
        </w:tabs>
        <w:spacing w:after="60" w:line="300"/>
      </w:pPr>
      <w:r>
        <w:rPr>
          <w:rFonts w:ascii="Arial" w:cs="Arial" w:eastAsia="Arial" w:hAnsi="Arial"/>
          <w:b/>
          <w:bCs/>
          <w:sz w:val="22"/>
          <w:szCs w:val="22"/>
        </w:rPr>
        <w:t xml:space="preserve">1  Document Purpose</w:t>
      </w:r>
      <w:r>
        <w:rPr>
          <w:rFonts w:ascii="Arial" w:cs="Arial" w:eastAsia="Arial" w:hAnsi="Arial"/>
          <w:b/>
          <w:bCs/>
          <w:sz w:val="22"/>
          <w:szCs w:val="22"/>
        </w:rPr>
        <w:tab/>
        <w:t xml:space="preserve">4</w:t>
      </w:r>
    </w:p>
    <w:p>
      <w:pPr>
        <w:tabs>
          <w:tab w:val="right" w:pos="9350" w:leader="dot"/>
        </w:tabs>
        <w:spacing w:after="60" w:line="300"/>
      </w:pPr>
      <w:r>
        <w:rPr>
          <w:rFonts w:ascii="Arial" w:cs="Arial" w:eastAsia="Arial" w:hAnsi="Arial"/>
          <w:b/>
          <w:bCs/>
          <w:sz w:val="22"/>
          <w:szCs w:val="22"/>
        </w:rPr>
        <w:t xml:space="preserve">2  Principle Template</w:t>
      </w:r>
      <w:r>
        <w:rPr>
          <w:rFonts w:ascii="Arial" w:cs="Arial" w:eastAsia="Arial" w:hAnsi="Arial"/>
          <w:b/>
          <w:bCs/>
          <w:sz w:val="22"/>
          <w:szCs w:val="22"/>
        </w:rPr>
        <w:tab/>
        <w:t xml:space="preserve">4</w:t>
      </w:r>
    </w:p>
    <w:p>
      <w:pPr>
        <w:tabs>
          <w:tab w:val="right" w:pos="9350" w:leader="dot"/>
        </w:tabs>
        <w:spacing w:after="60" w:line="300"/>
      </w:pPr>
      <w:r>
        <w:rPr>
          <w:rFonts w:ascii="Arial" w:cs="Arial" w:eastAsia="Arial" w:hAnsi="Arial"/>
          <w:b/>
          <w:bCs/>
          <w:sz w:val="22"/>
          <w:szCs w:val="22"/>
        </w:rPr>
        <w:t xml:space="preserve">3  Summary of Principles</w:t>
      </w:r>
      <w:r>
        <w:rPr>
          <w:rFonts w:ascii="Arial" w:cs="Arial" w:eastAsia="Arial" w:hAnsi="Arial"/>
          <w:b/>
          <w:bCs/>
          <w:sz w:val="22"/>
          <w:szCs w:val="22"/>
        </w:rPr>
        <w:tab/>
        <w:t xml:space="preserve">5</w:t>
      </w:r>
    </w:p>
    <w:p>
      <w:pPr>
        <w:tabs>
          <w:tab w:val="right" w:pos="9350" w:leader="dot"/>
        </w:tabs>
        <w:spacing w:after="60" w:line="300"/>
      </w:pPr>
      <w:r>
        <w:rPr>
          <w:rFonts w:ascii="Arial" w:cs="Arial" w:eastAsia="Arial" w:hAnsi="Arial"/>
          <w:b/>
          <w:bCs/>
          <w:sz w:val="22"/>
          <w:szCs w:val="22"/>
        </w:rPr>
        <w:t xml:space="preserve">4  Business Principles</w:t>
      </w:r>
      <w:r>
        <w:rPr>
          <w:rFonts w:ascii="Arial" w:cs="Arial" w:eastAsia="Arial" w:hAnsi="Arial"/>
          <w:b/>
          <w:bCs/>
          <w:sz w:val="22"/>
          <w:szCs w:val="22"/>
        </w:rPr>
        <w:tab/>
        <w:t xml:space="preserve">6</w:t>
      </w:r>
    </w:p>
    <w:p>
      <w:pPr>
        <w:tabs>
          <w:tab w:val="right" w:pos="9350" w:leader="dot"/>
        </w:tabs>
        <w:spacing w:after="60" w:line="300"/>
      </w:pPr>
      <w:r>
        <w:rPr>
          <w:rFonts w:ascii="Arial" w:cs="Arial" w:eastAsia="Arial" w:hAnsi="Arial"/>
          <w:b/>
          <w:bCs/>
          <w:sz w:val="22"/>
          <w:szCs w:val="22"/>
        </w:rPr>
        <w:t xml:space="preserve">5  Data Principles</w:t>
      </w:r>
      <w:r>
        <w:rPr>
          <w:rFonts w:ascii="Arial" w:cs="Arial" w:eastAsia="Arial" w:hAnsi="Arial"/>
          <w:b/>
          <w:bCs/>
          <w:sz w:val="22"/>
          <w:szCs w:val="22"/>
        </w:rPr>
        <w:tab/>
        <w:t xml:space="preserve">7</w:t>
      </w:r>
    </w:p>
    <w:p>
      <w:pPr>
        <w:tabs>
          <w:tab w:val="right" w:pos="9350" w:leader="dot"/>
        </w:tabs>
        <w:spacing w:after="60" w:line="300"/>
      </w:pPr>
      <w:r>
        <w:rPr>
          <w:rFonts w:ascii="Arial" w:cs="Arial" w:eastAsia="Arial" w:hAnsi="Arial"/>
          <w:b/>
          <w:bCs/>
          <w:sz w:val="22"/>
          <w:szCs w:val="22"/>
        </w:rPr>
        <w:t xml:space="preserve">6  Application Principles</w:t>
      </w:r>
      <w:r>
        <w:rPr>
          <w:rFonts w:ascii="Arial" w:cs="Arial" w:eastAsia="Arial" w:hAnsi="Arial"/>
          <w:b/>
          <w:bCs/>
          <w:sz w:val="22"/>
          <w:szCs w:val="22"/>
        </w:rPr>
        <w:tab/>
        <w:t xml:space="preserve">9</w:t>
      </w:r>
    </w:p>
    <w:p>
      <w:pPr>
        <w:tabs>
          <w:tab w:val="right" w:pos="9350" w:leader="dot"/>
        </w:tabs>
        <w:spacing w:after="60" w:line="300"/>
      </w:pPr>
      <w:r>
        <w:rPr>
          <w:rFonts w:ascii="Arial" w:cs="Arial" w:eastAsia="Arial" w:hAnsi="Arial"/>
          <w:b/>
          <w:bCs/>
          <w:sz w:val="22"/>
          <w:szCs w:val="22"/>
        </w:rPr>
        <w:t xml:space="preserve">7  Technology Principles</w:t>
      </w:r>
      <w:r>
        <w:rPr>
          <w:rFonts w:ascii="Arial" w:cs="Arial" w:eastAsia="Arial" w:hAnsi="Arial"/>
          <w:b/>
          <w:bCs/>
          <w:sz w:val="22"/>
          <w:szCs w:val="22"/>
        </w:rPr>
        <w:tab/>
        <w:t xml:space="preserve">10</w:t>
      </w:r>
    </w:p>
    <w:p>
      <w:r>
        <w:br w:type="page"/>
      </w:r>
    </w:p>
    <w:p>
      <w:pPr>
        <w:spacing w:after="80" w:before="200"/>
      </w:pPr>
      <w:r>
        <w:rPr>
          <w:rFonts w:ascii="Arial" w:cs="Arial" w:eastAsia="Arial" w:hAnsi="Arial"/>
          <w:b/>
          <w:bCs/>
          <w:sz w:val="20"/>
          <w:szCs w:val="20"/>
        </w:rPr>
        <w:t xml:space="preserve">Document Information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2520"/>
        <w:gridCol w:w="2160"/>
        <w:gridCol w:w="2520"/>
      </w:tblGrid>
      <w:tr>
        <w:tc>
          <w:tcPr>
            <w:tcW w:type="dxa" w:w="2160"/>
            <w:vAlign w:val="center"/>
          </w:tcPr>
          <w:p>
            <w:pPr>
              <w:spacing w:after="20" w:before="20" w:line="252"/>
              <w:jc w:val="right"/>
            </w:pPr>
            <w:r>
              <w:rPr>
                <w:rFonts w:ascii="Arial" w:cs="Arial" w:eastAsia="Arial" w:hAnsi="Arial"/>
                <w:b/>
                <w:bCs/>
                <w:i w:val="false"/>
                <w:iCs w:val="false"/>
                <w:sz w:val="20"/>
                <w:szCs w:val="20"/>
              </w:rPr>
              <w:t xml:space="preserve">Project Name:</w:t>
            </w:r>
          </w:p>
        </w:tc>
        <w:tc>
          <w:tcPr>
            <w:tcW w:type="dxa" w:w="7200"/>
            <w:gridSpan w:val="3"/>
          </w:tcPr>
          <w:p>
            <w:pPr>
              <w:spacing w:after="20" w:before="20"/>
            </w:pPr>
            <w:r>
              <w:rPr>
                <w:rFonts w:ascii="Arial" w:cs="Arial" w:eastAsia="Arial" w:hAnsi="Arial"/>
                <w:sz w:val="20"/>
                <w:szCs w:val="20"/>
              </w:rPr>
              <w:t xml:space="preserve">Aplicación de TOGAF a la Municipalidad Metropolitana de Lima</w:t>
            </w:r>
          </w:p>
        </w:tc>
      </w:tr>
      <w:tr>
        <w:tc>
          <w:tcPr>
            <w:tcW w:type="dxa" w:w="2160"/>
            <w:vAlign w:val="center"/>
          </w:tcPr>
          <w:p>
            <w:pPr>
              <w:spacing w:after="20" w:before="20" w:line="252"/>
              <w:jc w:val="right"/>
            </w:pPr>
            <w:r>
              <w:rPr>
                <w:rFonts w:ascii="Arial" w:cs="Arial" w:eastAsia="Arial" w:hAnsi="Arial"/>
                <w:b/>
                <w:bCs/>
                <w:i w:val="false"/>
                <w:iCs w:val="false"/>
                <w:sz w:val="20"/>
                <w:szCs w:val="20"/>
              </w:rPr>
              <w:t xml:space="preserve">Prepared By:</w:t>
            </w:r>
          </w:p>
        </w:tc>
        <w:tc>
          <w:tcPr>
            <w:tcW w:type="dxa" w:w="2520"/>
            <w:vAlign w:val="center"/>
          </w:tcPr>
          <w:p>
            <w:pPr>
              <w:spacing w:after="20" w:before="20" w:line="252"/>
              <w:jc w:val="left"/>
            </w:pPr>
            <w:r>
              <w:rPr>
                <w:rFonts w:ascii="Arial" w:cs="Arial" w:eastAsia="Arial" w:hAnsi="Arial"/>
                <w:b w:val="false"/>
                <w:bCs w:val="false"/>
                <w:i w:val="false"/>
                <w:iCs w:val="false"/>
                <w:sz w:val="20"/>
                <w:szCs w:val="20"/>
              </w:rPr>
              <w:t xml:space="preserve">Grupo 3</w:t>
            </w:r>
          </w:p>
        </w:tc>
        <w:tc>
          <w:tcPr>
            <w:tcW w:type="dxa" w:w="2160"/>
            <w:vAlign w:val="center"/>
          </w:tcPr>
          <w:p>
            <w:pPr>
              <w:spacing w:after="20" w:before="20" w:line="252"/>
              <w:jc w:val="right"/>
            </w:pPr>
            <w:r>
              <w:rPr>
                <w:rFonts w:ascii="Arial" w:cs="Arial" w:eastAsia="Arial" w:hAnsi="Arial"/>
                <w:b/>
                <w:bCs/>
                <w:i w:val="false"/>
                <w:iCs w:val="false"/>
                <w:sz w:val="20"/>
                <w:szCs w:val="20"/>
              </w:rPr>
              <w:t xml:space="preserve">Document Version No:</w:t>
            </w:r>
          </w:p>
        </w:tc>
        <w:tc>
          <w:tcPr>
            <w:tcW w:type="dxa" w:w="2520"/>
            <w:vAlign w:val="center"/>
          </w:tcPr>
          <w:p>
            <w:pPr>
              <w:spacing w:after="20" w:before="20" w:line="252"/>
              <w:jc w:val="left"/>
            </w:pPr>
            <w:r>
              <w:rPr>
                <w:rFonts w:ascii="Arial" w:cs="Arial" w:eastAsia="Arial" w:hAnsi="Arial"/>
                <w:b w:val="false"/>
                <w:bCs w:val="false"/>
                <w:i w:val="false"/>
                <w:iCs w:val="false"/>
                <w:sz w:val="20"/>
                <w:szCs w:val="20"/>
              </w:rPr>
              <w:t xml:space="preserve">0.1</w:t>
            </w:r>
          </w:p>
        </w:tc>
      </w:tr>
      <w:tr>
        <w:tc>
          <w:tcPr>
            <w:tcW w:type="dxa" w:w="2160"/>
            <w:vAlign w:val="center"/>
          </w:tcPr>
          <w:p>
            <w:pPr>
              <w:spacing w:after="20" w:before="20" w:line="252"/>
              <w:jc w:val="right"/>
            </w:pPr>
            <w:r>
              <w:rPr>
                <w:rFonts w:ascii="Arial" w:cs="Arial" w:eastAsia="Arial" w:hAnsi="Arial"/>
                <w:b/>
                <w:bCs/>
                <w:i w:val="false"/>
                <w:iCs w:val="false"/>
                <w:sz w:val="20"/>
                <w:szCs w:val="20"/>
              </w:rPr>
              <w:t xml:space="preserve">Title:</w:t>
            </w:r>
          </w:p>
        </w:tc>
        <w:tc>
          <w:tcPr>
            <w:tcW w:type="dxa" w:w="2520"/>
            <w:vAlign w:val="center"/>
          </w:tcPr>
          <w:p>
            <w:pPr>
              <w:spacing w:after="20" w:before="20" w:line="252"/>
              <w:jc w:val="left"/>
            </w:pPr>
            <w:r>
              <w:rPr>
                <w:rFonts w:ascii="Arial" w:cs="Arial" w:eastAsia="Arial" w:hAnsi="Arial"/>
                <w:b w:val="false"/>
                <w:bCs w:val="false"/>
                <w:i w:val="false"/>
                <w:iCs w:val="false"/>
                <w:sz w:val="20"/>
                <w:szCs w:val="20"/>
              </w:rPr>
              <w:t xml:space="preserve">Architecture Principles</w:t>
            </w:r>
          </w:p>
        </w:tc>
        <w:tc>
          <w:tcPr>
            <w:tcW w:type="dxa" w:w="2160"/>
            <w:vAlign w:val="center"/>
          </w:tcPr>
          <w:p>
            <w:pPr>
              <w:spacing w:after="20" w:before="20" w:line="252"/>
              <w:jc w:val="right"/>
            </w:pPr>
            <w:r>
              <w:rPr>
                <w:rFonts w:ascii="Arial" w:cs="Arial" w:eastAsia="Arial" w:hAnsi="Arial"/>
                <w:b/>
                <w:bCs/>
                <w:i w:val="false"/>
                <w:iCs w:val="false"/>
                <w:sz w:val="20"/>
                <w:szCs w:val="20"/>
              </w:rPr>
              <w:t xml:space="preserve">Document Version Date:</w:t>
            </w:r>
          </w:p>
        </w:tc>
        <w:tc>
          <w:tcPr>
            <w:tcW w:type="dxa" w:w="2520"/>
            <w:vAlign w:val="center"/>
          </w:tcPr>
          <w:p>
            <w:pPr>
              <w:spacing w:after="20" w:before="20" w:line="252"/>
              <w:jc w:val="left"/>
            </w:pPr>
            <w:r>
              <w:rPr>
                <w:rFonts w:ascii="Arial" w:cs="Arial" w:eastAsia="Arial" w:hAnsi="Arial"/>
                <w:b w:val="false"/>
                <w:bCs w:val="false"/>
                <w:i w:val="false"/>
                <w:iCs w:val="false"/>
                <w:sz w:val="20"/>
                <w:szCs w:val="20"/>
              </w:rPr>
              <w:t xml:space="preserve">Junio 2026</w:t>
            </w:r>
          </w:p>
        </w:tc>
      </w:tr>
      <w:tr>
        <w:tc>
          <w:tcPr>
            <w:tcW w:type="dxa" w:w="2160"/>
            <w:vAlign w:val="center"/>
          </w:tcPr>
          <w:p>
            <w:pPr>
              <w:spacing w:after="20" w:before="20" w:line="252"/>
              <w:jc w:val="right"/>
            </w:pPr>
            <w:r>
              <w:rPr>
                <w:rFonts w:ascii="Arial" w:cs="Arial" w:eastAsia="Arial" w:hAnsi="Arial"/>
                <w:b/>
                <w:bCs/>
                <w:i w:val="false"/>
                <w:iCs w:val="false"/>
                <w:sz w:val="20"/>
                <w:szCs w:val="20"/>
              </w:rPr>
              <w:t xml:space="preserve">Reviewed By:</w:t>
            </w:r>
          </w:p>
        </w:tc>
        <w:tc>
          <w:tcPr>
            <w:tcW w:type="dxa" w:w="2520"/>
            <w:vAlign w:val="center"/>
          </w:tcPr>
          <w:p>
            <w:pPr>
              <w:spacing w:after="20" w:before="20" w:line="252"/>
              <w:jc w:val="left"/>
            </w:pPr>
            <w:r>
              <w:rPr>
                <w:rFonts w:ascii="Arial" w:cs="Arial" w:eastAsia="Arial" w:hAnsi="Arial"/>
                <w:b w:val="false"/>
                <w:bCs w:val="false"/>
                <w:i w:val="false"/>
                <w:iCs w:val="false"/>
                <w:sz w:val="20"/>
                <w:szCs w:val="20"/>
              </w:rPr>
              <w:t xml:space="preserve"/>
            </w:r>
          </w:p>
        </w:tc>
        <w:tc>
          <w:tcPr>
            <w:tcW w:type="dxa" w:w="2160"/>
            <w:vAlign w:val="center"/>
          </w:tcPr>
          <w:p>
            <w:pPr>
              <w:spacing w:after="20" w:before="20" w:line="252"/>
              <w:jc w:val="right"/>
            </w:pPr>
            <w:r>
              <w:rPr>
                <w:rFonts w:ascii="Arial" w:cs="Arial" w:eastAsia="Arial" w:hAnsi="Arial"/>
                <w:b/>
                <w:bCs/>
                <w:i w:val="false"/>
                <w:iCs w:val="false"/>
                <w:sz w:val="20"/>
                <w:szCs w:val="20"/>
              </w:rPr>
              <w:t xml:space="preserve">Review Date:</w:t>
            </w:r>
          </w:p>
        </w:tc>
        <w:tc>
          <w:tcPr>
            <w:tcW w:type="dxa" w:w="2520"/>
            <w:vAlign w:val="center"/>
          </w:tcPr>
          <w:p>
            <w:pPr>
              <w:spacing w:after="20" w:before="20" w:line="252"/>
              <w:jc w:val="left"/>
            </w:pPr>
            <w:r>
              <w:rPr>
                <w:rFonts w:ascii="Arial" w:cs="Arial" w:eastAsia="Arial" w:hAnsi="Arial"/>
                <w:b w:val="false"/>
                <w:bCs w:val="false"/>
                <w:i w:val="false"/>
                <w:iCs w:val="false"/>
                <w:sz w:val="20"/>
                <w:szCs w:val="20"/>
              </w:rPr>
              <w:t xml:space="preserve"/>
            </w:r>
          </w:p>
        </w:tc>
      </w:tr>
    </w:tbl>
    <w:p>
      <w:pPr>
        <w:spacing w:after="80" w:before="200"/>
      </w:pPr>
      <w:r>
        <w:rPr>
          <w:rFonts w:ascii="Arial" w:cs="Arial" w:eastAsia="Arial" w:hAnsi="Arial"/>
          <w:b/>
          <w:bCs/>
          <w:sz w:val="20"/>
          <w:szCs w:val="20"/>
        </w:rPr>
        <w:t xml:space="preserve">Distribution List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224"/>
        <w:gridCol w:w="1488"/>
        <w:gridCol w:w="3648"/>
      </w:tblGrid>
      <w:tr>
        <w:trPr>
          <w:tblHeader/>
        </w:trPr>
        <w:tc>
          <w:tcPr>
            <w:tcW w:type="dxa" w:w="4224"/>
            <w:vAlign w:val="center"/>
          </w:tcPr>
          <w:p>
            <w:pPr>
              <w:spacing w:after="20" w:before="20" w:line="252"/>
              <w:jc w:val="left"/>
            </w:pPr>
            <w:r>
              <w:rPr>
                <w:rFonts w:ascii="Arial" w:cs="Arial" w:eastAsia="Arial" w:hAnsi="Arial"/>
                <w:b/>
                <w:bCs/>
                <w:i w:val="false"/>
                <w:iCs w:val="false"/>
                <w:sz w:val="16"/>
                <w:szCs w:val="16"/>
              </w:rPr>
              <w:t xml:space="preserve">From</w:t>
            </w:r>
          </w:p>
        </w:tc>
        <w:tc>
          <w:tcPr>
            <w:tcW w:type="dxa" w:w="1488"/>
            <w:vAlign w:val="center"/>
          </w:tcPr>
          <w:p>
            <w:pPr>
              <w:spacing w:after="20" w:before="20" w:line="252"/>
              <w:jc w:val="left"/>
            </w:pPr>
            <w:r>
              <w:rPr>
                <w:rFonts w:ascii="Arial" w:cs="Arial" w:eastAsia="Arial" w:hAnsi="Arial"/>
                <w:b/>
                <w:bCs/>
                <w:i w:val="false"/>
                <w:iCs w:val="false"/>
                <w:sz w:val="16"/>
                <w:szCs w:val="16"/>
              </w:rPr>
              <w:t xml:space="preserve">Date</w:t>
            </w:r>
          </w:p>
        </w:tc>
        <w:tc>
          <w:tcPr>
            <w:tcW w:type="dxa" w:w="3648"/>
            <w:vAlign w:val="center"/>
          </w:tcPr>
          <w:p>
            <w:pPr>
              <w:spacing w:after="20" w:before="20" w:line="252"/>
              <w:jc w:val="left"/>
            </w:pPr>
            <w:r>
              <w:rPr>
                <w:rFonts w:ascii="Arial" w:cs="Arial" w:eastAsia="Arial" w:hAnsi="Arial"/>
                <w:b/>
                <w:bCs/>
                <w:i w:val="false"/>
                <w:iCs w:val="false"/>
                <w:sz w:val="16"/>
                <w:szCs w:val="16"/>
              </w:rPr>
              <w:t xml:space="preserve">Phone/Fax/Email</w:t>
            </w:r>
          </w:p>
        </w:tc>
      </w:tr>
      <w:tr>
        <w:tc>
          <w:tcPr>
            <w:tcW w:type="dxa" w:w="4224"/>
            <w:vAlign w:val="center"/>
          </w:tcPr>
          <w:p>
            <w:pPr>
              <w:spacing w:after="20" w:before="20" w:line="252"/>
              <w:jc w:val="left"/>
            </w:pPr>
            <w:r>
              <w:rPr>
                <w:rFonts w:ascii="Arial" w:cs="Arial" w:eastAsia="Arial" w:hAnsi="Arial"/>
                <w:b w:val="false"/>
                <w:bCs w:val="false"/>
                <w:i w:val="false"/>
                <w:iCs w:val="false"/>
                <w:sz w:val="20"/>
                <w:szCs w:val="20"/>
              </w:rPr>
              <w:t xml:space="preserve">Grupo 3</w:t>
            </w:r>
          </w:p>
        </w:tc>
        <w:tc>
          <w:tcPr>
            <w:tcW w:type="dxa" w:w="1488"/>
            <w:vAlign w:val="center"/>
          </w:tcPr>
          <w:p>
            <w:pPr>
              <w:spacing w:after="20" w:before="20" w:line="252"/>
              <w:jc w:val="left"/>
            </w:pPr>
            <w:r>
              <w:rPr>
                <w:rFonts w:ascii="Arial" w:cs="Arial" w:eastAsia="Arial" w:hAnsi="Arial"/>
                <w:b w:val="false"/>
                <w:bCs w:val="false"/>
                <w:i w:val="false"/>
                <w:iCs w:val="false"/>
                <w:sz w:val="20"/>
                <w:szCs w:val="20"/>
              </w:rPr>
              <w:t xml:space="preserve">5 jun</w:t>
            </w:r>
          </w:p>
        </w:tc>
        <w:tc>
          <w:tcPr>
            <w:tcW w:type="dxa" w:w="3648"/>
            <w:vAlign w:val="center"/>
          </w:tcPr>
          <w:p>
            <w:pPr>
              <w:spacing w:after="20" w:before="20" w:line="252"/>
              <w:jc w:val="left"/>
            </w:pPr>
            <w:r>
              <w:rPr>
                <w:rFonts w:ascii="Arial" w:cs="Arial" w:eastAsia="Arial" w:hAnsi="Arial"/>
                <w:b w:val="false"/>
                <w:bCs w:val="false"/>
                <w:i w:val="false"/>
                <w:iCs w:val="false"/>
                <w:sz w:val="20"/>
                <w:szCs w:val="20"/>
              </w:rPr>
              <w:t xml:space="preserve">Jean.vila.c@uni.pe</w:t>
            </w:r>
          </w:p>
        </w:tc>
      </w:tr>
    </w:tbl>
    <w:p>
      <w:pPr>
        <w:spacing w:after="6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08"/>
        <w:gridCol w:w="1416"/>
        <w:gridCol w:w="1488"/>
        <w:gridCol w:w="3648"/>
      </w:tblGrid>
      <w:tr>
        <w:trPr>
          <w:tblHeader/>
        </w:trPr>
        <w:tc>
          <w:tcPr>
            <w:tcW w:type="dxa" w:w="2808"/>
            <w:vAlign w:val="center"/>
          </w:tcPr>
          <w:p>
            <w:pPr>
              <w:spacing w:after="20" w:before="20" w:line="252"/>
              <w:jc w:val="left"/>
            </w:pPr>
            <w:r>
              <w:rPr>
                <w:rFonts w:ascii="Arial" w:cs="Arial" w:eastAsia="Arial" w:hAnsi="Arial"/>
                <w:b/>
                <w:bCs/>
                <w:i w:val="false"/>
                <w:iCs w:val="false"/>
                <w:sz w:val="16"/>
                <w:szCs w:val="16"/>
              </w:rPr>
              <w:t xml:space="preserve">To</w:t>
            </w:r>
          </w:p>
        </w:tc>
        <w:tc>
          <w:tcPr>
            <w:tcW w:type="dxa" w:w="1416"/>
            <w:vAlign w:val="center"/>
          </w:tcPr>
          <w:p>
            <w:pPr>
              <w:spacing w:after="20" w:before="20" w:line="252"/>
              <w:jc w:val="left"/>
            </w:pPr>
            <w:r>
              <w:rPr>
                <w:rFonts w:ascii="Arial" w:cs="Arial" w:eastAsia="Arial" w:hAnsi="Arial"/>
                <w:b/>
                <w:bCs/>
                <w:i w:val="false"/>
                <w:iCs w:val="false"/>
                <w:sz w:val="16"/>
                <w:szCs w:val="16"/>
              </w:rPr>
              <w:t xml:space="preserve">Action*</w:t>
            </w:r>
          </w:p>
        </w:tc>
        <w:tc>
          <w:tcPr>
            <w:tcW w:type="dxa" w:w="1488"/>
            <w:vAlign w:val="center"/>
          </w:tcPr>
          <w:p>
            <w:pPr>
              <w:spacing w:after="20" w:before="20" w:line="252"/>
              <w:jc w:val="left"/>
            </w:pPr>
            <w:r>
              <w:rPr>
                <w:rFonts w:ascii="Arial" w:cs="Arial" w:eastAsia="Arial" w:hAnsi="Arial"/>
                <w:b/>
                <w:bCs/>
                <w:i w:val="false"/>
                <w:iCs w:val="false"/>
                <w:sz w:val="16"/>
                <w:szCs w:val="16"/>
              </w:rPr>
              <w:t xml:space="preserve">Due Date</w:t>
            </w:r>
          </w:p>
        </w:tc>
        <w:tc>
          <w:tcPr>
            <w:tcW w:type="dxa" w:w="3648"/>
            <w:vAlign w:val="center"/>
          </w:tcPr>
          <w:p>
            <w:pPr>
              <w:spacing w:after="20" w:before="20" w:line="252"/>
              <w:jc w:val="left"/>
            </w:pPr>
            <w:r>
              <w:rPr>
                <w:rFonts w:ascii="Arial" w:cs="Arial" w:eastAsia="Arial" w:hAnsi="Arial"/>
                <w:b/>
                <w:bCs/>
                <w:i w:val="false"/>
                <w:iCs w:val="false"/>
                <w:sz w:val="16"/>
                <w:szCs w:val="16"/>
              </w:rPr>
              <w:t xml:space="preserve">Phone/Fax/Email</w:t>
            </w:r>
          </w:p>
        </w:tc>
      </w:tr>
      <w:tr>
        <w:tc>
          <w:tcPr>
            <w:tcW w:type="dxa" w:w="2808"/>
            <w:vAlign w:val="center"/>
          </w:tcPr>
          <w:p>
            <w:pPr>
              <w:spacing w:after="20" w:before="20" w:line="252"/>
              <w:jc w:val="left"/>
            </w:pPr>
            <w:r>
              <w:rPr>
                <w:rFonts w:ascii="Arial" w:cs="Arial" w:eastAsia="Arial" w:hAnsi="Arial"/>
                <w:b w:val="false"/>
                <w:bCs w:val="false"/>
                <w:i w:val="false"/>
                <w:iCs w:val="false"/>
                <w:sz w:val="20"/>
                <w:szCs w:val="20"/>
              </w:rPr>
              <w:t xml:space="preserve">Ing. Aliaga Vilchez, Tobias E.</w:t>
            </w:r>
          </w:p>
        </w:tc>
        <w:tc>
          <w:tcPr>
            <w:tcW w:type="dxa" w:w="1416"/>
            <w:vAlign w:val="center"/>
          </w:tcPr>
          <w:p>
            <w:pPr>
              <w:spacing w:after="20" w:before="20" w:line="252"/>
              <w:jc w:val="left"/>
            </w:pPr>
            <w:r>
              <w:rPr>
                <w:rFonts w:ascii="Arial" w:cs="Arial" w:eastAsia="Arial" w:hAnsi="Arial"/>
                <w:b w:val="false"/>
                <w:bCs w:val="false"/>
                <w:i w:val="false"/>
                <w:iCs w:val="false"/>
                <w:sz w:val="20"/>
                <w:szCs w:val="20"/>
              </w:rPr>
              <w:t xml:space="preserve"/>
            </w:r>
          </w:p>
        </w:tc>
        <w:tc>
          <w:tcPr>
            <w:tcW w:type="dxa" w:w="1488"/>
            <w:vAlign w:val="center"/>
          </w:tcPr>
          <w:p>
            <w:pPr>
              <w:spacing w:after="20" w:before="20" w:line="252"/>
              <w:jc w:val="left"/>
            </w:pPr>
            <w:r>
              <w:rPr>
                <w:rFonts w:ascii="Arial" w:cs="Arial" w:eastAsia="Arial" w:hAnsi="Arial"/>
                <w:b w:val="false"/>
                <w:bCs w:val="false"/>
                <w:i w:val="false"/>
                <w:iCs w:val="false"/>
                <w:sz w:val="20"/>
                <w:szCs w:val="20"/>
              </w:rPr>
              <w:t xml:space="preserve">Jun 2026</w:t>
            </w:r>
          </w:p>
        </w:tc>
        <w:tc>
          <w:tcPr>
            <w:tcW w:type="dxa" w:w="3648"/>
            <w:vAlign w:val="center"/>
          </w:tcPr>
          <w:p>
            <w:pPr>
              <w:spacing w:after="20" w:before="20" w:line="252"/>
              <w:jc w:val="left"/>
            </w:pPr>
            <w:r>
              <w:rPr>
                <w:rFonts w:ascii="Arial" w:cs="Arial" w:eastAsia="Arial" w:hAnsi="Arial"/>
                <w:b w:val="false"/>
                <w:bCs w:val="false"/>
                <w:i w:val="false"/>
                <w:iCs w:val="false"/>
                <w:sz w:val="20"/>
                <w:szCs w:val="20"/>
              </w:rPr>
              <w:t xml:space="preserve"/>
            </w:r>
          </w:p>
        </w:tc>
      </w:tr>
    </w:tbl>
    <w:p>
      <w:pPr>
        <w:spacing w:after="60"/>
      </w:pPr>
      <w:r>
        <w:rPr>
          <w:rFonts w:ascii="Arial" w:cs="Arial" w:eastAsia="Arial" w:hAnsi="Arial"/>
          <w:i/>
          <w:iCs/>
          <w:sz w:val="18"/>
          <w:szCs w:val="18"/>
        </w:rPr>
        <w:t xml:space="preserve">* Action Types: Approve, Review, Inform, File, Action Required, Attend Meeting, Other (please specify)</w:t>
      </w:r>
    </w:p>
    <w:p>
      <w:pPr>
        <w:spacing w:after="80" w:before="200"/>
      </w:pPr>
      <w:r>
        <w:rPr>
          <w:rFonts w:ascii="Arial" w:cs="Arial" w:eastAsia="Arial" w:hAnsi="Arial"/>
          <w:b/>
          <w:bCs/>
          <w:sz w:val="20"/>
          <w:szCs w:val="20"/>
        </w:rPr>
        <w:t xml:space="preserve">Document Version History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936"/>
        <w:gridCol w:w="1032"/>
        <w:gridCol w:w="1368"/>
        <w:gridCol w:w="3510"/>
        <w:gridCol w:w="2514"/>
      </w:tblGrid>
      <w:tr>
        <w:trPr>
          <w:tblHeader/>
        </w:trPr>
        <w:tc>
          <w:tcPr>
            <w:tcW w:type="dxa" w:w="936"/>
            <w:vAlign w:val="center"/>
          </w:tcPr>
          <w:p>
            <w:pPr>
              <w:spacing w:after="20" w:before="20" w:line="252"/>
              <w:jc w:val="left"/>
            </w:pPr>
            <w:r>
              <w:rPr>
                <w:rFonts w:ascii="Arial" w:cs="Arial" w:eastAsia="Arial" w:hAnsi="Arial"/>
                <w:b/>
                <w:bCs/>
                <w:i w:val="false"/>
                <w:iCs w:val="false"/>
                <w:sz w:val="16"/>
                <w:szCs w:val="16"/>
              </w:rPr>
              <w:t xml:space="preserve">Ver. No.</w:t>
            </w:r>
          </w:p>
        </w:tc>
        <w:tc>
          <w:tcPr>
            <w:tcW w:type="dxa" w:w="1032"/>
            <w:vAlign w:val="center"/>
          </w:tcPr>
          <w:p>
            <w:pPr>
              <w:spacing w:after="20" w:before="20" w:line="252"/>
              <w:jc w:val="left"/>
            </w:pPr>
            <w:r>
              <w:rPr>
                <w:rFonts w:ascii="Arial" w:cs="Arial" w:eastAsia="Arial" w:hAnsi="Arial"/>
                <w:b/>
                <w:bCs/>
                <w:i w:val="false"/>
                <w:iCs w:val="false"/>
                <w:sz w:val="16"/>
                <w:szCs w:val="16"/>
              </w:rPr>
              <w:t xml:space="preserve">Ver. Date</w:t>
            </w:r>
          </w:p>
        </w:tc>
        <w:tc>
          <w:tcPr>
            <w:tcW w:type="dxa" w:w="1368"/>
            <w:vAlign w:val="center"/>
          </w:tcPr>
          <w:p>
            <w:pPr>
              <w:spacing w:after="20" w:before="20" w:line="252"/>
              <w:jc w:val="left"/>
            </w:pPr>
            <w:r>
              <w:rPr>
                <w:rFonts w:ascii="Arial" w:cs="Arial" w:eastAsia="Arial" w:hAnsi="Arial"/>
                <w:b/>
                <w:bCs/>
                <w:i w:val="false"/>
                <w:iCs w:val="false"/>
                <w:sz w:val="16"/>
                <w:szCs w:val="16"/>
              </w:rPr>
              <w:t xml:space="preserve">Revised By</w:t>
            </w:r>
          </w:p>
        </w:tc>
        <w:tc>
          <w:tcPr>
            <w:tcW w:type="dxa" w:w="3510"/>
            <w:vAlign w:val="center"/>
          </w:tcPr>
          <w:p>
            <w:pPr>
              <w:spacing w:after="20" w:before="20" w:line="252"/>
              <w:jc w:val="left"/>
            </w:pPr>
            <w:r>
              <w:rPr>
                <w:rFonts w:ascii="Arial" w:cs="Arial" w:eastAsia="Arial" w:hAnsi="Arial"/>
                <w:b/>
                <w:bCs/>
                <w:i w:val="false"/>
                <w:iCs w:val="false"/>
                <w:sz w:val="16"/>
                <w:szCs w:val="16"/>
              </w:rPr>
              <w:t xml:space="preserve">Description</w:t>
            </w:r>
          </w:p>
        </w:tc>
        <w:tc>
          <w:tcPr>
            <w:tcW w:type="dxa" w:w="2514"/>
            <w:vAlign w:val="center"/>
          </w:tcPr>
          <w:p>
            <w:pPr>
              <w:spacing w:after="20" w:before="20" w:line="252"/>
              <w:jc w:val="left"/>
            </w:pPr>
            <w:r>
              <w:rPr>
                <w:rFonts w:ascii="Arial" w:cs="Arial" w:eastAsia="Arial" w:hAnsi="Arial"/>
                <w:b/>
                <w:bCs/>
                <w:i w:val="false"/>
                <w:iCs w:val="false"/>
                <w:sz w:val="16"/>
                <w:szCs w:val="16"/>
              </w:rPr>
              <w:t xml:space="preserve">Filename</w:t>
            </w:r>
          </w:p>
        </w:tc>
      </w:tr>
      <w:tr>
        <w:tc>
          <w:tcPr>
            <w:tcW w:type="dxa" w:w="936"/>
            <w:vAlign w:val="center"/>
          </w:tcPr>
          <w:p>
            <w:pPr>
              <w:spacing w:after="20" w:before="20" w:line="252"/>
              <w:jc w:val="left"/>
            </w:pPr>
            <w:r>
              <w:rPr>
                <w:rFonts w:ascii="Arial" w:cs="Arial" w:eastAsia="Arial" w:hAnsi="Arial"/>
                <w:b w:val="false"/>
                <w:bCs w:val="false"/>
                <w:i w:val="false"/>
                <w:iCs w:val="false"/>
                <w:sz w:val="20"/>
                <w:szCs w:val="20"/>
              </w:rPr>
              <w:t xml:space="preserve">0.1</w:t>
            </w:r>
          </w:p>
        </w:tc>
        <w:tc>
          <w:tcPr>
            <w:tcW w:type="dxa" w:w="1032"/>
            <w:vAlign w:val="center"/>
          </w:tcPr>
          <w:p>
            <w:pPr>
              <w:spacing w:after="20" w:before="20" w:line="252"/>
              <w:jc w:val="left"/>
            </w:pPr>
            <w:r>
              <w:rPr>
                <w:rFonts w:ascii="Arial" w:cs="Arial" w:eastAsia="Arial" w:hAnsi="Arial"/>
                <w:b w:val="false"/>
                <w:bCs w:val="false"/>
                <w:i w:val="false"/>
                <w:iCs w:val="false"/>
                <w:sz w:val="20"/>
                <w:szCs w:val="20"/>
              </w:rPr>
              <w:t xml:space="preserve">Jun 2026</w:t>
            </w:r>
          </w:p>
        </w:tc>
        <w:tc>
          <w:tcPr>
            <w:tcW w:type="dxa" w:w="1368"/>
            <w:vAlign w:val="center"/>
          </w:tcPr>
          <w:p>
            <w:pPr>
              <w:spacing w:after="20" w:before="20" w:line="252"/>
              <w:jc w:val="left"/>
            </w:pPr>
            <w:r>
              <w:rPr>
                <w:rFonts w:ascii="Arial" w:cs="Arial" w:eastAsia="Arial" w:hAnsi="Arial"/>
                <w:b w:val="false"/>
                <w:bCs w:val="false"/>
                <w:i w:val="false"/>
                <w:iCs w:val="false"/>
                <w:sz w:val="20"/>
                <w:szCs w:val="20"/>
              </w:rPr>
              <w:t xml:space="preserve"/>
            </w:r>
          </w:p>
        </w:tc>
        <w:tc>
          <w:tcPr>
            <w:tcW w:type="dxa" w:w="3510"/>
            <w:vAlign w:val="center"/>
          </w:tcPr>
          <w:p>
            <w:pPr>
              <w:spacing w:after="20" w:before="20" w:line="252"/>
              <w:jc w:val="left"/>
            </w:pPr>
            <w:r>
              <w:rPr>
                <w:rFonts w:ascii="Arial" w:cs="Arial" w:eastAsia="Arial" w:hAnsi="Arial"/>
                <w:b w:val="false"/>
                <w:bCs w:val="false"/>
                <w:i w:val="false"/>
                <w:iCs w:val="false"/>
                <w:sz w:val="20"/>
                <w:szCs w:val="20"/>
              </w:rPr>
              <w:t xml:space="preserve">Creación y desarrollo completo del catálogo de 15 principios (BP01–BP04, DP01–DP04, AP01–AP04, TP01–TP03) — Fase Preliminar</w:t>
            </w:r>
          </w:p>
        </w:tc>
        <w:tc>
          <w:tcPr>
            <w:tcW w:type="dxa" w:w="2514"/>
            <w:vAlign w:val="center"/>
          </w:tcPr>
          <w:p>
            <w:pPr>
              <w:spacing w:after="20" w:before="20" w:line="252"/>
              <w:jc w:val="left"/>
            </w:pPr>
            <w:r>
              <w:rPr>
                <w:rFonts w:ascii="Arial" w:cs="Arial" w:eastAsia="Arial" w:hAnsi="Arial"/>
                <w:b w:val="false"/>
                <w:bCs w:val="false"/>
                <w:i w:val="false"/>
                <w:iCs w:val="false"/>
                <w:sz w:val="20"/>
                <w:szCs w:val="20"/>
              </w:rPr>
              <w:t xml:space="preserve">TOGAF_Architecture_Principles_MuniLima_v0.1.docx</w:t>
            </w:r>
          </w:p>
        </w:tc>
      </w:tr>
    </w:tbl>
    <w:p>
      <w:r>
        <w:br w:type="page"/>
      </w:r>
    </w:p>
    <w:p>
      <w:pPr>
        <w:pStyle w:val="Heading1"/>
        <w:shd w:fill="D9D9D9" w:color="auto" w:val="clear"/>
        <w:spacing w:after="120" w:before="240"/>
      </w:pPr>
      <w:r>
        <w:rPr>
          <w:rFonts w:ascii="Arial" w:cs="Arial" w:eastAsia="Arial" w:hAnsi="Arial"/>
          <w:b/>
          <w:bCs/>
          <w:sz w:val="28"/>
          <w:szCs w:val="28"/>
        </w:rPr>
        <w:t xml:space="preserve">1  Document Purpose</w:t>
      </w:r>
    </w:p>
    <w:p>
      <w:pPr>
        <w:spacing w:after="120" w:line="264"/>
      </w:pPr>
      <w:r>
        <w:rPr>
          <w:rFonts w:ascii="Arial" w:cs="Arial" w:eastAsia="Arial" w:hAnsi="Arial"/>
          <w:b w:val="false"/>
          <w:bCs w:val="false"/>
          <w:i w:val="false"/>
          <w:iCs w:val="false"/>
          <w:sz w:val="20"/>
          <w:szCs w:val="20"/>
        </w:rPr>
        <w:t xml:space="preserve">Este documento define los Principios de Arquitectura que rigen el desarrollo de la Arquitectura Empresarial de la Municipalidad Metropolitana de Lima, en el marco de la aplicación del método ADM de TOGAF 9.</w:t>
      </w:r>
    </w:p>
    <w:p>
      <w:pPr>
        <w:spacing w:after="120" w:line="264"/>
      </w:pPr>
      <w:r>
        <w:rPr>
          <w:rFonts w:ascii="Arial" w:cs="Arial" w:eastAsia="Arial" w:hAnsi="Arial"/>
          <w:b w:val="false"/>
          <w:bCs w:val="false"/>
          <w:i w:val="false"/>
          <w:iCs w:val="false"/>
          <w:sz w:val="20"/>
          <w:szCs w:val="20"/>
        </w:rPr>
        <w:t xml:space="preserve">Los principios aquí establecidos son reglas duraderas y de alto nivel que orientan todas las decisiones arquitectónicas de la institución, asegurando coherencia, alineamiento estratégico y cumplimiento normativo a lo largo de las fases del ADM.</w:t>
      </w:r>
    </w:p>
    <w:p>
      <w:pPr>
        <w:spacing w:after="120" w:line="264"/>
      </w:pPr>
      <w:r>
        <w:rPr>
          <w:rFonts w:ascii="Arial" w:cs="Arial" w:eastAsia="Arial" w:hAnsi="Arial"/>
          <w:b w:val="false"/>
          <w:bCs w:val="false"/>
          <w:i w:val="false"/>
          <w:iCs w:val="false"/>
          <w:sz w:val="20"/>
          <w:szCs w:val="20"/>
        </w:rPr>
        <w:t xml:space="preserve">Dominio: Arquitectura Empresarial de la Municipalidad Metropolitana de Lima — todos los dominios (negocio, datos, aplicaciones y tecnología).</w:t>
      </w:r>
    </w:p>
    <w:p>
      <w:pPr>
        <w:spacing w:after="120" w:line="264"/>
      </w:pPr>
      <w:r>
        <w:rPr>
          <w:rFonts w:ascii="Arial" w:cs="Arial" w:eastAsia="Arial" w:hAnsi="Arial"/>
          <w:b w:val="false"/>
          <w:bCs w:val="false"/>
          <w:i w:val="false"/>
          <w:iCs w:val="false"/>
          <w:sz w:val="20"/>
          <w:szCs w:val="20"/>
        </w:rPr>
        <w:t xml:space="preserve">Contexto y antecedentes: La Municipalidad Metropolitana de Lima opera actualmente con sistemas fragmentados, procesos mayoritariamente manuales y baja interoperabilidad entre sus gerencias y organismos descentralizados. En respuesta a esta problemática, y en cumplimiento de la Ley de Gobierno Digital (D.L. N° 1412), la institución ha iniciado un proceso de transformación guiado por TOGAF, cuya Fase Preliminar establece las bases de gobierno y soporte de la arquitectura.</w:t>
      </w:r>
    </w:p>
    <w:p>
      <w:pPr>
        <w:spacing w:after="120" w:line="264"/>
      </w:pPr>
      <w:r>
        <w:rPr>
          <w:rFonts w:ascii="Arial" w:cs="Arial" w:eastAsia="Arial" w:hAnsi="Arial"/>
          <w:b w:val="false"/>
          <w:bCs w:val="false"/>
          <w:i w:val="false"/>
          <w:iCs w:val="false"/>
          <w:sz w:val="20"/>
          <w:szCs w:val="20"/>
        </w:rPr>
        <w:t xml:space="preserve">Propósito de los principios: Proveer criterios rectores que garanticen que cada decisión de diseño, inversión tecnológica o cambio de proceso esté alineada con los objetivos institucionales y la normativa vigente.</w:t>
      </w:r>
    </w:p>
    <w:p>
      <w:pPr>
        <w:spacing w:after="120" w:line="264"/>
      </w:pPr>
      <w:r>
        <w:rPr>
          <w:rFonts w:ascii="Arial" w:cs="Arial" w:eastAsia="Arial" w:hAnsi="Arial"/>
          <w:b w:val="false"/>
          <w:bCs w:val="false"/>
          <w:i w:val="false"/>
          <w:iCs w:val="false"/>
          <w:sz w:val="20"/>
          <w:szCs w:val="20"/>
        </w:rPr>
        <w:t xml:space="preserve">Alcance: Los principios aplican a todas las gerencias, organismos descentralizados y empresas municipales de la Municipalidad Metropolitana de Lima, en los cuatro dominios de arquitectura: negocio, datos, aplicaciones y tecnología.</w:t>
      </w:r>
    </w:p>
    <w:p>
      <w:pPr>
        <w:spacing w:after="120" w:line="264"/>
      </w:pPr>
      <w:r>
        <w:rPr>
          <w:rFonts w:ascii="Arial" w:cs="Arial" w:eastAsia="Arial" w:hAnsi="Arial"/>
          <w:b w:val="false"/>
          <w:bCs w:val="false"/>
          <w:i w:val="false"/>
          <w:iCs w:val="false"/>
          <w:sz w:val="20"/>
          <w:szCs w:val="20"/>
        </w:rPr>
        <w:t xml:space="preserve">Stakeholders: Gerencia Municipal, Gerencia de Tecnologías de la Información, gerencias de línea, Comité de Arquitectura Empresarial, PCM – Secretaría de Gobierno y Transformación Digital, ciudadanos y empresas.</w:t>
      </w:r>
    </w:p>
    <w:p>
      <w:pPr>
        <w:pStyle w:val="Heading1"/>
        <w:shd w:fill="D9D9D9" w:color="auto" w:val="clear"/>
        <w:spacing w:after="120" w:before="240"/>
      </w:pPr>
      <w:r>
        <w:rPr>
          <w:rFonts w:ascii="Arial" w:cs="Arial" w:eastAsia="Arial" w:hAnsi="Arial"/>
          <w:b/>
          <w:bCs/>
          <w:sz w:val="28"/>
          <w:szCs w:val="28"/>
        </w:rPr>
        <w:t xml:space="preserve">2  Principle Template</w:t>
      </w:r>
    </w:p>
    <w:p>
      <w:pPr>
        <w:spacing w:after="120" w:line="264"/>
      </w:pPr>
      <w:r>
        <w:rPr>
          <w:rFonts w:ascii="Arial" w:cs="Arial" w:eastAsia="Arial" w:hAnsi="Arial"/>
          <w:b w:val="false"/>
          <w:bCs w:val="false"/>
          <w:i w:val="false"/>
          <w:iCs w:val="false"/>
          <w:sz w:val="20"/>
          <w:szCs w:val="20"/>
        </w:rPr>
        <w:t xml:space="preserve">Los principios de arquitectura de la Municipalidad Metropolitana de Lima siguen la estructura estándar de TOGAF 9. Cada principio se documenta conforme a la siguiente plantilla (Name, Principle Reference, Statement, Rationale, Implications), tomando como ejemplo el principio BP02:</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Orientación al Ciudadano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Principle 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BP02</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Todos los servicios, procesos y sistemas de la Municipalidad Metropolitana de Lima se diseñan y evalúan en función del valor que generan para el ciudadano, garantizando que la transformación digital tenga un impacto real y medible en la calidad de vida de la población limeña.</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razón de ser de la Municipalidad Metropolitana de Lima es prestar servicios públicos de calidad. Diseñar desde la perspectiva del ciudadano asegura que cada inversión tecnológica responda a una necesidad real, reduce el tiempo de atención de trámites y fortalece la confianza de la ciudadanía en la institución. Este principio está directamente vinculado con el Plan Estratégico Institucional (PEI) y con el mandato de Gobierno Digital establecido en el D.L. N° 1412.</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equipos de arquitectura y desarrollo deben incorporar la perspectiva del ciudadano desde la etapa de diseño de cada solución. Los indicadores de éxito de cada proyecto incluirán métricas de satisfacción ciudadana. Se priorizarán los servicios de mayor impacto en la atención al público: licencias de funcionamiento, pagos de arbitrios, consultas y atención de reclamos. Las soluciones que no demuestren valor directo para el ciudadano no serán aprobadas por el Comité de Arquitectura Empresarial.</w:t>
            </w:r>
          </w:p>
        </w:tc>
      </w:tr>
    </w:tbl>
    <w:p>
      <w:pPr>
        <w:pStyle w:val="Heading1"/>
        <w:shd w:fill="D9D9D9" w:color="auto" w:val="clear"/>
        <w:spacing w:after="120" w:before="240"/>
      </w:pPr>
      <w:r>
        <w:rPr>
          <w:rFonts w:ascii="Arial" w:cs="Arial" w:eastAsia="Arial" w:hAnsi="Arial"/>
          <w:b/>
          <w:bCs/>
          <w:sz w:val="28"/>
          <w:szCs w:val="28"/>
        </w:rPr>
        <w:t xml:space="preserve">3  Summary of Principles</w:t>
      </w:r>
    </w:p>
    <w:p>
      <w:pPr>
        <w:spacing w:after="120" w:line="264"/>
      </w:pPr>
      <w:r>
        <w:rPr>
          <w:rFonts w:ascii="Arial" w:cs="Arial" w:eastAsia="Arial" w:hAnsi="Arial"/>
          <w:b w:val="false"/>
          <w:bCs w:val="false"/>
          <w:i w:val="false"/>
          <w:iCs w:val="false"/>
          <w:sz w:val="20"/>
          <w:szCs w:val="20"/>
        </w:rPr>
        <w:t xml:space="preserve">El catálogo de principios de arquitectura de la Municipalidad Metropolitana de Lima está compuesto por 15 principios, distribuidos en los cuatro dominios de TOGAF, tal como se resume a continuación: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5000"/>
        <w:gridCol w:w="2960"/>
      </w:tblGrid>
      <w:tr>
        <w:trPr>
          <w:tblHeader/>
        </w:trPr>
        <w:tc>
          <w:tcPr>
            <w:tcW w:type="dxa" w:w="1400"/>
            <w:shd w:fill="D9D9D9" w:color="auto" w:val="clear"/>
            <w:vAlign w:val="center"/>
          </w:tcPr>
          <w:p>
            <w:pPr>
              <w:spacing w:after="20" w:before="20" w:line="252"/>
              <w:jc w:val="left"/>
            </w:pPr>
            <w:r>
              <w:rPr>
                <w:rFonts w:ascii="Arial" w:cs="Arial" w:eastAsia="Arial" w:hAnsi="Arial"/>
                <w:b/>
                <w:bCs/>
                <w:i w:val="false"/>
                <w:iCs w:val="false"/>
                <w:sz w:val="20"/>
                <w:szCs w:val="20"/>
              </w:rPr>
              <w:t xml:space="preserve">ID</w:t>
            </w:r>
          </w:p>
        </w:tc>
        <w:tc>
          <w:tcPr>
            <w:tcW w:type="dxa" w:w="5000"/>
            <w:shd w:fill="D9D9D9" w:color="auto" w:val="clear"/>
            <w:vAlign w:val="center"/>
          </w:tcPr>
          <w:p>
            <w:pPr>
              <w:spacing w:after="20" w:before="20" w:line="252"/>
              <w:jc w:val="left"/>
            </w:pPr>
            <w:r>
              <w:rPr>
                <w:rFonts w:ascii="Arial" w:cs="Arial" w:eastAsia="Arial" w:hAnsi="Arial"/>
                <w:b/>
                <w:bCs/>
                <w:i w:val="false"/>
                <w:iCs w:val="false"/>
                <w:sz w:val="20"/>
                <w:szCs w:val="20"/>
              </w:rPr>
              <w:t xml:space="preserve">Nombre del Principio</w:t>
            </w:r>
          </w:p>
        </w:tc>
        <w:tc>
          <w:tcPr>
            <w:tcW w:type="dxa" w:w="2960"/>
            <w:shd w:fill="D9D9D9" w:color="auto" w:val="clear"/>
            <w:vAlign w:val="center"/>
          </w:tcPr>
          <w:p>
            <w:pPr>
              <w:spacing w:after="20" w:before="20" w:line="252"/>
              <w:jc w:val="left"/>
            </w:pPr>
            <w:r>
              <w:rPr>
                <w:rFonts w:ascii="Arial" w:cs="Arial" w:eastAsia="Arial" w:hAnsi="Arial"/>
                <w:b/>
                <w:bCs/>
                <w:i w:val="false"/>
                <w:iCs w:val="false"/>
                <w:sz w:val="20"/>
                <w:szCs w:val="20"/>
              </w:rPr>
              <w:t xml:space="preserve">Dominio</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BP01</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Primacía de los Principios</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Negocio</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BP02</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Orientación al Ciudadano</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Negocio</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BP03</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Alineamiento Estratégico</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Negocio</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BP04</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Cumplimiento Normativo</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Negocio</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DP01</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Datos como Activo Institucional</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Datos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DP02</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Calidad e Integridad de los Datos</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Datos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DP03</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Privacidad y Protección de Datos</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Datos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DP04</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Interoperabilidad de Datos</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Datos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AP01</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Orientación a Servicios</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Aplicaciones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AP02</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Accesibilidad y Usabilidad</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Aplicaciones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AP03</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Independencia Tecnológica</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Aplicaciones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AP04</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Integración e Interoperabilidad</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Aplicaciones</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TP01</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Preferencia por Estándares Abiertos</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Tecnología</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TP02</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Seguridad por Diseño</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Tecnología</w:t>
            </w:r>
          </w:p>
        </w:tc>
      </w:tr>
      <w:tr>
        <w:tc>
          <w:tcPr>
            <w:tcW w:type="dxa" w:w="1400"/>
            <w:vAlign w:val="center"/>
          </w:tcPr>
          <w:p>
            <w:pPr>
              <w:spacing w:after="20" w:before="20" w:line="252"/>
              <w:jc w:val="left"/>
            </w:pPr>
            <w:r>
              <w:rPr>
                <w:rFonts w:ascii="Arial" w:cs="Arial" w:eastAsia="Arial" w:hAnsi="Arial"/>
                <w:b w:val="false"/>
                <w:bCs w:val="false"/>
                <w:i w:val="false"/>
                <w:iCs w:val="false"/>
                <w:sz w:val="20"/>
                <w:szCs w:val="20"/>
              </w:rPr>
              <w:t xml:space="preserve">TP03</w:t>
            </w:r>
          </w:p>
        </w:tc>
        <w:tc>
          <w:tcPr>
            <w:tcW w:type="dxa" w:w="5000"/>
            <w:vAlign w:val="center"/>
          </w:tcPr>
          <w:p>
            <w:pPr>
              <w:spacing w:after="20" w:before="20" w:line="252"/>
              <w:jc w:val="left"/>
            </w:pPr>
            <w:r>
              <w:rPr>
                <w:rFonts w:ascii="Arial" w:cs="Arial" w:eastAsia="Arial" w:hAnsi="Arial"/>
                <w:b w:val="false"/>
                <w:bCs w:val="false"/>
                <w:i w:val="false"/>
                <w:iCs w:val="false"/>
                <w:sz w:val="20"/>
                <w:szCs w:val="20"/>
              </w:rPr>
              <w:t xml:space="preserve">Escalabilidad y Disponibilidad</w:t>
            </w:r>
          </w:p>
        </w:tc>
        <w:tc>
          <w:tcPr>
            <w:tcW w:type="dxa" w:w="2960"/>
            <w:vAlign w:val="center"/>
          </w:tcPr>
          <w:p>
            <w:pPr>
              <w:spacing w:after="20" w:before="20" w:line="252"/>
              <w:jc w:val="left"/>
            </w:pPr>
            <w:r>
              <w:rPr>
                <w:rFonts w:ascii="Arial" w:cs="Arial" w:eastAsia="Arial" w:hAnsi="Arial"/>
                <w:b w:val="false"/>
                <w:bCs w:val="false"/>
                <w:i w:val="false"/>
                <w:iCs w:val="false"/>
                <w:sz w:val="20"/>
                <w:szCs w:val="20"/>
              </w:rPr>
              <w:t xml:space="preserve">Tecnología</w:t>
            </w:r>
          </w:p>
        </w:tc>
      </w:tr>
    </w:tbl>
    <w:p>
      <w:r>
        <w:br w:type="page"/>
      </w:r>
    </w:p>
    <w:p>
      <w:pPr>
        <w:pStyle w:val="Heading1"/>
        <w:shd w:fill="D9D9D9" w:color="auto" w:val="clear"/>
        <w:spacing w:after="120" w:before="240"/>
      </w:pPr>
      <w:r>
        <w:rPr>
          <w:rFonts w:ascii="Arial" w:cs="Arial" w:eastAsia="Arial" w:hAnsi="Arial"/>
          <w:b/>
          <w:bCs/>
          <w:sz w:val="28"/>
          <w:szCs w:val="28"/>
        </w:rPr>
        <w:t xml:space="preserve">4  Business Principles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Primacía de los Principios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Principle 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BP01</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Todos los principios de arquitectura se aplican de manera uniforme a todas las gerencias, organismos descentralizados y empresas de la Municipalidad Metropolitana de Lima.</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única forma de garantizar coherencia y calidad en la gestión institucional es que todas las unidades organizacionales respeten los mismos principios. Sin esta uniformidad, las excepciones y la inconsistencia deteriorarían rápidamente el gobierno de la arquitectura municipal.</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Ningún proyecto o iniciativa tecnológica podrá iniciarse sin verificar su cumplimiento con estos principios. Toda excepción deberá ser aprobada formalmente por el Comité de Arquitectura Empresarial. Las unidades que incumplan deberán ajustar sus iniciativas al marco establecido.</w:t>
            </w:r>
          </w:p>
        </w:tc>
      </w:tr>
    </w:tbl>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4640"/>
        <w:gridCol w:w="256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Mandatory/ Advisory</w:t>
            </w:r>
          </w:p>
        </w:tc>
        <w:tc>
          <w:tcPr>
            <w:tcW w:type="dxa" w:w="4640"/>
            <w:shd w:fill="D9D9D9" w:color="auto" w:val="clear"/>
            <w:vAlign w:val="center"/>
          </w:tcPr>
          <w:p>
            <w:pPr>
              <w:spacing w:after="20" w:before="20" w:line="252"/>
              <w:jc w:val="left"/>
            </w:pPr>
            <w:r>
              <w:rPr>
                <w:rFonts w:ascii="Arial" w:cs="Arial" w:eastAsia="Arial" w:hAnsi="Arial"/>
                <w:b/>
                <w:bCs/>
                <w:i w:val="false"/>
                <w:iCs w:val="false"/>
                <w:sz w:val="20"/>
                <w:szCs w:val="20"/>
              </w:rPr>
              <w:t xml:space="preserve">Principle Review Reason</w:t>
            </w:r>
          </w:p>
        </w:tc>
        <w:tc>
          <w:tcPr>
            <w:tcW w:type="dxa" w:w="2560"/>
            <w:shd w:fill="D9D9D9" w:color="auto" w:val="clear"/>
            <w:vAlign w:val="center"/>
          </w:tcPr>
          <w:p>
            <w:pPr>
              <w:spacing w:after="20" w:before="20" w:line="252"/>
              <w:jc w:val="left"/>
            </w:pPr>
            <w:r>
              <w:rPr>
                <w:rFonts w:ascii="Arial" w:cs="Arial" w:eastAsia="Arial" w:hAnsi="Arial"/>
                <w:b/>
                <w:bCs/>
                <w:i w:val="false"/>
                <w:iCs w:val="false"/>
                <w:sz w:val="20"/>
                <w:szCs w:val="20"/>
              </w:rPr>
              <w:t xml:space="preserve">Review Date</w:t>
            </w:r>
          </w:p>
        </w:tc>
      </w:tr>
      <w:tr>
        <w:tc>
          <w:tcPr>
            <w:tcW w:type="dxa" w:w="2160"/>
            <w:vAlign w:val="center"/>
          </w:tcPr>
          <w:p>
            <w:pPr>
              <w:spacing w:after="20" w:before="20" w:line="252"/>
              <w:jc w:val="left"/>
            </w:pPr>
            <w:r>
              <w:rPr>
                <w:rFonts w:ascii="Arial" w:cs="Arial" w:eastAsia="Arial" w:hAnsi="Arial"/>
                <w:b w:val="false"/>
                <w:bCs w:val="false"/>
                <w:i w:val="false"/>
                <w:iCs w:val="false"/>
                <w:sz w:val="20"/>
                <w:szCs w:val="20"/>
              </w:rPr>
              <w:t xml:space="preserve">Obligatorio</w:t>
            </w:r>
          </w:p>
        </w:tc>
        <w:tc>
          <w:tcPr>
            <w:tcW w:type="dxa" w:w="4640"/>
            <w:vAlign w:val="center"/>
          </w:tcPr>
          <w:p>
            <w:pPr>
              <w:spacing w:after="20" w:before="20" w:line="252"/>
              <w:jc w:val="left"/>
            </w:pPr>
            <w:r>
              <w:rPr>
                <w:rFonts w:ascii="Arial" w:cs="Arial" w:eastAsia="Arial" w:hAnsi="Arial"/>
                <w:b w:val="false"/>
                <w:bCs w:val="false"/>
                <w:i w:val="false"/>
                <w:iCs w:val="false"/>
                <w:sz w:val="20"/>
                <w:szCs w:val="20"/>
              </w:rPr>
              <w:t xml:space="preserve">Revisar ante cambios en la estructura organizacional de la municipalidad o modificaciones al marco TOGAF adoptado</w:t>
            </w:r>
          </w:p>
        </w:tc>
        <w:tc>
          <w:tcPr>
            <w:tcW w:type="dxa" w:w="2560"/>
            <w:vAlign w:val="center"/>
          </w:tcPr>
          <w:p>
            <w:pPr>
              <w:spacing w:after="20" w:before="20" w:line="252"/>
              <w:jc w:val="left"/>
            </w:pPr>
            <w:r>
              <w:rPr>
                <w:rFonts w:ascii="Arial" w:cs="Arial" w:eastAsia="Arial" w:hAnsi="Arial"/>
                <w:b w:val="false"/>
                <w:bCs w:val="false"/>
                <w:i w:val="false"/>
                <w:iCs w:val="false"/>
                <w:sz w:val="20"/>
                <w:szCs w:val="20"/>
              </w:rPr>
              <w:t xml:space="preserve">2026</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Orientación al Ciudadano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Principle 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BP02</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Todos los servicios, procesos y sistemas de la Municipalidad Metropolitana de Lima se diseñan y evalúan en función del valor que generan para el ciudadano, garantizando que la transformación digital tenga un impacto real y medible en la calidad de vida de la población limeña.</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razón de ser de la Municipalidad Metropolitana de Lima es prestar servicios públicos de calidad. Diseñar desde la perspectiva del ciudadano asegura que cada inversión tecnológica responda a una necesidad real, reduce el tiempo de atención de trámites y fortalece la confianza de la ciudadanía en la institución. Este principio está directamente vinculado con el Plan Estratégico Institucional (PEI) y con el mandato de Gobierno Digital establecido en el D.L. N° 1412.</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equipos de arquitectura y desarrollo deben incorporar la perspectiva del ciudadano desde la etapa de diseño de cada solución. Los indicadores de éxito de cada proyecto incluirán métricas de satisfacción ciudadana. Se priorizarán los servicios de mayor impacto en la atención al público: licencias de funcionamiento, pagos de arbitrios, consultas y atención de reclamos. Las soluciones que no demuestren valor directo para el ciudadano no serán aprobadas por el Comité de Arquitectura Empresarial.</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Alineamiento Estratégico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Principle 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BP03</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Toda iniciativa de arquitectura, proyecto tecnológico o cambio de proceso de la Municipalidad Metropolitana de Lima debe estar explícitamente alineado con los objetivos del Plan Estratégico Institucional (PEI) y con las metas de Gobierno Digital del Estado peruano.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recursos públicos son limitados y deben orientarse a las prioridades institucionales. El alineamiento estratégico evita inversiones aisladas o redundantes, asegura que la transformación digital contribuya a resultados medibles para la ciudad y facilita la rendición de cuentas ante la Alta Dirección y los órganos de control.</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Cada proyecto deberá declarar el objetivo estratégico y el indicador (KPI) al que contribuye antes de su aprobación. El Comité de Arquitectura Empresarial verificará la trazabilidad Driver → Goal → Objetivo. Las iniciativas sin alineamiento estratégico demostrable serán despriorizadas o rechazadas.</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Cumplimiento Normativo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Principle 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BP04</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procesos, datos, aplicaciones y tecnologías de la Municipalidad Metropolitana de Lima cumplen obligatoriamente con la normativa nacional vigente, en particular el D.L. N° 1412 (Gobierno Digital), la Ley N° 29733 (Protección de Datos Personales) y los lineamientos del Marco de Arquitectura Digital del Estado (MADE).</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El incumplimiento normativo expone a la institución a sanciones, observaciones de los órganos de control y pérdida de confianza ciudadana. Incorporar el cumplimiento como principio desde el diseño reduce el riesgo legal y garantiza que la modernización se realice dentro del marco legal del Estado peruano.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Toda solución deberá pasar por una verificación de cumplimiento normativo antes de su puesta en producción. Se mantendrá actualizada una base de requisitos legales aplicables. El Comité de Arquitectura Empresarial, en coordinación con la Gerencia de Asesoría Jurídica, validará el cumplimiento en las revisiones de conformidad.</w:t>
            </w:r>
          </w:p>
        </w:tc>
      </w:tr>
    </w:tbl>
    <w:p>
      <w:pPr>
        <w:spacing w:after="120"/>
      </w:pPr>
    </w:p>
    <w:p>
      <w:pPr>
        <w:pStyle w:val="Heading1"/>
        <w:shd w:fill="D9D9D9" w:color="auto" w:val="clear"/>
        <w:spacing w:after="120" w:before="240"/>
      </w:pPr>
      <w:r>
        <w:rPr>
          <w:rFonts w:ascii="Arial" w:cs="Arial" w:eastAsia="Arial" w:hAnsi="Arial"/>
          <w:b/>
          <w:bCs/>
          <w:sz w:val="28"/>
          <w:szCs w:val="28"/>
        </w:rPr>
        <w:t xml:space="preserve">5  Data Principles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Datos como Activo Institucional</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DP01</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datos de la Municipalidad Metropolitana de Lima son un activo estratégico institucional que debe ser gestionado, protegido y aprovechado en beneficio de la ciudadanía y la gestión pública eficiente.</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datos son la base para la toma de decisiones y la prestación de servicios de calidad. Tratarlos como activos implica invertir en su gobierno y disponibilidad, lo que reduce costos operativos y permite diseñar políticas públicas basadas en evidencia para la población limeña.</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Se establecerá un catálogo y diccionario de datos institucional gestionado por la GTI. Cada gerencia designará un responsable (data owner) para su dominio de datos. Los datos no podrán ser eliminados sin un procedimiento formal aprobado por el Comité de Arquitectura Empresarial.</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Calidad e Integridad de los Datos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DP02</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datos de la Municipalidad Metropolitana de Lima se gestionan bajo estándares de calidad que garantizan su exactitud, completitud, consistencia y actualidad a lo largo de todo su ciclo de vida.</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Las decisiones y servicios basados en datos erróneos o desactualizados generan atenciones deficientes, reprocesos y pérdida de confianza. Asegurar la calidad e integridad de los datos es condición indispensable para la analítica, la interoperabilidad y la toma de decisiones basada en evidencia. Este principio se alinea con la norma ISO/IEC 25012 sobre calidad de datos.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Se definirán reglas de validación y controles de calidad en el origen de captura de los datos. Cada dominio de datos contará con métricas de calidad monitoreadas periódicamente. Los responsables de datos (data owners) serán responsables de la corrección de las inconsistencias detectadas en su dominio.</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Privacidad y Protección de Datos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DP03</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datos personales de los ciudadanos gestionados por la Municipalidad Metropolitana de Lima se protegen conforme a la Ley N° 29733 de Protección de Datos Personales, garantizando su confidencialidad, integridad y uso conforme a la finalidad para la que fueron recabados.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ciudadanía confía sus datos a la institución esperando un tratamiento responsable. El incumplimiento de la Ley N° 29733 conlleva sanciones de la Autoridad Nacional de Protección de Datos Personales y erosiona la confianza pública. La privacidad por diseño es un requisito legal y ético de todo servicio digital municipal.</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sistemas incorporarán mecanismos de consentimiento, minimización de datos y control de acceso basado en roles. Los bancos de datos personales deberán estar registrados ante la Autoridad Nacional de Protección de Datos Personales. Se aplicarán medidas de cifrado y anonimización cuando corresponda, y se registrarán los accesos a datos sensibles.</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Interoperabilidad de Datos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DP04</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datos de la Municipalidad Metropolitana de Lima se gestionan bajo estándares de interoperabilidad que permiten su intercambio seguro y eficiente con otras entidades del Estado a través de la Plataforma de Interoperabilidad del Estado (PIDE).</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fragmentación de datos entre sistemas impide la prestación de servicios integrados al ciudadano y lo obliga a presentar documentos que el Estado ya posee. La interoperabilidad elimina la duplicidad, reduce el tiempo de atención y habilita servicios digitales de extremo a extremo, en línea con el principio de ventanilla única del Gobierno Digital peruano.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nuevos sistemas deberán implementar APIs compatibles con los estándares de la PIDE desde su diseño. La integración con entidades como RENIEC, SUNAT y SUNARP se realizará exclusivamente a través de canales oficiales certificados. Los acuerdos de intercambio de datos deberán formalizarse mediante convenios interinstitucionales.</w:t>
            </w:r>
          </w:p>
        </w:tc>
      </w:tr>
    </w:tbl>
    <w:p>
      <w:pPr>
        <w:spacing w:after="120"/>
      </w:pPr>
    </w:p>
    <w:p>
      <w:pPr>
        <w:pStyle w:val="Heading1"/>
        <w:shd w:fill="D9D9D9" w:color="auto" w:val="clear"/>
        <w:spacing w:after="120" w:before="240"/>
      </w:pPr>
      <w:r>
        <w:rPr>
          <w:rFonts w:ascii="Arial" w:cs="Arial" w:eastAsia="Arial" w:hAnsi="Arial"/>
          <w:b/>
          <w:bCs/>
          <w:sz w:val="28"/>
          <w:szCs w:val="28"/>
        </w:rPr>
        <w:t xml:space="preserve">6  Application Principles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Orientación a Servicios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AP01</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Las aplicaciones de la Municipalidad Metropolitana de Lima se diseñan como servicios reutilizables, accesibles mediante interfaces estándar (APIs), que pueden ser consumidos por otras aplicaciones y plataformas del Estado peruano.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orientación a servicios evita la duplicidad de funcionalidades, reduce costos de desarrollo y mantenimiento, y facilita la integración entre sistemas internos y con plataformas externas del Estado. Reutilizar servicios existentes maximiza el retorno de la inversión pública en tecnología.</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Se definirá un catálogo de servicios reutilizables institucionales (pagos, identidad, notificaciones). Los nuevos desarrollos deberán reutilizar servicios existentes antes de crear funcionalidades nuevas. Se adoptará una arquitectura de APIs como estándar de integración entre sistemas municipales.</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Accesibilidad y Usabilidad</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AP02</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Las aplicaciones y servicios digitales de la Municipalidad Metropolitana de Lima deben ser accesibles, intuitivos y utilizables por todos los ciudadanos, independientemente de su nivel de alfabetización digital o condición de discapacidad.</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Una aplicación que no puede ser usada por todos los ciudadanos no cumple su propósito institucional. La accesibilidad es un requisito de inclusión digital y un mandato de los lineamientos de Gobierno Digital establecidos por la Secretaría de Gobierno y Transformación Digital de la PCM.</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Todos los desarrollos deberán cumplir los criterios de accesibilidad web (WCAG 2.1 nivel AA) definidos por la Secretaría de Gobierno y Transformación Digital. Se realizarán pruebas de usabilidad con usuarios reales antes de la puesta en producción. Las interfaces deberán estar disponibles en dispositivos móviles y con conectividad limitada.</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Independencia Tecnológica</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AP03</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Las aplicaciones de la Municipalidad Metropolitana de Lima se diseñan de forma independiente de tecnologías, plataformas o proveedores específicos, de modo que puedan evolucionar o ser reemplazadas sin comprometer la continuidad de los servicios al ciudadano.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dependencia de un único proveedor o tecnología (vendor lock-in) incrementa los costos, limita la capacidad de negociación de la institución y pone en riesgo la continuidad del servicio ante el fin de soporte de un producto. La independencia tecnológica protege la inversión pública y favorece la competencia en las adquisiciones.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Las soluciones se construirán sobre interfaces y estándares abiertos que aíslen la lógica de negocio de la tecnología subyacente. Los contratos de adquisición incluirán cláusulas de portabilidad y salida de datos. Se evitará el uso de funcionalidades propietarias no estandarizadas salvo justificación formal aprobada por el Comité de Arquitectura Empresarial.</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Integración e Interoperabilidad</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AP04</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Las aplicaciones de la Municipalidad Metropolitana de Lima se integran entre sí y con las plataformas del Estado peruano mediante servicios e interfaces estándar, evitando silos de información y duplicidad de funcionalidades.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atención integral al ciudadano requiere que los sistemas municipales compartan información de manera fluida y segura. La integración basada en estándares reduce los reprocesos, habilita servicios de extremo a extremo y potencia la ventanilla única, en línea con la Plataforma de Interoperabilidad del Estado (PIDE).</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Toda nueva aplicación expondrá y consumirá servicios a través de un API Gateway institucional. Se privilegiará la integración mediante APIs REST/OpenAPI sobre integraciones punto a punto. El Comité de Arquitectura Empresarial mantendrá el catálogo de servicios de integración y validará su reutilización antes de autorizar nuevos desarrollos.</w:t>
            </w:r>
          </w:p>
        </w:tc>
      </w:tr>
    </w:tbl>
    <w:p>
      <w:pPr>
        <w:spacing w:after="120"/>
      </w:pPr>
    </w:p>
    <w:p>
      <w:pPr>
        <w:pStyle w:val="Heading1"/>
        <w:shd w:fill="D9D9D9" w:color="auto" w:val="clear"/>
        <w:spacing w:after="120" w:before="240"/>
      </w:pPr>
      <w:r>
        <w:rPr>
          <w:rFonts w:ascii="Arial" w:cs="Arial" w:eastAsia="Arial" w:hAnsi="Arial"/>
          <w:b/>
          <w:bCs/>
          <w:sz w:val="28"/>
          <w:szCs w:val="28"/>
        </w:rPr>
        <w:t xml:space="preserve">7  Technology Principles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Preferencia por Estándares Abiertos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TP01</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infraestructura y las soluciones tecnológicas de la Municipalidad Metropolitana de Lima se basan en estándares abiertos, reconocidos internacionalmente, que garantizan la interoperabilidad, la continuidad del servicio y la independencia de proveedor.</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estándares abiertos reducen la dependencia de proveedores, facilitan la integración con plataformas del Estado peruano y disminuyen los costos de licenciamiento, liberando recursos presupuestales para la mejora directa de servicios al ciudadano limeño. Su adopción está alineada con los lineamientos del MADE y la política de Gobierno Digital de la PCM.</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Las adquisiciones tecnológicas deberán justificar formalmente el uso de estándares propietarios cuando no exista alternativa abierta equivalente. Se priorizará el uso de estándares como ArchiMate, BPMN, REST/OpenAPI e ISO/IEC 27001. El Comité de Arquitectura Empresarial validará el cumplimiento de este principio en cada proceso de adquisición tecnológica.</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Seguridad por Diseño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TP02</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seguridad de la información se incorpora desde el diseño en toda la infraestructura, aplicaciones y servicios digitales de la Municipalidad Metropolitana de Lima, conforme a la norma ISO/IEC 27001 y los lineamientos de seguridad digital del Estado peruano.</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Incorporar la seguridad de manera reactiva, después del despliegue, resulta más costoso y deja ventanas de exposición. La seguridad por diseño protege los datos de los ciudadanos, garantiza la continuidad de los servicios críticos y reduce el riesgo de incidentes que afecten la confianza institucional y expongan a la municipalidad a responsabilidades legales.</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Todo proyecto incorporará requisitos de seguridad desde su fase de diseño (controles de acceso, cifrado, registro de auditoría). Se realizarán pruebas de seguridad (pentesting) obligatorias antes de la puesta en producción de servicios críticos. Se implementará un Sistema de Gestión de Seguridad de la Información (SGSI) alineado con ISO/IEC 27001, supervisado por el Comité de Arquitectura Empresarial.</w:t>
            </w:r>
          </w:p>
        </w:tc>
      </w:tr>
    </w:tbl>
    <w:p>
      <w:pPr>
        <w:spacing w:after="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7200"/>
      </w:tblGrid>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Name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Escalabilidad y Disponibilidad</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Reference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TP03</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Statement</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La infraestructura tecnológica de la Municipalidad Metropolitana de Lima se diseña para escalar ante el crecimiento de la demanda ciudadana y garantizar la disponibilidad continua de los servicios digitales críticos, minimizando interrupciones en la atención a la población.</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Rationale</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Los servicios municipales digitales deben estar disponibles cuando el ciudadano los necesita. La falta de disponibilidad genera pérdida de confianza, incremento de reclamos y retorno al trámite presencial, anulando los beneficios de la digitalización e incrementando los costos operativos de la institución.</w:t>
            </w:r>
          </w:p>
        </w:tc>
      </w:tr>
      <w:tr>
        <w:tc>
          <w:tcPr>
            <w:tcW w:type="dxa" w:w="2160"/>
            <w:shd w:fill="D9D9D9" w:color="auto" w:val="clear"/>
            <w:vAlign w:val="center"/>
          </w:tcPr>
          <w:p>
            <w:pPr>
              <w:spacing w:after="20" w:before="20" w:line="252"/>
              <w:jc w:val="left"/>
            </w:pPr>
            <w:r>
              <w:rPr>
                <w:rFonts w:ascii="Arial" w:cs="Arial" w:eastAsia="Arial" w:hAnsi="Arial"/>
                <w:b/>
                <w:bCs/>
                <w:i w:val="false"/>
                <w:iCs w:val="false"/>
                <w:sz w:val="20"/>
                <w:szCs w:val="20"/>
              </w:rPr>
              <w:t xml:space="preserve">Implications</w:t>
            </w:r>
          </w:p>
        </w:tc>
        <w:tc>
          <w:tcPr>
            <w:tcW w:type="dxa" w:w="7200"/>
            <w:vAlign w:val="center"/>
          </w:tcPr>
          <w:p>
            <w:pPr>
              <w:spacing w:after="20" w:before="20" w:line="252"/>
              <w:jc w:val="left"/>
            </w:pPr>
            <w:r>
              <w:rPr>
                <w:rFonts w:ascii="Arial" w:cs="Arial" w:eastAsia="Arial" w:hAnsi="Arial"/>
                <w:b w:val="false"/>
                <w:bCs w:val="false"/>
                <w:i w:val="false"/>
                <w:iCs w:val="false"/>
                <w:sz w:val="20"/>
                <w:szCs w:val="20"/>
              </w:rPr>
              <w:t xml:space="preserve">Se definirán niveles de servicio (SLA) mínimos para cada sistema crítico, con indicadores de disponibilidad, tiempo de respuesta y capacidad de recuperación. La infraestructura deberá contemplar redundancia y mecanismos de recuperación ante fallos (disaster recovery). Se realizarán pruebas de carga obligatorias antes de la puesta en producción de servicios de alto tráfico ciudadano. Los planes de continuidad tecnológica deberán revisarse anualmente.</w:t>
            </w:r>
          </w:p>
        </w:tc>
      </w:tr>
    </w:tbl>
    <w:p>
      <w:pPr>
        <w:spacing w:after="120"/>
      </w:pP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left w:val="none"/>
        <w:bottom w:val="none"/>
        <w:right w:val="none"/>
        <w:insideH w:val="none"/>
        <w:insideV w:val="none"/>
      </w:tblBorders>
    </w:tblPr>
    <w:tblGrid>
      <w:gridCol w:w="2610"/>
      <w:gridCol w:w="4326"/>
      <w:gridCol w:w="2424"/>
    </w:tblGrid>
    <w:tr>
      <w:tc>
        <w:tcPr>
          <w:tcW w:type="dxa" w:w="2610"/>
          <w:tcBorders>
            <w:top w:val="none"/>
            <w:left w:val="none"/>
            <w:bottom w:val="none"/>
            <w:right w:val="none"/>
          </w:tcBorders>
        </w:tcPr>
        <w:p>
          <w:pPr>
            <w:spacing w:after="20" w:before="40"/>
            <w:jc w:val="left"/>
          </w:pPr>
          <w:r>
            <w:rPr>
              <w:rFonts w:ascii="Arial" w:cs="Arial" w:eastAsia="Arial" w:hAnsi="Arial"/>
              <w:sz w:val="16"/>
              <w:szCs w:val="16"/>
            </w:rPr>
            <w:t xml:space="preserve">Version: 0.1</w:t>
          </w:r>
        </w:p>
      </w:tc>
      <w:tc>
        <w:tcPr>
          <w:tcW w:type="dxa" w:w="4326"/>
          <w:tcBorders>
            <w:top w:val="none"/>
            <w:left w:val="none"/>
            <w:bottom w:val="none"/>
            <w:right w:val="none"/>
          </w:tcBorders>
        </w:tcPr>
        <w:p>
          <w:pPr>
            <w:spacing w:after="20" w:before="40"/>
            <w:jc w:val="center"/>
          </w:pPr>
          <w:r>
            <w:rPr>
              <w:rFonts w:ascii="Arial" w:cs="Arial" w:eastAsia="Arial" w:hAnsi="Arial"/>
              <w:i/>
              <w:iCs/>
              <w:sz w:val="16"/>
              <w:szCs w:val="16"/>
            </w:rPr>
            <w:t xml:space="preserve">Not Protectively Marked</w:t>
          </w:r>
        </w:p>
      </w:tc>
      <w:tc>
        <w:tcPr>
          <w:tcW w:type="dxa" w:w="2424"/>
          <w:tcBorders>
            <w:top w:val="none"/>
            <w:left w:val="none"/>
            <w:bottom w:val="none"/>
            <w:right w:val="none"/>
          </w:tcBorders>
        </w:tcPr>
        <w:p>
          <w:pPr>
            <w:spacing w:after="20" w:before="40"/>
            <w:jc w:val="right"/>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tc>
    </w:tr>
    <w:tr>
      <w:tc>
        <w:tcPr>
          <w:tcW w:type="dxa" w:w="2610"/>
          <w:tcBorders>
            <w:top w:val="single" w:color="000000" w:sz="12"/>
            <w:left w:val="none"/>
            <w:bottom w:val="none"/>
            <w:right w:val="none"/>
          </w:tcBorders>
        </w:tcPr>
        <w:p>
          <w:pPr>
            <w:spacing w:after="20" w:before="40"/>
            <w:jc w:val="left"/>
          </w:pPr>
          <w:r>
            <w:rPr>
              <w:rFonts w:ascii="Arial" w:cs="Arial" w:eastAsia="Arial" w:hAnsi="Arial"/>
              <w:sz w:val="16"/>
              <w:szCs w:val="16"/>
            </w:rPr>
            <w:t xml:space="preserve"/>
          </w:r>
        </w:p>
      </w:tc>
      <w:tc>
        <w:tcPr>
          <w:tcW w:type="dxa" w:w="4326"/>
          <w:tcBorders>
            <w:top w:val="single" w:color="000000" w:sz="12"/>
            <w:left w:val="none"/>
            <w:bottom w:val="none"/>
            <w:right w:val="none"/>
          </w:tcBorders>
        </w:tcPr>
        <w:p>
          <w:pPr>
            <w:spacing w:after="20" w:before="40"/>
            <w:jc w:val="center"/>
          </w:pPr>
          <w:r>
            <w:rPr>
              <w:rFonts w:ascii="Arial" w:cs="Arial" w:eastAsia="Arial" w:hAnsi="Arial"/>
              <w:sz w:val="16"/>
              <w:szCs w:val="16"/>
            </w:rPr>
            <w:t xml:space="preserve">Architecture Principles v0.1</w:t>
          </w:r>
        </w:p>
      </w:tc>
      <w:tc>
        <w:tcPr>
          <w:tcW w:type="dxa" w:w="2424"/>
          <w:tcBorders>
            <w:top w:val="single" w:color="000000" w:sz="12"/>
            <w:left w:val="none"/>
            <w:bottom w:val="none"/>
            <w:right w:val="none"/>
          </w:tcBorders>
        </w:tcPr>
        <w:p>
          <w:pPr>
            <w:spacing w:after="20" w:before="40"/>
            <w:jc w:val="right"/>
          </w:pPr>
          <w:r>
            <w:rPr>
              <w:rFonts w:ascii="Arial" w:cs="Arial" w:eastAsia="Arial" w:hAnsi="Arial"/>
              <w:sz w:val="16"/>
              <w:szCs w:val="16"/>
            </w:rPr>
            <w:t xml:space="preserve">Last changed: Jun 2026</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139c3ee3c3ea0d44e6dd21a85b8f70fc7481f2.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Principles</dc:title>
  <dc:creator>Grupo 3</dc:creator>
  <cp:lastModifiedBy>Un-named</cp:lastModifiedBy>
  <cp:revision>1</cp:revision>
  <dcterms:created xsi:type="dcterms:W3CDTF">2026-07-02T06:42:00.547Z</dcterms:created>
  <dcterms:modified xsi:type="dcterms:W3CDTF">2026-07-02T06:42:00.547Z</dcterms:modified>
</cp:coreProperties>
</file>

<file path=docProps/custom.xml><?xml version="1.0" encoding="utf-8"?>
<Properties xmlns="http://schemas.openxmlformats.org/officeDocument/2006/custom-properties" xmlns:vt="http://schemas.openxmlformats.org/officeDocument/2006/docPropsVTypes"/>
</file>