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/>
        <w:drawing>
          <wp:inline distT="0" distB="0" distL="0" distR="0">
            <wp:extent cx="2284730" cy="563245"/>
            <wp:effectExtent l="0" t="0" r="0" b="0"/>
            <wp:docPr id="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3" r="-13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itlePageHeaderOOV"/>
        <w:ind w:hanging="45" w:start="2880" w:end="0"/>
        <w:rPr>
          <w:rFonts w:cs="Arial"/>
          <w:b/>
          <w:bCs/>
          <w:sz w:val="40"/>
          <w:szCs w:val="40"/>
          <w:lang w:val="es-MX"/>
        </w:rPr>
      </w:pPr>
      <w:r>
        <w:rPr>
          <w:rFonts w:cs="Arial"/>
          <w:b/>
          <w:bCs/>
          <w:sz w:val="40"/>
          <w:szCs w:val="40"/>
          <w:lang w:val="es-MX"/>
        </w:rPr>
        <w:t>Architecture Repository</w:t>
      </w:r>
    </w:p>
    <w:p>
      <w:pPr>
        <w:pStyle w:val="TitlePageHeaderOOV"/>
        <w:ind w:hanging="45" w:start="2880" w:end="0"/>
        <w:rPr>
          <w:rFonts w:cs="Arial"/>
          <w:b/>
          <w:bCs/>
          <w:sz w:val="40"/>
          <w:szCs w:val="40"/>
          <w:lang w:val="es-MX"/>
        </w:rPr>
      </w:pPr>
      <w:r>
        <w:rPr>
          <w:lang w:val="es-MX"/>
        </w:rPr>
        <w:t>Municipalidad Metropolitana de Lima</w:t>
      </w:r>
    </w:p>
    <w:p>
      <w:pPr>
        <w:pStyle w:val="TitlePageHeaderOOV"/>
        <w:ind w:hanging="45" w:start="2880" w:end="0"/>
        <w:rPr>
          <w:rFonts w:cs="Arial"/>
          <w:b/>
          <w:bCs/>
          <w:sz w:val="40"/>
          <w:szCs w:val="40"/>
          <w:lang w:val="es-MX"/>
        </w:rPr>
      </w:pPr>
      <w:r>
        <w:rPr>
          <w:rFonts w:cs="Arial"/>
          <w:b/>
          <w:bCs/>
          <w:sz w:val="40"/>
          <w:szCs w:val="40"/>
          <w:lang w:val="es-MX"/>
        </w:rPr>
      </w:r>
    </w:p>
    <w:p>
      <w:pPr>
        <w:pStyle w:val="TitlePageHeaderOOV"/>
        <w:ind w:start="0" w:end="0"/>
        <w:rPr>
          <w:rFonts w:cs="Arial"/>
          <w:b/>
          <w:bCs/>
          <w:sz w:val="40"/>
          <w:szCs w:val="40"/>
          <w:lang w:val="es-MX"/>
        </w:rPr>
      </w:pPr>
      <w:r>
        <w:rPr>
          <w:rFonts w:eastAsia="Arial"/>
          <w:lang w:val="es-MX"/>
        </w:rPr>
        <w:t xml:space="preserve">                       </w:t>
      </w:r>
      <w:r>
        <w:rPr>
          <w:rStyle w:val="Strong"/>
          <w:lang w:val="es-MX"/>
        </w:rPr>
        <w:t>Cliente:</w:t>
      </w:r>
      <w:r>
        <w:rPr>
          <w:lang w:val="es-MX"/>
        </w:rPr>
        <w:t xml:space="preserve"> Municipalidad Metropolitana de Lima</w:t>
      </w:r>
    </w:p>
    <w:p>
      <w:pPr>
        <w:pStyle w:val="TitlePageHeaderOOV"/>
        <w:ind w:start="2880" w:end="0"/>
        <w:rPr>
          <w:rFonts w:cs="Arial"/>
          <w:b/>
          <w:bCs/>
          <w:sz w:val="40"/>
          <w:szCs w:val="40"/>
          <w:lang w:val="es-MX"/>
        </w:rPr>
      </w:pPr>
      <w:r>
        <w:rPr>
          <w:rFonts w:cs="Arial"/>
          <w:b/>
          <w:bCs/>
          <w:sz w:val="40"/>
          <w:szCs w:val="40"/>
          <w:lang w:val="es-MX"/>
        </w:rPr>
      </w:r>
    </w:p>
    <w:p>
      <w:pPr>
        <w:pStyle w:val="Normal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</w:r>
    </w:p>
    <w:p>
      <w:pPr>
        <w:pStyle w:val="Normal"/>
        <w:jc w:val="center"/>
        <w:rPr>
          <w:rFonts w:ascii="Arial" w:hAnsi="Arial" w:cs="Arial"/>
          <w:b/>
          <w:sz w:val="40"/>
          <w:szCs w:val="40"/>
        </w:rPr>
      </w:pPr>
      <w:r>
        <w:rPr>
          <w:rFonts w:cs="Arial" w:ascii="Arial" w:hAnsi="Arial"/>
          <w:b/>
          <w:sz w:val="40"/>
          <w:szCs w:val="40"/>
        </w:rPr>
      </w:r>
    </w:p>
    <w:p>
      <w:pPr>
        <w:pStyle w:val="Normal"/>
        <w:rPr>
          <w:rFonts w:ascii="Arial" w:hAnsi="Arial" w:cs="Arial"/>
          <w:b/>
          <w:sz w:val="40"/>
          <w:szCs w:val="40"/>
        </w:rPr>
      </w:pPr>
      <w:r>
        <w:rPr>
          <w:rFonts w:cs="Arial" w:ascii="Arial" w:hAnsi="Arial"/>
          <w:b/>
          <w:sz w:val="40"/>
          <w:szCs w:val="40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Table of Contents</w:t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r>
            <w:fldChar w:fldCharType="begin"/>
          </w:r>
          <w:r>
            <w:rPr>
              <w:rStyle w:val="IndexLink"/>
              <w:b w:val="false"/>
              <w:rFonts w:cs="Arial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b w:val="false"/>
              <w:rFonts w:cs="Arial"/>
              <w:lang w:val="en-US" w:eastAsia="en-US"/>
            </w:rPr>
            <w:fldChar w:fldCharType="separate"/>
          </w:r>
          <w:hyperlink w:anchor="__RefHeading___Toc254706915">
            <w:r>
              <w:rPr>
                <w:rStyle w:val="IndexLink"/>
                <w:rFonts w:cs="Arial"/>
                <w:b w:val="false"/>
                <w:lang w:val="en-US" w:eastAsia="en-US"/>
              </w:rPr>
              <w:t>1</w:t>
            </w:r>
            <w:r>
              <w:rPr>
                <w:rStyle w:val="IndexLink"/>
                <w:rFonts w:cs="Arial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rFonts w:cs="Arial"/>
                <w:b w:val="false"/>
                <w:lang w:val="en-US" w:eastAsia="en-US"/>
              </w:rPr>
              <w:t>Document Purpose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06916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Architecture Framework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17">
            <w:r>
              <w:rPr>
                <w:rStyle w:val="IndexLink"/>
                <w:lang w:val="en-US" w:eastAsia="en-US"/>
              </w:rPr>
              <w:t>2.1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Overview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18">
            <w:r>
              <w:rPr>
                <w:rStyle w:val="IndexLink"/>
                <w:lang w:val="en-US" w:eastAsia="en-US"/>
              </w:rPr>
              <w:t>2.2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Architecture Framework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06919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Standards Information Base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0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Overview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1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Standards Classification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2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Business Standards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3">
            <w:r>
              <w:rPr>
                <w:rStyle w:val="IndexLink"/>
                <w:lang w:val="en-US" w:eastAsia="en-US"/>
              </w:rPr>
              <w:t>3.4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Data Standards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4">
            <w:r>
              <w:rPr>
                <w:rStyle w:val="IndexLink"/>
                <w:lang w:val="en-US" w:eastAsia="en-US"/>
              </w:rPr>
              <w:t>3.5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Application Standards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5">
            <w:r>
              <w:rPr>
                <w:rStyle w:val="IndexLink"/>
                <w:lang w:val="en-US" w:eastAsia="en-US"/>
              </w:rPr>
              <w:t>3.6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Technology Standards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06926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Architecture Landscape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7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Strategic Architectures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8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Segment Architectures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29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Capability Architectures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06930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Reference Architectures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1">
            <w:r>
              <w:rPr>
                <w:rStyle w:val="IndexLink"/>
                <w:lang w:val="en-US" w:eastAsia="en-US"/>
              </w:rPr>
              <w:t>5.1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Overview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2">
            <w:r>
              <w:rPr>
                <w:rStyle w:val="IndexLink"/>
                <w:lang w:val="en-US" w:eastAsia="en-US"/>
              </w:rPr>
              <w:t>5.2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Standards Bodies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3">
            <w:r>
              <w:rPr>
                <w:rStyle w:val="IndexLink"/>
                <w:lang w:val="en-US" w:eastAsia="en-US"/>
              </w:rPr>
              <w:t>5.3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Product and Service Vendors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4">
            <w:r>
              <w:rPr>
                <w:rStyle w:val="IndexLink"/>
                <w:lang w:val="en-US" w:eastAsia="en-US"/>
              </w:rPr>
              <w:t>5.4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Industry Communities or Forums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5">
            <w:r>
              <w:rPr>
                <w:rStyle w:val="IndexLink"/>
                <w:lang w:val="en-US" w:eastAsia="en-US"/>
              </w:rPr>
              <w:t>5.5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Corporately Defined Templates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6">
            <w:r>
              <w:rPr>
                <w:rStyle w:val="IndexLink"/>
                <w:lang w:val="en-US" w:eastAsia="en-US"/>
              </w:rPr>
              <w:t>5.6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Best Practice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06937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Governance Log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8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Overview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39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Decision Log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40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Compliance Assessments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41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Capability Assessments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42">
            <w:r>
              <w:rPr>
                <w:rStyle w:val="IndexLink"/>
                <w:lang w:val="en-US" w:eastAsia="en-US"/>
              </w:rPr>
              <w:t>6.5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Calendar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43">
            <w:r>
              <w:rPr>
                <w:rStyle w:val="IndexLink"/>
                <w:lang w:val="en-US" w:eastAsia="en-US"/>
              </w:rPr>
              <w:t>6.6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Project Portfolio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06944">
            <w:r>
              <w:rPr>
                <w:rStyle w:val="IndexLink"/>
                <w:lang w:val="en-US" w:eastAsia="en-US"/>
              </w:rPr>
              <w:t>6.7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Performance Measurement</w:t>
              <w:tab/>
              <w:t>9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tabs>
          <w:tab w:val="clear" w:pos="720"/>
          <w:tab w:val="right" w:pos="8640" w:leader="dot"/>
          <w:tab w:val="left" w:pos="9360" w:leader="none"/>
        </w:tabs>
        <w:rPr>
          <w:rFonts w:ascii="Arial" w:hAnsi="Arial" w:cs="Arial"/>
          <w:sz w:val="28"/>
          <w:szCs w:val="28"/>
          <w:lang w:val="en-GB" w:eastAsia="en-US"/>
        </w:rPr>
      </w:pPr>
      <w:r>
        <w:rPr>
          <w:rFonts w:cs="Arial" w:ascii="Arial" w:hAnsi="Arial"/>
          <w:sz w:val="28"/>
          <w:szCs w:val="28"/>
          <w:lang w:val="en-GB" w:eastAsia="en-US"/>
        </w:rPr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  <w:r>
        <w:br w:type="page"/>
      </w:r>
    </w:p>
    <w:p>
      <w:pPr>
        <w:pStyle w:val="HPTableTitle"/>
        <w:rPr/>
      </w:pPr>
      <w:bookmarkStart w:id="0" w:name="hp_LogicalHeaderComplete"/>
      <w:bookmarkEnd w:id="0"/>
      <w:r>
        <w:rPr/>
        <w:t>Document Information</w:t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0"/>
        <w:gridCol w:w="3240"/>
        <w:gridCol w:w="2250"/>
        <w:gridCol w:w="1530"/>
      </w:tblGrid>
      <w:tr>
        <w:trPr/>
        <w:tc>
          <w:tcPr>
            <w:tcW w:w="279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Project Name: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TableMedium"/>
              <w:spacing w:before="40" w:after="40"/>
              <w:rPr>
                <w:lang w:val="es-MX"/>
              </w:rPr>
            </w:pPr>
            <w:r>
              <w:rPr>
                <w:lang w:val="es-MX"/>
              </w:rPr>
              <w:t>Aplicación de TOGAF a la Municipalidad Metropolitana de Lima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start w:val="single" w:sz="6" w:space="0" w:color="000000"/>
            </w:tcBorders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Prepared By:</w:t>
            </w:r>
          </w:p>
        </w:tc>
        <w:tc>
          <w:tcPr>
            <w:tcW w:w="3240" w:type="dxa"/>
            <w:tcBorders/>
          </w:tcPr>
          <w:p>
            <w:pPr>
              <w:pStyle w:val="TableMedium"/>
              <w:spacing w:before="40" w:after="40"/>
              <w:rPr/>
            </w:pPr>
            <w:r>
              <w:rPr/>
              <w:t>Grupo 3</w:t>
            </w:r>
          </w:p>
        </w:tc>
        <w:tc>
          <w:tcPr>
            <w:tcW w:w="2250" w:type="dxa"/>
            <w:tcBorders/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Document Version No:</w:t>
            </w:r>
          </w:p>
        </w:tc>
        <w:tc>
          <w:tcPr>
            <w:tcW w:w="1530" w:type="dxa"/>
            <w:tcBorders>
              <w:end w:val="single" w:sz="6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fldChar w:fldCharType="begin"/>
            </w:r>
            <w:r>
              <w:rPr/>
              <w:instrText xml:space="preserve"> DOCPROPERTY "Doc_Ver_Num"</w:instrText>
            </w:r>
            <w:r>
              <w:rPr/>
              <w:fldChar w:fldCharType="separate"/>
            </w:r>
            <w:r>
              <w:rPr/>
              <w:t>0.1</w:t>
            </w:r>
            <w:r>
              <w:rPr/>
              <w:fldChar w:fldCharType="end"/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start w:val="single" w:sz="6" w:space="0" w:color="000000"/>
            </w:tcBorders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Title:</w:t>
            </w:r>
          </w:p>
        </w:tc>
        <w:tc>
          <w:tcPr>
            <w:tcW w:w="3240" w:type="dxa"/>
            <w:tcBorders/>
          </w:tcPr>
          <w:p>
            <w:pPr>
              <w:pStyle w:val="TableMedium"/>
              <w:spacing w:before="40" w:after="40"/>
              <w:rPr/>
            </w:pPr>
            <w:r>
              <w:rPr/>
              <w:t>Architecture Repository</w:t>
            </w:r>
          </w:p>
        </w:tc>
        <w:tc>
          <w:tcPr>
            <w:tcW w:w="2250" w:type="dxa"/>
            <w:tcBorders/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Document Version Date:</w:t>
            </w:r>
          </w:p>
        </w:tc>
        <w:tc>
          <w:tcPr>
            <w:tcW w:w="1530" w:type="dxa"/>
            <w:tcBorders>
              <w:end w:val="single" w:sz="6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JUN 2026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Reviewed By: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250" w:type="dxa"/>
            <w:tcBorders>
              <w:bottom w:val="single" w:sz="6" w:space="0" w:color="000000"/>
            </w:tcBorders>
          </w:tcPr>
          <w:p>
            <w:pPr>
              <w:pStyle w:val="TableSmHeadingRight"/>
              <w:spacing w:before="60" w:after="40"/>
              <w:jc w:val="end"/>
              <w:rPr/>
            </w:pPr>
            <w:r>
              <w:rPr/>
              <w:t>Review Date:</w:t>
            </w:r>
          </w:p>
        </w:tc>
        <w:tc>
          <w:tcPr>
            <w:tcW w:w="153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HPTableTitle"/>
        <w:rPr/>
      </w:pPr>
      <w:bookmarkStart w:id="1" w:name="hp_LogicalHeaderComplete"/>
      <w:bookmarkStart w:id="2" w:name="hp_DistributionList"/>
      <w:bookmarkEnd w:id="1"/>
      <w:bookmarkEnd w:id="2"/>
      <w:r>
        <w:rPr/>
        <w:t>Distribution List</w:t>
      </w:r>
    </w:p>
    <w:tbl>
      <w:tblPr>
        <w:tblW w:w="9799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24"/>
        <w:gridCol w:w="1488"/>
        <w:gridCol w:w="4087"/>
      </w:tblGrid>
      <w:tr>
        <w:trPr>
          <w:tblHeader w:val="true"/>
        </w:trPr>
        <w:tc>
          <w:tcPr>
            <w:tcW w:w="4224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From</w:t>
            </w:r>
          </w:p>
        </w:tc>
        <w:tc>
          <w:tcPr>
            <w:tcW w:w="1488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Date</w:t>
            </w:r>
          </w:p>
        </w:tc>
        <w:tc>
          <w:tcPr>
            <w:tcW w:w="4087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Phone/Fax/Email</w:t>
            </w:r>
          </w:p>
        </w:tc>
      </w:tr>
      <w:tr>
        <w:trPr/>
        <w:tc>
          <w:tcPr>
            <w:tcW w:w="4224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Grupo 3</w:t>
            </w:r>
          </w:p>
        </w:tc>
        <w:tc>
          <w:tcPr>
            <w:tcW w:w="14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Jun 2026</w:t>
            </w:r>
          </w:p>
        </w:tc>
        <w:tc>
          <w:tcPr>
            <w:tcW w:w="40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Jean.vila.c@uni.pe</w:t>
            </w:r>
          </w:p>
        </w:tc>
      </w:tr>
      <w:tr>
        <w:trPr/>
        <w:tc>
          <w:tcPr>
            <w:tcW w:w="4224" w:type="dxa"/>
            <w:tcBorders>
              <w:top w:val="dotted" w:sz="4" w:space="0" w:color="000000"/>
              <w:start w:val="single" w:sz="6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88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087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Normal"/>
        <w:rPr>
          <w:sz w:val="4"/>
        </w:rPr>
      </w:pPr>
      <w:r>
        <w:rPr>
          <w:sz w:val="4"/>
        </w:rPr>
      </w:r>
    </w:p>
    <w:tbl>
      <w:tblPr>
        <w:tblW w:w="981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08"/>
        <w:gridCol w:w="1416"/>
        <w:gridCol w:w="1488"/>
        <w:gridCol w:w="4098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 xml:space="preserve">To </w:t>
            </w:r>
          </w:p>
        </w:tc>
        <w:tc>
          <w:tcPr>
            <w:tcW w:w="1416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Action*</w:t>
            </w:r>
          </w:p>
        </w:tc>
        <w:tc>
          <w:tcPr>
            <w:tcW w:w="1488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Due Date</w:t>
            </w:r>
          </w:p>
        </w:tc>
        <w:tc>
          <w:tcPr>
            <w:tcW w:w="4098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Phone/Fax/Email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1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09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1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09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1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8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09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start w:val="single" w:sz="6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16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488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4098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HPInternal"/>
        <w:rPr/>
      </w:pPr>
      <w:r>
        <w:rPr/>
        <w:t>* Action Types: Approve, Review, Inform, File, Action Required, Attend Meeting, Other (please specify)</w:t>
      </w:r>
    </w:p>
    <w:p>
      <w:pPr>
        <w:pStyle w:val="HPTableTitle"/>
        <w:rPr/>
      </w:pPr>
      <w:bookmarkStart w:id="3" w:name="hp_DistributionList"/>
      <w:bookmarkStart w:id="4" w:name="hp_RevisionHistory"/>
      <w:bookmarkEnd w:id="3"/>
      <w:bookmarkEnd w:id="4"/>
      <w:r>
        <w:rPr/>
        <w:t>Document Version History</w:t>
      </w:r>
    </w:p>
    <w:tbl>
      <w:tblPr>
        <w:tblW w:w="981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36"/>
        <w:gridCol w:w="1032"/>
        <w:gridCol w:w="1368"/>
        <w:gridCol w:w="3960"/>
        <w:gridCol w:w="2514"/>
      </w:tblGrid>
      <w:tr>
        <w:trPr>
          <w:tblHeader w:val="true"/>
        </w:trPr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Ver. No.</w:t>
            </w:r>
          </w:p>
        </w:tc>
        <w:tc>
          <w:tcPr>
            <w:tcW w:w="1032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Ver. Date</w:t>
            </w:r>
          </w:p>
        </w:tc>
        <w:tc>
          <w:tcPr>
            <w:tcW w:w="1368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Revised By</w:t>
            </w:r>
          </w:p>
        </w:tc>
        <w:tc>
          <w:tcPr>
            <w:tcW w:w="3960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Description</w:t>
            </w:r>
          </w:p>
        </w:tc>
        <w:tc>
          <w:tcPr>
            <w:tcW w:w="2514" w:type="dxa"/>
            <w:tcBorders>
              <w:top w:val="single" w:sz="6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SmHeading"/>
              <w:keepNext w:val="true"/>
              <w:keepLines/>
              <w:spacing w:before="60" w:after="40"/>
              <w:rPr/>
            </w:pPr>
            <w:r>
              <w:rPr/>
              <w:t>Filename</w:t>
            </w:r>
          </w:p>
        </w:tc>
      </w:tr>
      <w:tr>
        <w:trPr/>
        <w:tc>
          <w:tcPr>
            <w:tcW w:w="936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0.1</w:t>
            </w:r>
          </w:p>
        </w:tc>
        <w:tc>
          <w:tcPr>
            <w:tcW w:w="103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Jun 2026</w:t>
            </w:r>
          </w:p>
        </w:tc>
        <w:tc>
          <w:tcPr>
            <w:tcW w:w="13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3960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TableMedium"/>
              <w:spacing w:before="40" w:after="40"/>
              <w:rPr>
                <w:lang w:val="es-MX"/>
              </w:rPr>
            </w:pPr>
            <w:r>
              <w:rPr>
                <w:lang w:val="es-MX"/>
              </w:rPr>
              <w:t>Creación inicial del Architecture Repository — Fase Preliminar</w:t>
            </w:r>
          </w:p>
        </w:tc>
        <w:tc>
          <w:tcPr>
            <w:tcW w:w="2514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TableMedium"/>
              <w:spacing w:before="40" w:after="40"/>
              <w:rPr/>
            </w:pPr>
            <w:r>
              <w:rPr/>
              <w:t>TOGAF_Architecture_Repository_MuniLima_v0.1.docx</w:t>
            </w:r>
          </w:p>
        </w:tc>
      </w:tr>
      <w:tr>
        <w:trPr/>
        <w:tc>
          <w:tcPr>
            <w:tcW w:w="936" w:type="dxa"/>
            <w:tcBorders>
              <w:top w:val="dotted" w:sz="4" w:space="0" w:color="000000"/>
              <w:start w:val="single" w:sz="6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032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1368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3960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dotted" w:sz="4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  <w:tc>
          <w:tcPr>
            <w:tcW w:w="2514" w:type="dxa"/>
            <w:tcBorders>
              <w:top w:val="dotted" w:sz="4" w:space="0" w:color="000000"/>
              <w:start w:val="dotted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Medium"/>
              <w:snapToGrid w:val="false"/>
              <w:spacing w:before="40" w:after="40"/>
              <w:rPr/>
            </w:pPr>
            <w:r>
              <w:rPr/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5" w:name="hp_RevisionHistory"/>
      <w:bookmarkStart w:id="6" w:name="hp_RevisionHistory"/>
      <w:bookmarkEnd w:id="6"/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Heading1"/>
        <w:shd w:fill="C0C0C0" w:val="clear"/>
        <w:ind w:hanging="432" w:start="432" w:end="566"/>
        <w:rPr/>
      </w:pPr>
      <w:bookmarkStart w:id="7" w:name="__RefHeading___Toc254706915"/>
      <w:bookmarkEnd w:id="7"/>
      <w:r>
        <w:rPr/>
        <w:t>Document Purpose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font-claude-response-body"/>
        <w:rPr/>
      </w:pPr>
      <w:bookmarkStart w:id="8" w:name="__RefHeading___Toc254706916"/>
      <w:r>
        <w:rPr/>
        <w:t>Este documento describe el Repositorio de Arquitectura de la Municipalidad Metropolitana de Lima, desarrollado en el marco de la aplicación del método ADM de TOGAF 9.</w:t>
      </w:r>
    </w:p>
    <w:p>
      <w:pPr>
        <w:pStyle w:val="font-claude-response-body"/>
        <w:rPr/>
      </w:pPr>
      <w:r>
        <w:rPr/>
        <w:t>El Architecture Repository actúa como el área central de almacenamiento y gestión de todos los proyectos y entregables relacionados con la Arquitectura Empresarial de la institución. Permite a los equipos de trabajo gestionar sus entregables, localizar activos reutilizables y publicar resultados para los stakeholders y demás partes interesadas.</w:t>
      </w:r>
    </w:p>
    <w:p>
      <w:pPr>
        <w:pStyle w:val="font-claude-response-body"/>
        <w:rPr/>
      </w:pPr>
      <w:r>
        <w:rPr/>
        <w:t>En el contexto de la Municipalidad Metropolitana de Lima, este repositorio centraliza los marcos de referencia adoptados, los estándares institucionales, el panorama arquitectónico actual y objetivo, las arquitecturas de referencia aplicables y el registro de gobierno de arquitectura, sirviendo como fuente única de verdad para todas las decisiones arquitectónicas de la institución.</w:t>
      </w:r>
      <w:r>
        <w:br w:type="page"/>
      </w:r>
    </w:p>
    <w:p>
      <w:pPr>
        <w:pStyle w:val="Heading1"/>
        <w:shd w:fill="C0C0C0" w:val="clear"/>
        <w:ind w:hanging="432" w:start="432" w:end="566"/>
        <w:rPr/>
      </w:pPr>
      <w:bookmarkStart w:id="9" w:name="__RefHeading___Toc254706916"/>
      <w:r>
        <w:rPr/>
        <w:t>Architecture Framework</w:t>
      </w:r>
      <w:bookmarkEnd w:id="9"/>
    </w:p>
    <w:p>
      <w:pPr>
        <w:pStyle w:val="Heading2"/>
        <w:ind w:hanging="0" w:start="0"/>
        <w:rPr/>
      </w:pPr>
      <w:bookmarkStart w:id="10" w:name="__RefHeading___Toc254706917"/>
      <w:bookmarkEnd w:id="10"/>
      <w:r>
        <w:rPr/>
        <w:t>Overview</w:t>
      </w:r>
    </w:p>
    <w:p>
      <w:pPr>
        <w:pStyle w:val="Normal"/>
        <w:rPr/>
      </w:pPr>
      <w:r>
        <w:rPr/>
      </w:r>
    </w:p>
    <w:p>
      <w:pPr>
        <w:pStyle w:val="font-claude-response-body"/>
        <w:rPr/>
      </w:pPr>
      <w:r>
        <w:rPr/>
        <w:t>La Municipalidad Metropolitana de Lima ha adoptado un marco de arquitectura empresarial basado en TOGAF 9 como metodología principal, complementado con el Marco de Arquitectura Digital del Estado Peruano (MADE) definido por la Secretaría de Gobierno y Transformación Digital de la PCM, y ArchiMate 3.1 como lenguaje de modelado estándar.</w:t>
      </w:r>
    </w:p>
    <w:p>
      <w:pPr>
        <w:pStyle w:val="font-claude-response-body"/>
        <w:rPr/>
      </w:pPr>
      <w:r>
        <w:rPr/>
        <w:t>Este marco proporciona el método, los conceptos, los principios y las herramientas necesarias para desarrollar, gestionar y gobernar la arquitectura empresarial de la institución de manera sistemática, alineada con los objetivos del Plan Estratégico Institucional (PEI) y con la normativa de Gobierno Digital vigente en el Perú.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Heading2"/>
        <w:ind w:hanging="0" w:start="0"/>
        <w:rPr/>
      </w:pPr>
      <w:bookmarkStart w:id="11" w:name="__RefHeading___Toc254706918"/>
      <w:bookmarkEnd w:id="11"/>
      <w:r>
        <w:rPr/>
        <w:t>Architecture Framework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144135" cy="3477260"/>
            <wp:effectExtent l="0" t="0" r="0" b="0"/>
            <wp:docPr id="2" name="Imagen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10" r="-7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hd w:fill="C0C0C0" w:val="clear"/>
        <w:ind w:hanging="432" w:start="432" w:end="566"/>
        <w:rPr/>
      </w:pPr>
      <w:bookmarkStart w:id="12" w:name="__RefHeading___Toc254706919"/>
      <w:bookmarkEnd w:id="12"/>
      <w:r>
        <w:rPr/>
        <w:t>Standards Information Base</w:t>
      </w:r>
    </w:p>
    <w:p>
      <w:pPr>
        <w:pStyle w:val="Heading2"/>
        <w:ind w:hanging="0" w:start="0"/>
        <w:rPr/>
      </w:pPr>
      <w:bookmarkStart w:id="13" w:name="__RefHeading___Toc254706920"/>
      <w:bookmarkEnd w:id="13"/>
      <w:r>
        <w:rPr/>
        <w:t>Overview</w:t>
      </w:r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La Base de Información de Estándares define el conjunto de normas, marcos y estándares técnicos que rigen el diseño, desarrollo e implementación de soluciones en la Municipalidad Metropolitana de Lima. Estos estándares aseguran la coherencia, interoperabilidad y calidad de los sistemas y procesos institucionales, en cumplimiento de la normativa del Estado peruano y las mejores prácticas internacionales.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Heading2"/>
        <w:ind w:hanging="0" w:start="0"/>
        <w:rPr/>
      </w:pPr>
      <w:bookmarkStart w:id="14" w:name="__RefHeading___Toc254706921"/>
      <w:bookmarkEnd w:id="14"/>
      <w:r>
        <w:rPr/>
        <w:t>Standards Classification</w:t>
      </w:r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Los estándares se clasifican en cuatro dominios alineados con los dominios de arquitectura de TOGAF: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 w:eastAsia="en-US"/>
        </w:rPr>
      </w:pPr>
      <w:r>
        <w:rPr>
          <w:lang w:val="es-MX" w:eastAsia="en-US"/>
        </w:rPr>
        <w:drawing>
          <wp:inline distT="0" distB="0" distL="0" distR="0">
            <wp:extent cx="5144135" cy="2181225"/>
            <wp:effectExtent l="0" t="0" r="0" b="0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17" r="-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 w:eastAsia="en-US"/>
        </w:rPr>
      </w:pPr>
      <w:r>
        <w:rPr>
          <w:lang w:val="es-MX" w:eastAsia="en-US"/>
        </w:rPr>
      </w:r>
    </w:p>
    <w:p>
      <w:pPr>
        <w:pStyle w:val="Heading2"/>
        <w:ind w:hanging="0" w:start="0"/>
        <w:rPr/>
      </w:pPr>
      <w:bookmarkStart w:id="15" w:name="__RefHeading___Toc254706922"/>
      <w:bookmarkEnd w:id="15"/>
      <w:r>
        <w:rPr/>
        <w:t>Business Standards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106035" cy="2085975"/>
            <wp:effectExtent l="0" t="0" r="0" b="0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17" r="-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Heading2"/>
        <w:ind w:hanging="0" w:start="0"/>
        <w:rPr/>
      </w:pPr>
      <w:bookmarkStart w:id="16" w:name="__RefHeading___Toc254706923"/>
      <w:bookmarkEnd w:id="16"/>
      <w:r>
        <w:rPr/>
        <w:t>Data Standards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125085" cy="2277110"/>
            <wp:effectExtent l="0" t="0" r="0" b="0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17" w:name="__RefHeading___Toc254706924"/>
      <w:bookmarkEnd w:id="17"/>
      <w:r>
        <w:rPr/>
        <w:t>Application Standards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144135" cy="2277110"/>
            <wp:effectExtent l="0" t="0" r="0" b="0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18" w:name="__RefHeading___Toc254706925"/>
      <w:bookmarkEnd w:id="18"/>
      <w:r>
        <w:rPr/>
        <w:t>Technology Standards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144135" cy="2114550"/>
            <wp:effectExtent l="0" t="0" r="0" b="0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" t="-17" r="-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hd w:fill="C0C0C0" w:val="clear"/>
        <w:ind w:hanging="432" w:start="432" w:end="566"/>
        <w:rPr/>
      </w:pPr>
      <w:bookmarkStart w:id="19" w:name="__RefHeading___Toc254706926"/>
      <w:bookmarkEnd w:id="19"/>
      <w:r>
        <w:rPr/>
        <w:t>Architecture Landscape</w:t>
      </w:r>
    </w:p>
    <w:p>
      <w:pPr>
        <w:pStyle w:val="Heading2"/>
        <w:ind w:hanging="0" w:start="0"/>
        <w:rPr/>
      </w:pPr>
      <w:bookmarkStart w:id="20" w:name="__RefHeading___Toc254706927"/>
      <w:bookmarkEnd w:id="20"/>
      <w:r>
        <w:rPr/>
        <w:t>Strategic Architectures</w:t>
      </w:r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La arquitectura estratégica de la Municipalidad Metropolitana de Lima define la dirección de largo plazo de la transformación digital institucional, alineada con los siguientes objetivos estratégicos: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 w:eastAsia="en-US"/>
        </w:rPr>
        <w:drawing>
          <wp:inline distT="0" distB="0" distL="0" distR="0">
            <wp:extent cx="5946775" cy="3039110"/>
            <wp:effectExtent l="0" t="0" r="0" b="0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Heading2"/>
        <w:ind w:hanging="0" w:start="0"/>
        <w:rPr/>
      </w:pPr>
      <w:bookmarkStart w:id="21" w:name="__RefHeading___Toc254706928"/>
      <w:bookmarkEnd w:id="21"/>
      <w:r>
        <w:rPr/>
        <w:t>Segment Architectures</w:t>
      </w:r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Las arquitecturas de segmento definen la arquitectura de cada dominio funcional de la municipalidad: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 w:eastAsia="en-US"/>
        </w:rPr>
        <w:drawing>
          <wp:inline distT="0" distB="0" distL="0" distR="0">
            <wp:extent cx="5945505" cy="3051810"/>
            <wp:effectExtent l="0" t="0" r="0" b="0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Heading2"/>
        <w:ind w:hanging="0" w:start="0"/>
        <w:rPr/>
      </w:pPr>
      <w:bookmarkStart w:id="22" w:name="__RefHeading___Toc254706929"/>
      <w:bookmarkEnd w:id="22"/>
      <w:r>
        <w:rPr/>
        <w:t>Capability Architectures</w:t>
      </w:r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Las arquitecturas de capacidad definen las capacidades específicas que la municipalidad debe desarrollar para alcanzar su arquitectura objetivo: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 w:eastAsia="en-US"/>
        </w:rPr>
        <w:drawing>
          <wp:inline distT="0" distB="0" distL="0" distR="0">
            <wp:extent cx="5943600" cy="3046095"/>
            <wp:effectExtent l="0" t="0" r="0" b="0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</w:r>
      <w:r>
        <w:br w:type="page"/>
      </w:r>
    </w:p>
    <w:p>
      <w:pPr>
        <w:pStyle w:val="Heading1"/>
        <w:shd w:fill="C0C0C0" w:val="clear"/>
        <w:ind w:hanging="432" w:start="432" w:end="566"/>
        <w:rPr/>
      </w:pPr>
      <w:bookmarkStart w:id="23" w:name="__RefHeading___Toc254706930"/>
      <w:bookmarkEnd w:id="23"/>
      <w:r>
        <w:rPr/>
        <w:t>Reference Architectures</w:t>
      </w:r>
    </w:p>
    <w:p>
      <w:pPr>
        <w:pStyle w:val="Heading2"/>
        <w:ind w:hanging="0" w:start="0"/>
        <w:rPr/>
      </w:pPr>
      <w:bookmarkStart w:id="24" w:name="__RefHeading___Toc254706931"/>
      <w:bookmarkEnd w:id="24"/>
      <w:r>
        <w:rPr/>
        <w:t>Overview</w:t>
      </w:r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Las arquitecturas de referencia proveen modelos, patrones y mejores prácticas reutilizables que orientan el diseño de soluciones en la Municipalidad Metropolitana de Lima. Se han identificado las siguientes fuentes de arquitecturas de referencia aplicables al proyecto.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Heading2"/>
        <w:ind w:hanging="0" w:start="0"/>
        <w:rPr/>
      </w:pPr>
      <w:bookmarkStart w:id="25" w:name="__RefHeading___Toc254706932"/>
      <w:r>
        <w:rPr/>
        <w:t>Standards Bodies</w:t>
      </w:r>
      <w:bookmarkEnd w:id="25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6775" cy="2796540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5" t="-11" r="-5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Heading2"/>
        <w:ind w:hanging="0" w:start="0"/>
        <w:rPr/>
      </w:pPr>
      <w:bookmarkStart w:id="26" w:name="__RefHeading___Toc254706933"/>
      <w:r>
        <w:rPr/>
        <w:t>Product and Service Vendors</w:t>
      </w:r>
      <w:bookmarkEnd w:id="26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4235" cy="2272665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5" t="-14" r="-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ind w:hanging="0" w:start="0"/>
        <w:rPr/>
      </w:pPr>
      <w:bookmarkStart w:id="27" w:name="__RefHeading___Toc254706934"/>
      <w:r>
        <w:rPr/>
        <w:t>Industry Communities or Forums</w:t>
      </w:r>
      <w:bookmarkEnd w:id="27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6775" cy="195707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5" t="-16" r="-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ind w:hanging="0" w:start="0"/>
        <w:rPr/>
      </w:pPr>
      <w:bookmarkStart w:id="28" w:name="__RefHeading___Toc254706935"/>
      <w:r>
        <w:rPr/>
        <w:t>Corporately Defined Templates</w:t>
      </w:r>
      <w:bookmarkEnd w:id="28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1060" cy="2043430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5" t="-15" r="-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ind w:hanging="0" w:start="0"/>
        <w:rPr/>
      </w:pPr>
      <w:bookmarkStart w:id="29" w:name="__RefHeading___Toc254706936"/>
      <w:r>
        <w:rPr/>
        <w:t>Best Practice</w:t>
      </w:r>
      <w:bookmarkEnd w:id="29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0425" cy="3003550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5" t="-10" r="-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hd w:fill="C0C0C0" w:val="clear"/>
        <w:ind w:hanging="432" w:start="432" w:end="566"/>
        <w:rPr/>
      </w:pPr>
      <w:bookmarkStart w:id="30" w:name="__RefHeading___Toc254706937"/>
      <w:bookmarkEnd w:id="30"/>
      <w:r>
        <w:rPr/>
        <w:t>Governance Log</w:t>
      </w:r>
    </w:p>
    <w:p>
      <w:pPr>
        <w:pStyle w:val="Normal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>
          <w:rFonts w:eastAsia="Arial"/>
          <w:lang w:val="en-GB" w:eastAsia="en-GB"/>
        </w:rPr>
        <w:t xml:space="preserve"> </w:t>
      </w:r>
      <w:bookmarkStart w:id="31" w:name="__RefHeading___Toc254706938"/>
      <w:r>
        <w:rPr/>
        <w:t>Overview</w:t>
      </w:r>
      <w:bookmarkEnd w:id="31"/>
    </w:p>
    <w:p>
      <w:pPr>
        <w:pStyle w:val="Normal"/>
        <w:rPr/>
      </w:pPr>
      <w:r>
        <w:rPr/>
      </w:r>
    </w:p>
    <w:p>
      <w:pPr>
        <w:pStyle w:val="Normal"/>
        <w:rPr>
          <w:lang w:val="es-MX"/>
        </w:rPr>
      </w:pPr>
      <w:r>
        <w:rPr>
          <w:lang w:val="es-MX"/>
        </w:rPr>
        <w:t>El Registro de Gobierno documenta todas las decisiones, evaluaciones y actividades de gobierno de la Arquitectura Empresarial de la Municipalidad Metropolitana de Lima. Es administrado por el Comité de Arquitectura Empresarial y constituye el mecanismo formal de trazabilidad y control del programa de transformación arquitectónica institucional.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Heading2"/>
        <w:ind w:hanging="0" w:start="0"/>
        <w:rPr/>
      </w:pPr>
      <w:bookmarkStart w:id="32" w:name="__RefHeading___Toc254706939"/>
      <w:bookmarkEnd w:id="32"/>
      <w:r>
        <w:rPr/>
        <w:t>Decision Log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1060" cy="3559810"/>
            <wp:effectExtent l="0" t="0" r="0" b="0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Heading2"/>
        <w:ind w:hanging="0" w:start="0"/>
        <w:rPr/>
      </w:pPr>
      <w:bookmarkStart w:id="33" w:name="__RefHeading___Toc254706940"/>
      <w:bookmarkEnd w:id="33"/>
      <w:r>
        <w:rPr/>
        <w:t>Compliance Assessments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4235" cy="2347595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5" t="-13" r="-5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34" w:name="__RefHeading___Toc254706941"/>
      <w:bookmarkEnd w:id="34"/>
      <w:r>
        <w:rPr/>
        <w:t>Capability Assessments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4235" cy="2023110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5" t="-16" r="-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Heading2"/>
        <w:ind w:hanging="0" w:start="0"/>
        <w:rPr/>
      </w:pPr>
      <w:bookmarkStart w:id="35" w:name="__RefHeading___Toc254706942"/>
      <w:bookmarkEnd w:id="35"/>
      <w:r>
        <w:rPr/>
        <w:t>Calendar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4235" cy="2988945"/>
            <wp:effectExtent l="0" t="0" r="0" b="0"/>
            <wp:docPr id="1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5" t="-11" r="-5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bookmarkStart w:id="36" w:name="__RefHeading___Toc254706943"/>
      <w:bookmarkEnd w:id="36"/>
      <w:r>
        <w:rPr/>
        <w:t>Project Portfolio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4235" cy="3588385"/>
            <wp:effectExtent l="0" t="0" r="0" b="0"/>
            <wp:docPr id="20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</w:p>
    <w:p>
      <w:pPr>
        <w:pStyle w:val="Heading2"/>
        <w:ind w:hanging="0" w:start="0"/>
        <w:rPr/>
      </w:pPr>
      <w:bookmarkStart w:id="37" w:name="__RefHeading___Toc254706944"/>
      <w:bookmarkEnd w:id="37"/>
      <w:r>
        <w:rPr/>
        <w:t>Performance Measurement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5942330" cy="3621405"/>
            <wp:effectExtent l="0" t="0" r="0" b="0"/>
            <wp:docPr id="21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vanish/>
        </w:rPr>
      </w:pPr>
      <w:r>
        <w:rPr/>
      </w:r>
      <w:bookmarkStart w:id="38" w:name="_PictureBullets"/>
      <w:bookmarkStart w:id="39" w:name="_PictureBullets"/>
      <w:bookmarkEnd w:id="39"/>
    </w:p>
    <w:sectPr>
      <w:headerReference w:type="default" r:id="rId23"/>
      <w:headerReference w:type="first" r:id="rId24"/>
      <w:footerReference w:type="default" r:id="rId25"/>
      <w:footerReference w:type="first" r:id="rId26"/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10" w:type="dxa"/>
      <w:jc w:val="start"/>
      <w:tblInd w:w="71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610"/>
      <w:gridCol w:w="4320"/>
      <w:gridCol w:w="6"/>
      <w:gridCol w:w="2874"/>
    </w:tblGrid>
    <w:tr>
      <w:trPr/>
      <w:tc>
        <w:tcPr>
          <w:tcW w:w="2610" w:type="dxa"/>
          <w:tcBorders/>
        </w:tcPr>
        <w:p>
          <w:pPr>
            <w:pStyle w:val="Normal"/>
            <w:keepNext w:val="true"/>
            <w:keepLines/>
            <w:spacing w:before="60" w:after="20"/>
            <w:rPr>
              <w:rFonts w:ascii="Arial" w:hAnsi="Arial" w:cs="Arial"/>
              <w:sz w:val="16"/>
              <w:szCs w:val="16"/>
            </w:rPr>
          </w:pPr>
          <w:bookmarkStart w:id="40" w:name="hp_Footer"/>
          <w:bookmarkEnd w:id="40"/>
          <w:r>
            <w:rPr>
              <w:rFonts w:cs="Arial" w:ascii="Arial" w:hAnsi="Arial"/>
              <w:sz w:val="16"/>
              <w:szCs w:val="16"/>
            </w:rPr>
            <w:t>Version: 0.1</w:t>
          </w:r>
        </w:p>
      </w:tc>
      <w:tc>
        <w:tcPr>
          <w:tcW w:w="4320" w:type="dxa"/>
          <w:tcBorders/>
        </w:tcPr>
        <w:p>
          <w:pPr>
            <w:pStyle w:val="Table"/>
            <w:spacing w:before="60" w:after="20"/>
            <w:jc w:val="center"/>
            <w:rPr>
              <w:rFonts w:cs="Arial"/>
              <w:i/>
              <w:i/>
              <w:sz w:val="16"/>
              <w:szCs w:val="16"/>
            </w:rPr>
          </w:pPr>
          <w:r>
            <w:rPr>
              <w:rFonts w:cs="Arial"/>
              <w:i/>
              <w:sz w:val="16"/>
              <w:szCs w:val="16"/>
            </w:rPr>
            <w:t>Not Protectively Marked</w:t>
          </w:r>
        </w:p>
      </w:tc>
      <w:tc>
        <w:tcPr>
          <w:tcW w:w="2880" w:type="dxa"/>
          <w:gridSpan w:val="2"/>
          <w:tcBorders/>
        </w:tcPr>
        <w:p>
          <w:pPr>
            <w:pStyle w:val="Normal"/>
            <w:spacing w:before="60" w:after="20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Page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17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16"/>
              <w:szCs w:val="16"/>
            </w:rPr>
            <w:t xml:space="preserve"> of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NUMPAGES \* ARABIC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17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</w:tr>
    <w:tr>
      <w:trPr/>
      <w:tc>
        <w:tcPr>
          <w:tcW w:w="2610" w:type="dxa"/>
          <w:tcBorders>
            <w:top w:val="single" w:sz="12" w:space="0" w:color="000000"/>
          </w:tcBorders>
        </w:tcPr>
        <w:p>
          <w:pPr>
            <w:pStyle w:val="Normal"/>
            <w:keepNext w:val="true"/>
            <w:keepLines/>
            <w:snapToGrid w:val="false"/>
            <w:spacing w:before="40" w:after="0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4326" w:type="dxa"/>
          <w:gridSpan w:val="2"/>
          <w:tcBorders>
            <w:top w:val="single" w:sz="12" w:space="0" w:color="000000"/>
          </w:tcBorders>
        </w:tcPr>
        <w:p>
          <w:pPr>
            <w:pStyle w:val="Normal"/>
            <w:keepNext w:val="true"/>
            <w:keepLines/>
            <w:spacing w:before="40" w:after="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Architecture Repository v0.1</w:t>
          </w:r>
        </w:p>
      </w:tc>
      <w:tc>
        <w:tcPr>
          <w:tcW w:w="2874" w:type="dxa"/>
          <w:tcBorders>
            <w:top w:val="single" w:sz="12" w:space="0" w:color="000000"/>
          </w:tcBorders>
        </w:tcPr>
        <w:p>
          <w:pPr>
            <w:pStyle w:val="Normal"/>
            <w:keepNext w:val="true"/>
            <w:keepLines/>
            <w:spacing w:before="40" w:after="0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Last changed: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SAVEDATE \@"dd\ MMM\ yyyy"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05 Jun 2026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16"/>
              <w:szCs w:val="16"/>
            </w:rPr>
            <w:t xml:space="preserve"> at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SAVEDATE \@"HH:mm"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08:31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71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736"/>
      <w:gridCol w:w="4014"/>
      <w:gridCol w:w="2610"/>
    </w:tblGrid>
    <w:tr>
      <w:trPr>
        <w:trHeight w:val="576" w:hRule="atLeast"/>
        <w:cantSplit w:val="true"/>
      </w:trPr>
      <w:tc>
        <w:tcPr>
          <w:tcW w:w="2736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tted" w:sz="4" w:space="0" w:color="000000"/>
          </w:tcBorders>
          <w:vAlign w:val="center"/>
        </w:tcPr>
        <w:p>
          <w:pPr>
            <w:pStyle w:val="Heading4"/>
            <w:numPr>
              <w:ilvl w:val="0"/>
              <w:numId w:val="0"/>
            </w:numPr>
            <w:snapToGrid w:val="false"/>
            <w:spacing w:before="80" w:after="80"/>
            <w:ind w:hanging="0" w:start="0"/>
            <w:jc w:val="center"/>
            <w:rPr/>
          </w:pPr>
          <w:r>
            <w:rPr/>
          </w:r>
        </w:p>
      </w:tc>
      <w:tc>
        <w:tcPr>
          <w:tcW w:w="4014" w:type="dxa"/>
          <w:tcBorders>
            <w:top w:val="double" w:sz="4" w:space="0" w:color="000000"/>
            <w:start w:val="dotted" w:sz="4" w:space="0" w:color="000000"/>
            <w:bottom w:val="doub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1056" w:leader="none"/>
            </w:tabs>
            <w:spacing w:before="80" w:after="80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</w:rPr>
            <w:t>Architecture Repository</w:t>
          </w:r>
        </w:p>
      </w:tc>
      <w:tc>
        <w:tcPr>
          <w:tcW w:w="2610" w:type="dxa"/>
          <w:tcBorders>
            <w:top w:val="double" w:sz="4" w:space="0" w:color="000000"/>
            <w:start w:val="dotted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pacing w:before="80" w:after="80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Project XXX</w:t>
          </w:r>
        </w:p>
      </w:tc>
    </w:tr>
  </w:tbl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pStyle w:val="Heading2"/>
      <w:numFmt w:val="decimal"/>
      <w:lvlText w:val="%1.%2"/>
      <w:lvlJc w:val="start"/>
      <w:pPr>
        <w:tabs>
          <w:tab w:val="num" w:pos="718"/>
        </w:tabs>
        <w:ind w:start="718" w:hanging="576"/>
      </w:pPr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4"/>
        </w:tabs>
        <w:ind w:start="644" w:hanging="360"/>
      </w:pPr>
      <w:rPr>
        <w:rFonts w:ascii="Symbol" w:hAnsi="Symbol" w:cs="Symbol" w:hint="default"/>
        <w:color w:val="000000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644"/>
        </w:tabs>
        <w:ind w:start="644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644"/>
        </w:tabs>
        <w:ind w:start="64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  <w:b/>
      <w:i w:val="false"/>
      <w:color w:val="000000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b/>
      <w:i w:val="false"/>
      <w:color w:val="00000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  <w:b/>
      <w:i w:val="false"/>
      <w:color w:val="000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  <w:b/>
      <w:i w:val="false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Arial" w:hAnsi="Arial" w:eastAsia="Times New Roman" w:cs="Aria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  <w:b/>
      <w:i w:val="false"/>
      <w:color w:val="000000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Arial" w:hAnsi="Arial" w:eastAsia="Times New Roman" w:cs="Aria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  <w:b/>
      <w:i w:val="false"/>
      <w:color w:val="000000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4">
    <w:name w:val="WW8Num25z4"/>
    <w:qFormat/>
    <w:rPr>
      <w:rFonts w:ascii="Courier New" w:hAnsi="Courier New" w:cs="Courier New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  <w:color w:val="00000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eastAsia="Times New Roman" w:cs="Aria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Arial" w:hAnsi="Arial" w:eastAsia="Times New Roman" w:cs="Aria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Wingdings" w:hAnsi="Wingdings" w:cs="Wingdings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>
      <w:rFonts w:ascii="Symbol" w:hAnsi="Symbol" w:cs="Symbol"/>
      <w:b/>
      <w:i w:val="false"/>
      <w:color w:val="000000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eastAsia="Times New Roman" w:cs="Aria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ascii="Arial" w:hAnsi="Arial" w:eastAsia="Times New Roman" w:cs="Aria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Ttulo1Car">
    <w:name w:val="Título 1 Car"/>
    <w:qFormat/>
    <w:rPr>
      <w:rFonts w:ascii="Arial" w:hAnsi="Arial" w:cs="Arial"/>
      <w:b/>
      <w:bCs/>
      <w:kern w:val="2"/>
      <w:sz w:val="32"/>
      <w:szCs w:val="32"/>
      <w:lang w:val="en-US" w:bidi="ar-SA"/>
    </w:rPr>
  </w:style>
  <w:style w:type="character" w:styleId="Ttulo2Car">
    <w:name w:val="Título 2 Car"/>
    <w:qFormat/>
    <w:rPr>
      <w:rFonts w:ascii="Arial" w:hAnsi="Arial" w:cs="Arial"/>
      <w:b/>
      <w:bCs/>
      <w:i/>
      <w:iCs/>
      <w:sz w:val="28"/>
      <w:szCs w:val="28"/>
      <w:lang w:val="en-US" w:bidi="ar-SA"/>
    </w:rPr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color w:val="0000FF"/>
      <w:u w:val="single"/>
    </w:rPr>
  </w:style>
  <w:style w:type="character" w:styleId="Corpsdetexte3Car">
    <w:name w:val="Corps de texte 3 Car"/>
    <w:qFormat/>
    <w:rPr>
      <w:rFonts w:ascii="Arial" w:hAnsi="Arial" w:cs="Arial"/>
      <w:color w:val="FF00FF"/>
      <w:lang w:val="en-GB" w:bidi="ar-SA"/>
    </w:rPr>
  </w:style>
  <w:style w:type="character" w:styleId="en-vidence">
    <w:name w:val="en-évidence"/>
    <w:qFormat/>
    <w:rPr>
      <w:b/>
      <w:smallCaps/>
      <w:color w:val="FF0000"/>
      <w:sz w:val="24"/>
    </w:rPr>
  </w:style>
  <w:style w:type="character" w:styleId="Titre3CarCar">
    <w:name w:val="Titre 3 Car Car"/>
    <w:qFormat/>
    <w:rPr>
      <w:rFonts w:ascii="Arial" w:hAnsi="Arial" w:cs="Arial"/>
      <w:b/>
      <w:color w:val="000000"/>
      <w:sz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120" w:after="0"/>
    </w:pPr>
    <w:rPr>
      <w:rFonts w:ascii="Arial" w:hAnsi="Arial" w:cs="Arial"/>
      <w:color w:val="000000"/>
    </w:rPr>
  </w:style>
  <w:style w:type="paragraph" w:styleId="List">
    <w:name w:val="List"/>
    <w:basedOn w:val="Normal"/>
    <w:pPr>
      <w:ind w:hanging="360" w:start="360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Label">
    <w:name w:val="Block Label"/>
    <w:basedOn w:val="Normal"/>
    <w:next w:val="Normal"/>
    <w:qFormat/>
    <w:pPr>
      <w:overflowPunct w:val="false"/>
      <w:autoSpaceDE w:val="false"/>
      <w:textAlignment w:val="baseline"/>
    </w:pPr>
    <w:rPr>
      <w:rFonts w:ascii="Times" w:hAnsi="Times" w:cs="Times"/>
      <w:b/>
      <w:sz w:val="22"/>
    </w:rPr>
  </w:style>
  <w:style w:type="paragraph" w:styleId="Textodebloque">
    <w:name w:val="Texto de bloque"/>
    <w:basedOn w:val="Normal"/>
    <w:qFormat/>
    <w:pPr>
      <w:overflowPunct w:val="false"/>
      <w:autoSpaceDE w:val="false"/>
      <w:textAlignment w:val="baseline"/>
    </w:pPr>
    <w:rPr>
      <w:rFonts w:ascii="Times" w:hAnsi="Times" w:cs="Times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Normal"/>
    <w:next w:val="Normal"/>
    <w:qFormat/>
    <w:pPr>
      <w:spacing w:before="60" w:after="60"/>
      <w:jc w:val="center"/>
    </w:pPr>
    <w:rPr>
      <w:rFonts w:ascii="Arial" w:hAnsi="Arial" w:cs="Arial"/>
      <w:b/>
      <w:bCs/>
      <w:sz w:val="24"/>
      <w:szCs w:val="24"/>
      <w:lang w:val="en-US" w:eastAsia="en-US"/>
    </w:rPr>
  </w:style>
  <w:style w:type="paragraph" w:styleId="TableText">
    <w:name w:val="TableText"/>
    <w:basedOn w:val="Normal"/>
    <w:qFormat/>
    <w:pPr>
      <w:spacing w:lineRule="exact" w:line="240" w:before="120" w:after="80"/>
      <w:ind w:hanging="0" w:start="0" w:end="72"/>
    </w:pPr>
    <w:rPr>
      <w:rFonts w:ascii="Arial" w:hAnsi="Arial" w:cs="Arial"/>
      <w:lang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Normal"/>
    <w:pPr>
      <w:tabs>
        <w:tab w:val="clear" w:pos="720"/>
        <w:tab w:val="center" w:pos="4536" w:leader="none"/>
        <w:tab w:val="right" w:pos="9072" w:leader="none"/>
      </w:tabs>
      <w:spacing w:before="60" w:after="60"/>
    </w:pPr>
    <w:rPr>
      <w:rFonts w:ascii="Arial" w:hAnsi="Arial" w:cs="Arial"/>
      <w:b/>
      <w:i/>
      <w:color w:val="0000FF"/>
      <w:sz w:val="48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ontinuarlista">
    <w:name w:val="Continuar lista"/>
    <w:basedOn w:val="Normal"/>
    <w:qFormat/>
    <w:pPr>
      <w:spacing w:before="60" w:after="120"/>
      <w:ind w:hanging="0" w:start="720" w:end="0"/>
    </w:pPr>
    <w:rPr>
      <w:rFonts w:ascii="Arial" w:hAnsi="Arial" w:cs="Arial"/>
    </w:rPr>
  </w:style>
  <w:style w:type="paragraph" w:styleId="ContentDescription">
    <w:name w:val="Content Description"/>
    <w:basedOn w:val="Normal"/>
    <w:qFormat/>
    <w:pPr/>
    <w:rPr>
      <w:rFonts w:ascii="Arial" w:hAnsi="Arial" w:cs="Arial"/>
      <w:i/>
    </w:rPr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Header2">
    <w:name w:val="Header 2"/>
    <w:qFormat/>
    <w:pPr>
      <w:widowControl/>
      <w:tabs>
        <w:tab w:val="clear" w:pos="720"/>
        <w:tab w:val="left" w:pos="4320" w:leader="none"/>
        <w:tab w:val="center" w:pos="8640" w:leader="none"/>
      </w:tabs>
      <w:bidi w:val="0"/>
    </w:pPr>
    <w:rPr>
      <w:rFonts w:ascii="Arial" w:hAnsi="Arial" w:eastAsia="Times New Roman" w:cs="Arial"/>
      <w:b/>
      <w:color w:val="auto"/>
      <w:sz w:val="18"/>
      <w:szCs w:val="18"/>
      <w:lang w:val="en-US" w:eastAsia="en-US" w:bidi="ar-SA"/>
    </w:rPr>
  </w:style>
  <w:style w:type="paragraph" w:styleId="TOC1">
    <w:name w:val="TOC 1"/>
    <w:basedOn w:val="Normal"/>
    <w:next w:val="Normal"/>
    <w:pPr/>
    <w:rPr>
      <w:b/>
      <w:sz w:val="22"/>
    </w:rPr>
  </w:style>
  <w:style w:type="paragraph" w:styleId="TOC2">
    <w:name w:val="TOC 2"/>
    <w:basedOn w:val="Normal"/>
    <w:next w:val="Normal"/>
    <w:pPr>
      <w:ind w:hanging="0" w:start="200" w:end="0"/>
    </w:pPr>
    <w:rPr/>
  </w:style>
  <w:style w:type="paragraph" w:styleId="Table">
    <w:name w:val="Table"/>
    <w:basedOn w:val="Normal"/>
    <w:qFormat/>
    <w:pPr>
      <w:spacing w:before="40" w:after="40"/>
    </w:pPr>
    <w:rPr>
      <w:rFonts w:ascii="Arial" w:hAnsi="Arial" w:cs="Arial"/>
    </w:rPr>
  </w:style>
  <w:style w:type="paragraph" w:styleId="HPInternal">
    <w:name w:val="HP_Internal"/>
    <w:basedOn w:val="Normal"/>
    <w:next w:val="Normal"/>
    <w:qFormat/>
    <w:pPr/>
    <w:rPr>
      <w:rFonts w:ascii="Arial" w:hAnsi="Arial" w:cs="Arial"/>
      <w:i/>
      <w:sz w:val="18"/>
    </w:rPr>
  </w:style>
  <w:style w:type="paragraph" w:styleId="TableSmHeading">
    <w:name w:val="Table_Sm_Heading"/>
    <w:basedOn w:val="Normal"/>
    <w:qFormat/>
    <w:pPr>
      <w:keepNext w:val="true"/>
      <w:keepLines/>
      <w:spacing w:before="60" w:after="40"/>
    </w:pPr>
    <w:rPr>
      <w:rFonts w:ascii="Arial" w:hAnsi="Arial" w:cs="Arial"/>
      <w:b/>
      <w:sz w:val="16"/>
    </w:rPr>
  </w:style>
  <w:style w:type="paragraph" w:styleId="HPTableTitle">
    <w:name w:val="HP_Table_Title"/>
    <w:basedOn w:val="Normal"/>
    <w:next w:val="Normal"/>
    <w:qFormat/>
    <w:pPr>
      <w:keepNext w:val="true"/>
      <w:keepLines/>
      <w:spacing w:before="240" w:after="60"/>
    </w:pPr>
    <w:rPr>
      <w:rFonts w:ascii="Arial" w:hAnsi="Arial" w:cs="Arial"/>
      <w:b/>
      <w:sz w:val="18"/>
    </w:rPr>
  </w:style>
  <w:style w:type="paragraph" w:styleId="TableSmHeadingRight">
    <w:name w:val="Table_Sm_Heading_Right"/>
    <w:basedOn w:val="TableSmHeading"/>
    <w:qFormat/>
    <w:pPr>
      <w:jc w:val="end"/>
    </w:pPr>
    <w:rPr/>
  </w:style>
  <w:style w:type="paragraph" w:styleId="TableMedium">
    <w:name w:val="Table_Medium"/>
    <w:basedOn w:val="Table"/>
    <w:qFormat/>
    <w:pPr/>
    <w:rPr>
      <w:sz w:val="18"/>
    </w:rPr>
  </w:style>
  <w:style w:type="paragraph" w:styleId="TitlePageHeaderOOV">
    <w:name w:val="TitlePage_Header_OOV"/>
    <w:basedOn w:val="Normal"/>
    <w:qFormat/>
    <w:pPr>
      <w:ind w:hanging="0" w:start="4060" w:end="0"/>
    </w:pPr>
    <w:rPr>
      <w:rFonts w:ascii="Arial" w:hAnsi="Arial" w:cs="Arial"/>
      <w:sz w:val="44"/>
    </w:rPr>
  </w:style>
  <w:style w:type="paragraph" w:styleId="Textoindependiente2">
    <w:name w:val="Texto independiente 2"/>
    <w:basedOn w:val="Normal"/>
    <w:qFormat/>
    <w:pPr/>
    <w:rPr>
      <w:rFonts w:ascii="Arial" w:hAnsi="Arial" w:cs="Arial"/>
      <w:color w:val="000080"/>
    </w:rPr>
  </w:style>
  <w:style w:type="paragraph" w:styleId="Textoindependiente3">
    <w:name w:val="Texto independiente 3"/>
    <w:basedOn w:val="Normal"/>
    <w:qFormat/>
    <w:pPr/>
    <w:rPr>
      <w:rFonts w:ascii="Arial" w:hAnsi="Arial" w:cs="Arial"/>
      <w:color w:val="FF00FF"/>
    </w:rPr>
  </w:style>
  <w:style w:type="paragraph" w:styleId="Listepuces">
    <w:name w:val="Liste  à puces"/>
    <w:basedOn w:val="Normal"/>
    <w:qFormat/>
    <w:pPr>
      <w:tabs>
        <w:tab w:val="clear" w:pos="720"/>
        <w:tab w:val="left" w:pos="284" w:leader="none"/>
        <w:tab w:val="center" w:pos="5387" w:leader="none"/>
      </w:tabs>
      <w:ind w:hanging="283" w:start="284" w:end="0"/>
    </w:pPr>
    <w:rPr>
      <w:rFonts w:ascii="Arial" w:hAnsi="Arial" w:cs="Arial"/>
    </w:rPr>
  </w:style>
  <w:style w:type="paragraph" w:styleId="Listepucessuite">
    <w:name w:val="Liste  à puces (suite)"/>
    <w:basedOn w:val="Listepuces"/>
    <w:qFormat/>
    <w:pPr>
      <w:tabs>
        <w:tab w:val="clear" w:pos="284"/>
        <w:tab w:val="center" w:pos="5387" w:leader="none"/>
      </w:tabs>
      <w:ind w:hanging="0" w:start="567" w:end="0"/>
    </w:pPr>
    <w:rPr/>
  </w:style>
  <w:style w:type="paragraph" w:styleId="Listebasenotes">
    <w:name w:val="Liste (base notes)"/>
    <w:basedOn w:val="Normal"/>
    <w:qFormat/>
    <w:pPr>
      <w:tabs>
        <w:tab w:val="clear" w:pos="720"/>
        <w:tab w:val="left" w:pos="426" w:leader="none"/>
        <w:tab w:val="left" w:pos="2552" w:leader="none"/>
      </w:tabs>
      <w:spacing w:before="120" w:after="0"/>
      <w:ind w:hanging="426" w:start="426" w:end="0"/>
    </w:pPr>
    <w:rPr>
      <w:rFonts w:ascii="Comic Sans MS" w:hAnsi="Comic Sans MS" w:cs="Comic Sans MS"/>
      <w:b/>
    </w:rPr>
  </w:style>
  <w:style w:type="paragraph" w:styleId="ListebasenotesSuite">
    <w:name w:val="Liste (base notes) Suite"/>
    <w:basedOn w:val="Normal"/>
    <w:qFormat/>
    <w:pPr>
      <w:ind w:hanging="284" w:start="709" w:end="0"/>
    </w:pPr>
    <w:rPr>
      <w:rFonts w:ascii="Arial" w:hAnsi="Arial" w:cs="Arial"/>
      <w:b/>
    </w:rPr>
  </w:style>
  <w:style w:type="paragraph" w:styleId="P1">
    <w:name w:val="P1"/>
    <w:basedOn w:val="Normal"/>
    <w:qFormat/>
    <w:pPr>
      <w:tabs>
        <w:tab w:val="clear" w:pos="720"/>
        <w:tab w:val="left" w:pos="1069" w:leader="none"/>
      </w:tabs>
      <w:ind w:hanging="360" w:start="1069" w:end="0"/>
    </w:pPr>
    <w:rPr>
      <w:rFonts w:ascii="Arial" w:hAnsi="Arial" w:cs="Arial"/>
    </w:rPr>
  </w:style>
  <w:style w:type="paragraph" w:styleId="Listemain">
    <w:name w:val="Liste (main)"/>
    <w:basedOn w:val="P1"/>
    <w:qFormat/>
    <w:pPr>
      <w:tabs>
        <w:tab w:val="clear" w:pos="1069"/>
      </w:tabs>
      <w:ind w:hanging="426" w:start="426" w:end="0"/>
    </w:pPr>
    <w:rPr/>
  </w:style>
  <w:style w:type="paragraph" w:styleId="Listemaingras">
    <w:name w:val="Liste (main) gras"/>
    <w:basedOn w:val="Listemain"/>
    <w:qFormat/>
    <w:pPr>
      <w:spacing w:before="120" w:after="0"/>
      <w:ind w:hanging="425" w:start="425" w:end="0"/>
    </w:pPr>
    <w:rPr>
      <w:b/>
    </w:rPr>
  </w:style>
  <w:style w:type="paragraph" w:styleId="Listetiret">
    <w:name w:val="Liste (tiret)"/>
    <w:basedOn w:val="Listemain"/>
    <w:qFormat/>
    <w:pPr>
      <w:tabs>
        <w:tab w:val="left" w:pos="851" w:leader="none"/>
      </w:tabs>
      <w:ind w:hanging="284" w:start="851" w:end="0"/>
    </w:pPr>
    <w:rPr/>
  </w:style>
  <w:style w:type="paragraph" w:styleId="n">
    <w:name w:val="n"/>
    <w:basedOn w:val="BodyText"/>
    <w:qFormat/>
    <w:pPr/>
    <w:rPr/>
  </w:style>
  <w:style w:type="paragraph" w:styleId="Normalgras">
    <w:name w:val="Normal gras"/>
    <w:basedOn w:val="Normal"/>
    <w:qFormat/>
    <w:pPr>
      <w:spacing w:before="120" w:after="0"/>
    </w:pPr>
    <w:rPr>
      <w:rFonts w:ascii="Arial" w:hAnsi="Arial" w:cs="Arial"/>
      <w:b/>
    </w:rPr>
  </w:style>
  <w:style w:type="paragraph" w:styleId="p11">
    <w:name w:val="p11"/>
    <w:basedOn w:val="Normal"/>
    <w:qFormat/>
    <w:pPr>
      <w:spacing w:before="60" w:after="0"/>
      <w:ind w:hanging="0" w:start="284" w:end="0"/>
    </w:pPr>
    <w:rPr>
      <w:rFonts w:ascii="Arial" w:hAnsi="Arial" w:cs="Arial"/>
      <w:lang w:val="en-US" w:eastAsia="en-US"/>
    </w:rPr>
  </w:style>
  <w:style w:type="paragraph" w:styleId="P2">
    <w:name w:val="P2"/>
    <w:basedOn w:val="P1"/>
    <w:qFormat/>
    <w:pPr>
      <w:numPr>
        <w:ilvl w:val="0"/>
        <w:numId w:val="4"/>
      </w:numPr>
      <w:ind w:hanging="283" w:start="567" w:end="0"/>
    </w:pPr>
    <w:rPr/>
  </w:style>
  <w:style w:type="paragraph" w:styleId="Profil">
    <w:name w:val="Profil"/>
    <w:basedOn w:val="Normal"/>
    <w:qFormat/>
    <w:pPr>
      <w:spacing w:before="60" w:after="0"/>
    </w:pPr>
    <w:rPr>
      <w:rFonts w:ascii="Arial" w:hAnsi="Arial" w:cs="Arial"/>
      <w:b/>
      <w:i/>
    </w:rPr>
  </w:style>
  <w:style w:type="paragraph" w:styleId="BodyTextIndent">
    <w:name w:val="Body Text Indent"/>
    <w:basedOn w:val="Normal"/>
    <w:pPr>
      <w:shd w:fill="CCCCCC" w:val="clear"/>
      <w:spacing w:before="120" w:after="0"/>
      <w:ind w:hanging="0" w:start="284" w:end="0"/>
    </w:pPr>
    <w:rPr>
      <w:rFonts w:ascii="Arial" w:hAnsi="Arial" w:cs="Arial"/>
      <w:b/>
    </w:rPr>
  </w:style>
  <w:style w:type="paragraph" w:styleId="Sangra2detindependiente">
    <w:name w:val="Sangría 2 de t. independiente"/>
    <w:basedOn w:val="Normal"/>
    <w:qFormat/>
    <w:pPr>
      <w:ind w:hanging="0" w:start="851" w:end="0"/>
    </w:pPr>
    <w:rPr>
      <w:rFonts w:ascii="Arial" w:hAnsi="Arial" w:cs="Arial"/>
    </w:rPr>
  </w:style>
  <w:style w:type="paragraph" w:styleId="SuiteT2">
    <w:name w:val="Suite T2"/>
    <w:basedOn w:val="p11"/>
    <w:qFormat/>
    <w:pPr>
      <w:ind w:hanging="0" w:start="567" w:end="0"/>
    </w:pPr>
    <w:rPr>
      <w:lang w:val="fr-FR"/>
    </w:rPr>
  </w:style>
  <w:style w:type="paragraph" w:styleId="SuiteT2puces">
    <w:name w:val="Suite T2 puces"/>
    <w:basedOn w:val="P1"/>
    <w:qFormat/>
    <w:pPr>
      <w:tabs>
        <w:tab w:val="clear" w:pos="1069"/>
        <w:tab w:val="left" w:pos="851" w:leader="none"/>
      </w:tabs>
      <w:ind w:hanging="284" w:start="851" w:end="0"/>
    </w:pPr>
    <w:rPr/>
  </w:style>
  <w:style w:type="paragraph" w:styleId="TOC3">
    <w:name w:val="TOC 3"/>
    <w:basedOn w:val="Normal"/>
    <w:next w:val="Normal"/>
    <w:pPr>
      <w:tabs>
        <w:tab w:val="clear" w:pos="720"/>
        <w:tab w:val="right" w:pos="9356" w:leader="none"/>
      </w:tabs>
      <w:ind w:hanging="709" w:start="709" w:end="0"/>
    </w:pPr>
    <w:rPr>
      <w:rFonts w:ascii="Arial" w:hAnsi="Arial" w:cs="Arial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206" w:leader="none"/>
      </w:tabs>
      <w:ind w:hanging="850" w:start="851" w:end="0"/>
    </w:pPr>
    <w:rPr>
      <w:rFonts w:ascii="Arial" w:hAnsi="Arial" w:cs="Arial"/>
      <w:sz w:val="18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</w:pPr>
    <w:rPr>
      <w:rFonts w:ascii="Arial" w:hAnsi="Arial" w:cs="Arial"/>
    </w:rPr>
  </w:style>
  <w:style w:type="paragraph" w:styleId="TOC6">
    <w:name w:val="TOC 6"/>
    <w:basedOn w:val="Normal"/>
    <w:next w:val="Normal"/>
    <w:pPr>
      <w:ind w:hanging="0" w:start="1000" w:end="0"/>
    </w:pPr>
    <w:rPr>
      <w:rFonts w:ascii="Arial" w:hAnsi="Arial" w:cs="Arial"/>
    </w:rPr>
  </w:style>
  <w:style w:type="paragraph" w:styleId="TOC7">
    <w:name w:val="TOC 7"/>
    <w:basedOn w:val="Normal"/>
    <w:next w:val="Normal"/>
    <w:pPr>
      <w:ind w:hanging="0" w:start="1200" w:end="0"/>
    </w:pPr>
    <w:rPr>
      <w:rFonts w:ascii="Arial" w:hAnsi="Arial" w:cs="Arial"/>
    </w:rPr>
  </w:style>
  <w:style w:type="paragraph" w:styleId="TOC8">
    <w:name w:val="TOC 8"/>
    <w:basedOn w:val="Normal"/>
    <w:next w:val="Normal"/>
    <w:pPr>
      <w:ind w:hanging="0" w:start="1400" w:end="0"/>
    </w:pPr>
    <w:rPr>
      <w:rFonts w:ascii="Arial" w:hAnsi="Arial" w:cs="Arial"/>
    </w:rPr>
  </w:style>
  <w:style w:type="paragraph" w:styleId="TOC9">
    <w:name w:val="TOC 9"/>
    <w:basedOn w:val="Normal"/>
    <w:next w:val="Normal"/>
    <w:pPr>
      <w:ind w:hanging="0" w:start="1600" w:end="0"/>
    </w:pPr>
    <w:rPr>
      <w:rFonts w:ascii="Arial" w:hAnsi="Arial" w:cs="Arial"/>
    </w:rPr>
  </w:style>
  <w:style w:type="paragraph" w:styleId="Tableaulettre">
    <w:name w:val="Tableau lettre"/>
    <w:basedOn w:val="Normal"/>
    <w:qFormat/>
    <w:pPr>
      <w:tabs>
        <w:tab w:val="left" w:pos="720" w:leader="none"/>
        <w:tab w:val="left" w:pos="1440" w:leader="none"/>
        <w:tab w:val="left" w:pos="2160" w:leader="none"/>
      </w:tabs>
    </w:pPr>
    <w:rPr/>
  </w:style>
  <w:style w:type="paragraph" w:styleId="Sangranormal">
    <w:name w:val="Sangría normal"/>
    <w:basedOn w:val="Normal"/>
    <w:qFormat/>
    <w:pPr/>
    <w:rPr>
      <w:sz w:val="24"/>
      <w:szCs w:val="24"/>
      <w:lang w:val="en-AU"/>
    </w:rPr>
  </w:style>
  <w:style w:type="paragraph" w:styleId="Texte2">
    <w:name w:val="Texte 2"/>
    <w:basedOn w:val="Normal"/>
    <w:qFormat/>
    <w:pPr>
      <w:spacing w:before="120" w:after="0"/>
      <w:ind w:hanging="0" w:start="425" w:end="566"/>
    </w:pPr>
    <w:rPr>
      <w:rFonts w:ascii="Arial" w:hAnsi="Arial" w:cs="Arial"/>
      <w:lang w:val="en-GB"/>
    </w:rPr>
  </w:style>
  <w:style w:type="paragraph" w:styleId="Texte3">
    <w:name w:val="Texte 3"/>
    <w:basedOn w:val="Normal"/>
    <w:qFormat/>
    <w:pPr>
      <w:spacing w:before="120" w:after="0"/>
      <w:ind w:hanging="0" w:start="709" w:end="566"/>
    </w:pPr>
    <w:rPr>
      <w:rFonts w:ascii="Arial" w:hAnsi="Arial" w:cs="Arial"/>
      <w:lang w:val="en-GB"/>
    </w:rPr>
  </w:style>
  <w:style w:type="paragraph" w:styleId="Texte4">
    <w:name w:val="Texte 4"/>
    <w:basedOn w:val="Normal"/>
    <w:qFormat/>
    <w:pPr>
      <w:spacing w:before="60" w:after="0"/>
      <w:ind w:hanging="0" w:start="1134" w:end="566"/>
    </w:pPr>
    <w:rPr>
      <w:rFonts w:ascii="Arial" w:hAnsi="Arial" w:cs="Arial"/>
      <w:lang w:val="en-GB"/>
    </w:rPr>
  </w:style>
  <w:style w:type="paragraph" w:styleId="Puce1">
    <w:name w:val="Puce 1"/>
    <w:basedOn w:val="Normal"/>
    <w:next w:val="SousPuce1"/>
    <w:qFormat/>
    <w:pPr>
      <w:numPr>
        <w:ilvl w:val="0"/>
        <w:numId w:val="3"/>
      </w:numPr>
      <w:spacing w:before="120" w:after="0"/>
      <w:ind w:hanging="0" w:start="0" w:end="566"/>
    </w:pPr>
    <w:rPr>
      <w:rFonts w:ascii="Arial" w:hAnsi="Arial" w:cs="Arial"/>
      <w:lang w:val="en-GB"/>
    </w:rPr>
  </w:style>
  <w:style w:type="paragraph" w:styleId="SousPuce1">
    <w:name w:val="Sous Puce 1"/>
    <w:basedOn w:val="Texte2"/>
    <w:qFormat/>
    <w:pPr>
      <w:spacing w:before="60" w:after="0"/>
      <w:ind w:hanging="0" w:start="709" w:end="566"/>
    </w:pPr>
    <w:rPr/>
  </w:style>
  <w:style w:type="paragraph" w:styleId="Puce2">
    <w:name w:val="Puce 2"/>
    <w:basedOn w:val="Puce1"/>
    <w:next w:val="SousPuce2"/>
    <w:qFormat/>
    <w:pPr>
      <w:numPr>
        <w:ilvl w:val="0"/>
        <w:numId w:val="2"/>
      </w:numPr>
    </w:pPr>
    <w:rPr/>
  </w:style>
  <w:style w:type="paragraph" w:styleId="SousPuce2">
    <w:name w:val="Sous Puce 2"/>
    <w:basedOn w:val="Puce2"/>
    <w:qFormat/>
    <w:pPr>
      <w:numPr>
        <w:ilvl w:val="0"/>
        <w:numId w:val="0"/>
      </w:numPr>
      <w:spacing w:before="60" w:after="0"/>
      <w:ind w:hanging="0" w:start="1134" w:end="0"/>
    </w:pPr>
    <w:rPr/>
  </w:style>
  <w:style w:type="paragraph" w:styleId="Puce3">
    <w:name w:val="Puce 3"/>
    <w:basedOn w:val="Puce1"/>
    <w:next w:val="SousPuce3"/>
    <w:qFormat/>
    <w:pPr>
      <w:numPr>
        <w:ilvl w:val="0"/>
        <w:numId w:val="5"/>
      </w:numPr>
      <w:tabs>
        <w:tab w:val="clear" w:pos="720"/>
        <w:tab w:val="left" w:pos="1560" w:leader="none"/>
      </w:tabs>
      <w:ind w:hanging="426" w:start="1560" w:end="566"/>
    </w:pPr>
    <w:rPr/>
  </w:style>
  <w:style w:type="paragraph" w:styleId="SousPuce3">
    <w:name w:val="Sous Puce 3"/>
    <w:basedOn w:val="Puce3"/>
    <w:qFormat/>
    <w:pPr>
      <w:numPr>
        <w:ilvl w:val="0"/>
        <w:numId w:val="0"/>
      </w:numPr>
      <w:spacing w:before="60" w:after="0"/>
      <w:ind w:hanging="0" w:start="1559" w:end="0"/>
    </w:pPr>
    <w:rPr/>
  </w:style>
  <w:style w:type="paragraph" w:styleId="Puce4">
    <w:name w:val="Puce 4"/>
    <w:basedOn w:val="SousPuce3"/>
    <w:next w:val="Souspuce4"/>
    <w:qFormat/>
    <w:pPr>
      <w:tabs>
        <w:tab w:val="clear" w:pos="1560"/>
        <w:tab w:val="left" w:pos="360" w:leader="none"/>
        <w:tab w:val="left" w:pos="1985" w:leader="none"/>
      </w:tabs>
      <w:ind w:hanging="425" w:start="1985" w:end="0"/>
    </w:pPr>
    <w:rPr/>
  </w:style>
  <w:style w:type="paragraph" w:styleId="Souspuce4">
    <w:name w:val="Sous puce 4"/>
    <w:basedOn w:val="SousPuce3"/>
    <w:qFormat/>
    <w:pPr>
      <w:tabs>
        <w:tab w:val="clear" w:pos="1560"/>
      </w:tabs>
      <w:ind w:hanging="0" w:start="1985" w:end="0"/>
    </w:pPr>
    <w:rPr/>
  </w:style>
  <w:style w:type="paragraph" w:styleId="StyleTexte1Droite1cm">
    <w:name w:val="Style Texte 1 + Droite :  1 cm"/>
    <w:basedOn w:val="Normal"/>
    <w:qFormat/>
    <w:pPr>
      <w:spacing w:before="120" w:after="0"/>
      <w:ind w:hanging="0" w:start="0" w:end="566"/>
    </w:pPr>
    <w:rPr>
      <w:rFonts w:ascii="Arial" w:hAnsi="Arial" w:cs="Arial"/>
      <w:lang w:val="en-GB"/>
    </w:rPr>
  </w:style>
  <w:style w:type="paragraph" w:styleId="Sangra3detindependiente">
    <w:name w:val="Sangría 3 de t. independiente"/>
    <w:basedOn w:val="Normal"/>
    <w:qFormat/>
    <w:pPr>
      <w:spacing w:before="0" w:after="120"/>
      <w:ind w:hanging="0" w:start="283" w:end="0"/>
    </w:pPr>
    <w:rPr>
      <w:rFonts w:ascii="Arial" w:hAnsi="Arial" w:cs="Arial"/>
      <w:sz w:val="16"/>
      <w:szCs w:val="16"/>
    </w:rPr>
  </w:style>
  <w:style w:type="paragraph" w:styleId="FootnoteText">
    <w:name w:val="Footnote Text"/>
    <w:basedOn w:val="Normal"/>
    <w:pPr/>
    <w:rPr/>
  </w:style>
  <w:style w:type="paragraph" w:styleId="Descripcin">
    <w:name w:val="Descripción"/>
    <w:basedOn w:val="Normal"/>
    <w:next w:val="Normal"/>
    <w:qFormat/>
    <w:pPr>
      <w:spacing w:before="120" w:after="120"/>
      <w:ind w:hanging="0" w:start="288" w:end="0"/>
      <w:jc w:val="center"/>
    </w:pPr>
    <w:rPr>
      <w:rFonts w:ascii="Arial" w:hAnsi="Arial" w:cs="Arial"/>
      <w:b/>
    </w:rPr>
  </w:style>
  <w:style w:type="paragraph" w:styleId="P3">
    <w:name w:val="P3"/>
    <w:basedOn w:val="Normal"/>
    <w:qFormat/>
    <w:pPr>
      <w:overflowPunct w:val="false"/>
      <w:autoSpaceDE w:val="false"/>
      <w:spacing w:before="0" w:after="240"/>
      <w:ind w:hanging="0" w:start="709" w:end="0"/>
      <w:jc w:val="both"/>
      <w:textAlignment w:val="baseline"/>
    </w:pPr>
    <w:rPr>
      <w:sz w:val="22"/>
      <w:lang w:val="fr-FR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eastAsia="Arial Unicode MS" w:cs="Arial"/>
      <w:sz w:val="16"/>
      <w:szCs w:val="16"/>
      <w:lang w:val="fr-FR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eastAsia="Arial Unicode MS" w:cs="Arial"/>
      <w:sz w:val="16"/>
      <w:szCs w:val="16"/>
      <w:lang w:val="fr-FR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AAAAAA" w:val="clear"/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Number">
    <w:name w:val="Number"/>
    <w:basedOn w:val="Normal"/>
    <w:qFormat/>
    <w:pPr>
      <w:numPr>
        <w:ilvl w:val="0"/>
        <w:numId w:val="6"/>
      </w:numPr>
      <w:autoSpaceDE w:val="false"/>
      <w:spacing w:before="120" w:after="120"/>
      <w:ind w:hanging="360" w:start="720" w:end="0"/>
      <w:jc w:val="both"/>
    </w:pPr>
    <w:rPr>
      <w:szCs w:val="24"/>
    </w:rPr>
  </w:style>
  <w:style w:type="paragraph" w:styleId="Title2">
    <w:name w:val="Title2"/>
    <w:basedOn w:val="Heading2"/>
    <w:qFormat/>
    <w:pPr>
      <w:numPr>
        <w:ilvl w:val="0"/>
        <w:numId w:val="0"/>
      </w:numPr>
      <w:ind w:hanging="0" w:start="0" w:end="0"/>
      <w:outlineLvl w:val="9"/>
    </w:pPr>
    <w:rPr>
      <w:rFonts w:cs="Times New Roman"/>
      <w:bCs w:val="false"/>
      <w:iCs w:val="false"/>
      <w:color w:val="000000"/>
      <w:szCs w:val="20"/>
    </w:rPr>
  </w:style>
  <w:style w:type="paragraph" w:styleId="Encabezadodenota">
    <w:name w:val="Encabezado de nota"/>
    <w:basedOn w:val="Normal"/>
    <w:next w:val="Normal"/>
    <w:qFormat/>
    <w:pPr/>
    <w:rPr>
      <w:rFonts w:ascii="Arial" w:hAnsi="Arial" w:cs="Arial"/>
    </w:rPr>
  </w:style>
  <w:style w:type="paragraph" w:styleId="tabletext11">
    <w:name w:val="tabletext11"/>
    <w:basedOn w:val="Normal"/>
    <w:qFormat/>
    <w:pPr>
      <w:spacing w:before="60" w:after="60"/>
    </w:pPr>
    <w:rPr>
      <w:rFonts w:ascii="Arial" w:hAnsi="Arial" w:cs="Arial"/>
      <w:lang w:val="fr-FR"/>
    </w:rPr>
  </w:style>
  <w:style w:type="paragraph" w:styleId="TableText1">
    <w:name w:val="Table Text"/>
    <w:qFormat/>
    <w:pPr>
      <w:widowControl/>
      <w:tabs>
        <w:tab w:val="clear" w:pos="720"/>
        <w:tab w:val="right" w:pos="9720" w:leader="none"/>
      </w:tabs>
      <w:bidi w:val="0"/>
      <w:spacing w:before="40" w:after="40"/>
    </w:pPr>
    <w:rPr>
      <w:rFonts w:ascii="Times New Roman" w:hAnsi="Times New Roman" w:eastAsia="Times New Roman" w:cs="Times New Roman"/>
      <w:bCs/>
      <w:color w:val="auto"/>
      <w:sz w:val="20"/>
      <w:szCs w:val="24"/>
      <w:lang w:val="en-GB" w:bidi="ar-SA" w:eastAsia="zh-CN"/>
    </w:rPr>
  </w:style>
  <w:style w:type="paragraph" w:styleId="font-claude-response-body">
    <w:name w:val="font-claude-response-body"/>
    <w:basedOn w:val="Normal"/>
    <w:qFormat/>
    <w:pPr>
      <w:spacing w:before="100" w:after="100"/>
    </w:pPr>
    <w:rPr>
      <w:sz w:val="24"/>
      <w:szCs w:val="24"/>
      <w:lang w:val="es-MX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2010-02-17T16:47:00Z</dcterms:created>
  <dc:creator>DCITAKOV</dc:creator>
  <dc:description/>
  <cp:keywords/>
  <dc:language>en-US</dc:language>
  <cp:lastModifiedBy>ADMI</cp:lastModifiedBy>
  <cp:lastPrinted>2007-06-07T11:44:00Z</cp:lastPrinted>
  <dcterms:modified xsi:type="dcterms:W3CDTF">2026-06-05T08:31:00Z</dcterms:modified>
  <cp:revision>12</cp:revision>
  <dc:subject>TOGAF 9 Template - Architecture Repository </dc:subject>
  <dc:title>Template - Architecture Repository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