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F5CF" w14:textId="77777777" w:rsidR="00D55477" w:rsidRDefault="00D55477" w:rsidP="00D55477">
      <w:pPr>
        <w:pStyle w:val="Heading1"/>
        <w:rPr>
          <w:lang w:val="en-US"/>
        </w:rPr>
      </w:pPr>
      <w:r>
        <w:rPr>
          <w:lang w:val="en-US"/>
        </w:rPr>
        <w:t>CP2403 - Project – Part 2 - ANOVA</w:t>
      </w:r>
    </w:p>
    <w:p w14:paraId="52801227" w14:textId="77777777" w:rsidR="00F5228E" w:rsidRDefault="00F5228E" w:rsidP="00D55477">
      <w:pPr>
        <w:spacing w:line="240" w:lineRule="auto"/>
        <w:contextualSpacing/>
        <w:rPr>
          <w:lang w:val="en-US"/>
        </w:rPr>
      </w:pPr>
    </w:p>
    <w:p w14:paraId="1576DEB1" w14:textId="3BCD6A9E" w:rsidR="00D55477" w:rsidRPr="00F5228E" w:rsidRDefault="00D55477" w:rsidP="00D55477">
      <w:pPr>
        <w:spacing w:line="240" w:lineRule="auto"/>
        <w:contextualSpacing/>
        <w:rPr>
          <w:lang w:val="en-US"/>
        </w:rPr>
      </w:pPr>
      <w:r w:rsidRPr="00F5228E">
        <w:rPr>
          <w:lang w:val="en-US"/>
        </w:rPr>
        <w:t>First Name:</w:t>
      </w:r>
      <w:r w:rsidR="00BF5D76" w:rsidRPr="00F5228E">
        <w:rPr>
          <w:lang w:val="en-US"/>
        </w:rPr>
        <w:t xml:space="preserve"> Caleb</w:t>
      </w:r>
    </w:p>
    <w:p w14:paraId="0C49F3A3" w14:textId="1F37C1FB" w:rsidR="00D55477" w:rsidRPr="00F5228E" w:rsidRDefault="00D55477" w:rsidP="00D55477">
      <w:pPr>
        <w:spacing w:line="240" w:lineRule="auto"/>
        <w:contextualSpacing/>
        <w:rPr>
          <w:lang w:val="en-US"/>
        </w:rPr>
      </w:pPr>
      <w:r w:rsidRPr="00F5228E">
        <w:rPr>
          <w:lang w:val="en-US"/>
        </w:rPr>
        <w:t>Last Name:</w:t>
      </w:r>
      <w:r w:rsidR="00BF5D76" w:rsidRPr="00F5228E">
        <w:rPr>
          <w:lang w:val="en-US"/>
        </w:rPr>
        <w:t xml:space="preserve"> Webster</w:t>
      </w:r>
    </w:p>
    <w:p w14:paraId="0C1464B2" w14:textId="77777777" w:rsidR="00D55477" w:rsidRPr="00F5228E" w:rsidRDefault="00D55477" w:rsidP="00D55477">
      <w:pPr>
        <w:spacing w:line="240" w:lineRule="auto"/>
        <w:contextualSpacing/>
        <w:rPr>
          <w:lang w:val="en-US"/>
        </w:rPr>
      </w:pPr>
    </w:p>
    <w:tbl>
      <w:tblPr>
        <w:tblStyle w:val="TableGrid"/>
        <w:tblW w:w="10485" w:type="dxa"/>
        <w:tblInd w:w="0" w:type="dxa"/>
        <w:tblLook w:val="04A0" w:firstRow="1" w:lastRow="0" w:firstColumn="1" w:lastColumn="0" w:noHBand="0" w:noVBand="1"/>
      </w:tblPr>
      <w:tblGrid>
        <w:gridCol w:w="10485"/>
      </w:tblGrid>
      <w:tr w:rsidR="00D55477" w:rsidRPr="00F5228E" w14:paraId="79761837" w14:textId="77777777" w:rsidTr="00D55477">
        <w:tc>
          <w:tcPr>
            <w:tcW w:w="10485" w:type="dxa"/>
            <w:tcBorders>
              <w:top w:val="single" w:sz="4" w:space="0" w:color="auto"/>
              <w:left w:val="single" w:sz="4" w:space="0" w:color="auto"/>
              <w:bottom w:val="single" w:sz="4" w:space="0" w:color="auto"/>
              <w:right w:val="single" w:sz="4" w:space="0" w:color="auto"/>
            </w:tcBorders>
            <w:hideMark/>
          </w:tcPr>
          <w:p w14:paraId="0567C826" w14:textId="77777777" w:rsidR="00D55477" w:rsidRPr="00F5228E" w:rsidRDefault="00D55477">
            <w:pPr>
              <w:spacing w:after="255" w:line="240" w:lineRule="auto"/>
              <w:contextualSpacing/>
              <w:rPr>
                <w:b/>
                <w:lang w:val="en-US"/>
              </w:rPr>
            </w:pPr>
            <w:r w:rsidRPr="00F5228E">
              <w:rPr>
                <w:b/>
                <w:lang w:val="en-US"/>
              </w:rPr>
              <w:t>Step 1: hypothesis</w:t>
            </w:r>
          </w:p>
        </w:tc>
      </w:tr>
      <w:tr w:rsidR="008954E1" w:rsidRPr="00F5228E" w14:paraId="6F73AA7F" w14:textId="77777777" w:rsidTr="00D55477">
        <w:tc>
          <w:tcPr>
            <w:tcW w:w="10485" w:type="dxa"/>
            <w:tcBorders>
              <w:top w:val="single" w:sz="4" w:space="0" w:color="auto"/>
              <w:left w:val="single" w:sz="4" w:space="0" w:color="auto"/>
              <w:bottom w:val="single" w:sz="4" w:space="0" w:color="auto"/>
              <w:right w:val="single" w:sz="4" w:space="0" w:color="auto"/>
            </w:tcBorders>
          </w:tcPr>
          <w:p w14:paraId="1AA05F2A" w14:textId="77777777" w:rsidR="00C751FA" w:rsidRPr="00F5228E" w:rsidRDefault="00C751FA">
            <w:pPr>
              <w:spacing w:after="255" w:line="240" w:lineRule="auto"/>
              <w:contextualSpacing/>
              <w:rPr>
                <w:bCs/>
                <w:lang w:val="en-US"/>
              </w:rPr>
            </w:pPr>
          </w:p>
          <w:p w14:paraId="0E8D8895" w14:textId="5CAAAC49" w:rsidR="008954E1" w:rsidRPr="00F5228E" w:rsidRDefault="008954E1">
            <w:pPr>
              <w:spacing w:after="255" w:line="240" w:lineRule="auto"/>
              <w:contextualSpacing/>
              <w:rPr>
                <w:bCs/>
                <w:lang w:val="en-US"/>
              </w:rPr>
            </w:pPr>
            <w:r w:rsidRPr="00F5228E">
              <w:rPr>
                <w:bCs/>
                <w:lang w:val="en-US"/>
              </w:rPr>
              <w:t>Investigative question: How does the phosphate concentration of the water change as water depth increases?</w:t>
            </w:r>
          </w:p>
          <w:p w14:paraId="2C4508E9" w14:textId="4A934366" w:rsidR="008954E1" w:rsidRPr="00F5228E" w:rsidRDefault="008954E1">
            <w:pPr>
              <w:spacing w:after="255" w:line="240" w:lineRule="auto"/>
              <w:contextualSpacing/>
              <w:rPr>
                <w:bCs/>
                <w:lang w:val="en-US"/>
              </w:rPr>
            </w:pPr>
          </w:p>
        </w:tc>
      </w:tr>
      <w:tr w:rsidR="00D55477" w:rsidRPr="00F5228E" w14:paraId="1AA94901" w14:textId="77777777" w:rsidTr="00D55477">
        <w:tc>
          <w:tcPr>
            <w:tcW w:w="10485" w:type="dxa"/>
            <w:tcBorders>
              <w:top w:val="single" w:sz="4" w:space="0" w:color="auto"/>
              <w:left w:val="single" w:sz="4" w:space="0" w:color="auto"/>
              <w:bottom w:val="single" w:sz="4" w:space="0" w:color="auto"/>
              <w:right w:val="single" w:sz="4" w:space="0" w:color="auto"/>
            </w:tcBorders>
          </w:tcPr>
          <w:p w14:paraId="714CA0EA" w14:textId="77777777" w:rsidR="00C751FA" w:rsidRPr="00F5228E" w:rsidRDefault="00C751FA">
            <w:pPr>
              <w:spacing w:after="255" w:line="240" w:lineRule="auto"/>
              <w:contextualSpacing/>
              <w:rPr>
                <w:lang w:val="en-US"/>
              </w:rPr>
            </w:pPr>
          </w:p>
          <w:p w14:paraId="10338672" w14:textId="156F7E4A" w:rsidR="00D55477" w:rsidRPr="00F5228E" w:rsidRDefault="00D55477">
            <w:pPr>
              <w:spacing w:after="255" w:line="240" w:lineRule="auto"/>
              <w:contextualSpacing/>
              <w:rPr>
                <w:lang w:val="en-US"/>
              </w:rPr>
            </w:pPr>
            <w:r w:rsidRPr="00F5228E">
              <w:rPr>
                <w:lang w:val="en-US"/>
              </w:rPr>
              <w:t>Null hypothesis (H</w:t>
            </w:r>
            <w:r w:rsidRPr="00F5228E">
              <w:rPr>
                <w:vertAlign w:val="subscript"/>
                <w:lang w:val="en-US"/>
              </w:rPr>
              <w:t>o</w:t>
            </w:r>
            <w:r w:rsidRPr="00F5228E">
              <w:rPr>
                <w:lang w:val="en-US"/>
              </w:rPr>
              <w:t xml:space="preserve">): </w:t>
            </w:r>
            <w:r w:rsidR="00BF5D76" w:rsidRPr="00F5228E">
              <w:rPr>
                <w:lang w:val="en-US"/>
              </w:rPr>
              <w:t xml:space="preserve">There is no difference between </w:t>
            </w:r>
            <w:r w:rsidR="00CA08B9" w:rsidRPr="00F5228E">
              <w:rPr>
                <w:lang w:val="en-US"/>
              </w:rPr>
              <w:t xml:space="preserve">the </w:t>
            </w:r>
            <w:r w:rsidR="00BF5D76" w:rsidRPr="00F5228E">
              <w:rPr>
                <w:lang w:val="en-US"/>
              </w:rPr>
              <w:t xml:space="preserve">mean </w:t>
            </w:r>
            <w:r w:rsidR="008954E1" w:rsidRPr="00F5228E">
              <w:rPr>
                <w:lang w:val="en-US"/>
              </w:rPr>
              <w:t>phosphate</w:t>
            </w:r>
            <w:r w:rsidR="00CA08B9" w:rsidRPr="00F5228E">
              <w:rPr>
                <w:lang w:val="en-US"/>
              </w:rPr>
              <w:t xml:space="preserve"> </w:t>
            </w:r>
            <w:r w:rsidR="00DA21E5" w:rsidRPr="00F5228E">
              <w:rPr>
                <w:lang w:val="en-US"/>
              </w:rPr>
              <w:t>concentration levels</w:t>
            </w:r>
            <w:r w:rsidR="00CA08B9" w:rsidRPr="00F5228E">
              <w:rPr>
                <w:lang w:val="en-US"/>
              </w:rPr>
              <w:t xml:space="preserve"> </w:t>
            </w:r>
            <w:r w:rsidR="00DA21E5" w:rsidRPr="00F5228E">
              <w:rPr>
                <w:lang w:val="en-US"/>
              </w:rPr>
              <w:t>between</w:t>
            </w:r>
            <w:r w:rsidR="00CA08B9" w:rsidRPr="00F5228E">
              <w:rPr>
                <w:lang w:val="en-US"/>
              </w:rPr>
              <w:t xml:space="preserve"> </w:t>
            </w:r>
            <w:r w:rsidR="008954E1" w:rsidRPr="00F5228E">
              <w:rPr>
                <w:lang w:val="en-US"/>
              </w:rPr>
              <w:t xml:space="preserve">different </w:t>
            </w:r>
            <w:r w:rsidR="00DA21E5" w:rsidRPr="00F5228E">
              <w:rPr>
                <w:lang w:val="en-US"/>
              </w:rPr>
              <w:t>water depth categories</w:t>
            </w:r>
            <w:r w:rsidR="00DD6BCE" w:rsidRPr="00F5228E">
              <w:rPr>
                <w:lang w:val="en-US"/>
              </w:rPr>
              <w:t xml:space="preserve"> (phosphate and depth are unrelated)</w:t>
            </w:r>
            <w:r w:rsidR="008954E1" w:rsidRPr="00F5228E">
              <w:rPr>
                <w:lang w:val="en-US"/>
              </w:rPr>
              <w:t>.</w:t>
            </w:r>
          </w:p>
          <w:p w14:paraId="150A157C" w14:textId="52632D44" w:rsidR="00D55477" w:rsidRPr="00F5228E" w:rsidRDefault="00DA21E5">
            <w:pPr>
              <w:spacing w:after="255" w:line="240" w:lineRule="auto"/>
              <w:contextualSpacing/>
            </w:pPr>
            <w:r w:rsidRPr="00F5228E">
              <w:rPr>
                <w:rFonts w:cstheme="minorHAnsi"/>
              </w:rPr>
              <w:t>µ</w:t>
            </w:r>
            <w:r w:rsidRPr="00F5228E">
              <w:rPr>
                <w:vertAlign w:val="subscript"/>
              </w:rPr>
              <w:t>1</w:t>
            </w:r>
            <w:r w:rsidRPr="00F5228E">
              <w:t xml:space="preserve"> = </w:t>
            </w:r>
            <w:r w:rsidRPr="00F5228E">
              <w:rPr>
                <w:rFonts w:cstheme="minorHAnsi"/>
              </w:rPr>
              <w:t>µ</w:t>
            </w:r>
            <w:r w:rsidRPr="00F5228E">
              <w:rPr>
                <w:rFonts w:cstheme="minorHAnsi"/>
                <w:vertAlign w:val="subscript"/>
              </w:rPr>
              <w:t>2</w:t>
            </w:r>
            <w:r w:rsidRPr="00F5228E">
              <w:rPr>
                <w:rFonts w:cstheme="minorHAnsi"/>
              </w:rPr>
              <w:t xml:space="preserve"> = µ</w:t>
            </w:r>
            <w:r w:rsidRPr="00F5228E">
              <w:rPr>
                <w:rFonts w:cstheme="minorHAnsi"/>
                <w:vertAlign w:val="subscript"/>
              </w:rPr>
              <w:t>3</w:t>
            </w:r>
            <w:r w:rsidRPr="00F5228E">
              <w:rPr>
                <w:rFonts w:cstheme="minorHAnsi"/>
              </w:rPr>
              <w:t xml:space="preserve"> = µ</w:t>
            </w:r>
            <w:r w:rsidRPr="00F5228E">
              <w:rPr>
                <w:rFonts w:cstheme="minorHAnsi"/>
                <w:vertAlign w:val="subscript"/>
              </w:rPr>
              <w:t>4</w:t>
            </w:r>
          </w:p>
          <w:p w14:paraId="1DC7F25B" w14:textId="3A7AD354" w:rsidR="00DA21E5" w:rsidRPr="00F5228E" w:rsidRDefault="00DA21E5">
            <w:pPr>
              <w:spacing w:after="255" w:line="240" w:lineRule="auto"/>
              <w:contextualSpacing/>
            </w:pPr>
          </w:p>
        </w:tc>
      </w:tr>
      <w:tr w:rsidR="00D55477" w:rsidRPr="00F5228E" w14:paraId="4F3FAC0C" w14:textId="77777777" w:rsidTr="00D55477">
        <w:tc>
          <w:tcPr>
            <w:tcW w:w="10485" w:type="dxa"/>
            <w:tcBorders>
              <w:top w:val="single" w:sz="4" w:space="0" w:color="auto"/>
              <w:left w:val="single" w:sz="4" w:space="0" w:color="auto"/>
              <w:bottom w:val="single" w:sz="4" w:space="0" w:color="auto"/>
              <w:right w:val="single" w:sz="4" w:space="0" w:color="auto"/>
            </w:tcBorders>
          </w:tcPr>
          <w:p w14:paraId="04F33B06" w14:textId="77777777" w:rsidR="00C751FA" w:rsidRPr="00F5228E" w:rsidRDefault="00C751FA">
            <w:pPr>
              <w:spacing w:after="255" w:line="240" w:lineRule="auto"/>
              <w:contextualSpacing/>
              <w:rPr>
                <w:lang w:val="en-US"/>
              </w:rPr>
            </w:pPr>
          </w:p>
          <w:p w14:paraId="2780ED57" w14:textId="23C62E84" w:rsidR="00D55477" w:rsidRPr="00F5228E" w:rsidRDefault="00D55477">
            <w:pPr>
              <w:spacing w:after="255" w:line="240" w:lineRule="auto"/>
              <w:contextualSpacing/>
            </w:pPr>
            <w:r w:rsidRPr="00F5228E">
              <w:rPr>
                <w:lang w:val="en-US"/>
              </w:rPr>
              <w:t>Alternative (H</w:t>
            </w:r>
            <w:r w:rsidRPr="00F5228E">
              <w:rPr>
                <w:vertAlign w:val="subscript"/>
                <w:lang w:val="en-US"/>
              </w:rPr>
              <w:t>a</w:t>
            </w:r>
            <w:r w:rsidRPr="00F5228E">
              <w:rPr>
                <w:lang w:val="en-US"/>
              </w:rPr>
              <w:t>) hypothesis</w:t>
            </w:r>
            <w:r w:rsidRPr="00F5228E">
              <w:t>:</w:t>
            </w:r>
            <w:r w:rsidR="00CA08B9" w:rsidRPr="00F5228E">
              <w:t xml:space="preserve"> There is a difference between the mean </w:t>
            </w:r>
            <w:r w:rsidR="008954E1" w:rsidRPr="00F5228E">
              <w:t>phosphate</w:t>
            </w:r>
            <w:r w:rsidR="00CA08B9" w:rsidRPr="00F5228E">
              <w:t xml:space="preserve"> </w:t>
            </w:r>
            <w:r w:rsidR="00DA21E5" w:rsidRPr="00F5228E">
              <w:t>concentration levels</w:t>
            </w:r>
            <w:r w:rsidR="00CA08B9" w:rsidRPr="00F5228E">
              <w:t xml:space="preserve"> for </w:t>
            </w:r>
            <w:r w:rsidR="008954E1" w:rsidRPr="00F5228E">
              <w:t>different water depth</w:t>
            </w:r>
            <w:r w:rsidR="00DA21E5" w:rsidRPr="00F5228E">
              <w:t xml:space="preserve"> </w:t>
            </w:r>
            <w:r w:rsidR="00DA21E5" w:rsidRPr="00F5228E">
              <w:rPr>
                <w:lang w:val="en-US"/>
              </w:rPr>
              <w:t>categories</w:t>
            </w:r>
            <w:r w:rsidR="00DD6BCE" w:rsidRPr="00F5228E">
              <w:t xml:space="preserve"> (phosphate and depth are related)</w:t>
            </w:r>
            <w:r w:rsidR="008954E1" w:rsidRPr="00F5228E">
              <w:t>.</w:t>
            </w:r>
          </w:p>
          <w:p w14:paraId="57DD2B22" w14:textId="398A8435" w:rsidR="00D55477" w:rsidRPr="00F5228E" w:rsidRDefault="00DA21E5">
            <w:pPr>
              <w:spacing w:after="255" w:line="240" w:lineRule="auto"/>
              <w:contextualSpacing/>
            </w:pPr>
            <w:r w:rsidRPr="00F5228E">
              <w:t xml:space="preserve">Not all </w:t>
            </w:r>
            <w:r w:rsidRPr="00F5228E">
              <w:rPr>
                <w:rFonts w:cstheme="minorHAnsi"/>
              </w:rPr>
              <w:t xml:space="preserve">µ are </w:t>
            </w:r>
            <w:proofErr w:type="gramStart"/>
            <w:r w:rsidRPr="00F5228E">
              <w:rPr>
                <w:rFonts w:cstheme="minorHAnsi"/>
              </w:rPr>
              <w:t>equal</w:t>
            </w:r>
            <w:proofErr w:type="gramEnd"/>
          </w:p>
          <w:p w14:paraId="181DEDFC" w14:textId="41CC5B73" w:rsidR="00DA21E5" w:rsidRPr="00F5228E" w:rsidRDefault="00DA21E5">
            <w:pPr>
              <w:spacing w:after="255" w:line="240" w:lineRule="auto"/>
              <w:contextualSpacing/>
            </w:pPr>
          </w:p>
        </w:tc>
      </w:tr>
      <w:tr w:rsidR="00D55477" w:rsidRPr="00F5228E" w14:paraId="2969C2B2" w14:textId="77777777" w:rsidTr="00D55477">
        <w:tc>
          <w:tcPr>
            <w:tcW w:w="10485" w:type="dxa"/>
            <w:tcBorders>
              <w:top w:val="single" w:sz="4" w:space="0" w:color="auto"/>
              <w:left w:val="single" w:sz="4" w:space="0" w:color="auto"/>
              <w:bottom w:val="single" w:sz="4" w:space="0" w:color="auto"/>
              <w:right w:val="single" w:sz="4" w:space="0" w:color="auto"/>
            </w:tcBorders>
            <w:hideMark/>
          </w:tcPr>
          <w:p w14:paraId="58B8177C" w14:textId="77777777" w:rsidR="00D55477" w:rsidRPr="00F5228E" w:rsidRDefault="00D55477">
            <w:pPr>
              <w:spacing w:after="255" w:line="240" w:lineRule="auto"/>
              <w:contextualSpacing/>
              <w:rPr>
                <w:b/>
                <w:lang w:val="en-US"/>
              </w:rPr>
            </w:pPr>
            <w:r w:rsidRPr="00F5228E">
              <w:rPr>
                <w:b/>
                <w:lang w:val="en-US"/>
              </w:rPr>
              <w:t xml:space="preserve">Step 2: Data Selection </w:t>
            </w:r>
          </w:p>
        </w:tc>
      </w:tr>
      <w:tr w:rsidR="00D55477" w:rsidRPr="00F5228E" w14:paraId="197F7924" w14:textId="77777777" w:rsidTr="00D55477">
        <w:tc>
          <w:tcPr>
            <w:tcW w:w="10485" w:type="dxa"/>
            <w:tcBorders>
              <w:top w:val="single" w:sz="4" w:space="0" w:color="auto"/>
              <w:left w:val="single" w:sz="4" w:space="0" w:color="auto"/>
              <w:bottom w:val="single" w:sz="4" w:space="0" w:color="auto"/>
              <w:right w:val="single" w:sz="4" w:space="0" w:color="auto"/>
            </w:tcBorders>
          </w:tcPr>
          <w:p w14:paraId="28E5F19A" w14:textId="022C0A15" w:rsidR="00D55477" w:rsidRPr="00F5228E" w:rsidRDefault="00CA08B9" w:rsidP="00CA08B9">
            <w:pPr>
              <w:pStyle w:val="ListParagraph"/>
              <w:numPr>
                <w:ilvl w:val="0"/>
                <w:numId w:val="1"/>
              </w:numPr>
              <w:spacing w:after="255" w:line="240" w:lineRule="auto"/>
              <w:rPr>
                <w:bCs/>
                <w:lang w:val="en-US"/>
              </w:rPr>
            </w:pPr>
            <w:proofErr w:type="spellStart"/>
            <w:r w:rsidRPr="00F5228E">
              <w:rPr>
                <w:bCs/>
                <w:lang w:val="en-US"/>
              </w:rPr>
              <w:t>CalCOFI</w:t>
            </w:r>
            <w:proofErr w:type="spellEnd"/>
            <w:r w:rsidRPr="00F5228E">
              <w:rPr>
                <w:bCs/>
                <w:lang w:val="en-US"/>
              </w:rPr>
              <w:t xml:space="preserve"> bottle dataset</w:t>
            </w:r>
          </w:p>
          <w:p w14:paraId="6EA36AB6" w14:textId="5BFE6C64" w:rsidR="00CA08B9" w:rsidRPr="00F5228E" w:rsidRDefault="00CA08B9" w:rsidP="00CA08B9">
            <w:pPr>
              <w:pStyle w:val="ListParagraph"/>
              <w:numPr>
                <w:ilvl w:val="1"/>
                <w:numId w:val="1"/>
              </w:numPr>
              <w:spacing w:after="255" w:line="240" w:lineRule="auto"/>
              <w:rPr>
                <w:bCs/>
                <w:lang w:val="en-US"/>
              </w:rPr>
            </w:pPr>
            <w:r w:rsidRPr="00F5228E">
              <w:rPr>
                <w:bCs/>
                <w:lang w:val="en-US"/>
              </w:rPr>
              <w:t xml:space="preserve">Water depths between </w:t>
            </w:r>
            <w:r w:rsidR="008954E1" w:rsidRPr="00F5228E">
              <w:rPr>
                <w:bCs/>
                <w:lang w:val="en-US"/>
              </w:rPr>
              <w:t>0-200m (shallow), 200-400m (</w:t>
            </w:r>
            <w:proofErr w:type="spellStart"/>
            <w:r w:rsidR="008954E1" w:rsidRPr="00F5228E">
              <w:rPr>
                <w:bCs/>
                <w:lang w:val="en-US"/>
              </w:rPr>
              <w:t>kinda</w:t>
            </w:r>
            <w:proofErr w:type="spellEnd"/>
            <w:r w:rsidR="008954E1" w:rsidRPr="00F5228E">
              <w:rPr>
                <w:bCs/>
                <w:lang w:val="en-US"/>
              </w:rPr>
              <w:t xml:space="preserve"> shallow), 400-600m (</w:t>
            </w:r>
            <w:proofErr w:type="spellStart"/>
            <w:r w:rsidR="008954E1" w:rsidRPr="00F5228E">
              <w:rPr>
                <w:bCs/>
                <w:lang w:val="en-US"/>
              </w:rPr>
              <w:t>kinda</w:t>
            </w:r>
            <w:proofErr w:type="spellEnd"/>
            <w:r w:rsidR="008954E1" w:rsidRPr="00F5228E">
              <w:rPr>
                <w:bCs/>
                <w:lang w:val="en-US"/>
              </w:rPr>
              <w:t xml:space="preserve"> deep), and 600-1000m (deep)</w:t>
            </w:r>
          </w:p>
          <w:p w14:paraId="502292A7" w14:textId="77777777" w:rsidR="00D55477" w:rsidRPr="00F5228E" w:rsidRDefault="008954E1" w:rsidP="00CA08B9">
            <w:pPr>
              <w:pStyle w:val="ListParagraph"/>
              <w:numPr>
                <w:ilvl w:val="1"/>
                <w:numId w:val="1"/>
              </w:numPr>
              <w:spacing w:after="255" w:line="240" w:lineRule="auto"/>
              <w:rPr>
                <w:bCs/>
                <w:lang w:val="en-US"/>
              </w:rPr>
            </w:pPr>
            <w:r w:rsidRPr="00F5228E">
              <w:rPr>
                <w:bCs/>
                <w:lang w:val="en-US"/>
              </w:rPr>
              <w:t>Phosphate</w:t>
            </w:r>
            <w:r w:rsidR="00CA08B9" w:rsidRPr="00F5228E">
              <w:rPr>
                <w:bCs/>
                <w:lang w:val="en-US"/>
              </w:rPr>
              <w:t xml:space="preserve"> content of water at these depths</w:t>
            </w:r>
          </w:p>
          <w:p w14:paraId="797BB298" w14:textId="43283AAE" w:rsidR="00DD6BCE" w:rsidRPr="00F5228E" w:rsidRDefault="00DD6BCE" w:rsidP="00CA08B9">
            <w:pPr>
              <w:pStyle w:val="ListParagraph"/>
              <w:numPr>
                <w:ilvl w:val="1"/>
                <w:numId w:val="1"/>
              </w:numPr>
              <w:spacing w:after="255" w:line="240" w:lineRule="auto"/>
              <w:rPr>
                <w:bCs/>
                <w:lang w:val="en-US"/>
              </w:rPr>
            </w:pPr>
            <w:r w:rsidRPr="00F5228E">
              <w:rPr>
                <w:bCs/>
                <w:lang w:val="en-US"/>
              </w:rPr>
              <w:t>Null values dropped</w:t>
            </w:r>
          </w:p>
        </w:tc>
      </w:tr>
      <w:tr w:rsidR="00D55477" w:rsidRPr="00F5228E" w14:paraId="0B8FB127" w14:textId="77777777" w:rsidTr="00D55477">
        <w:tc>
          <w:tcPr>
            <w:tcW w:w="10485" w:type="dxa"/>
            <w:tcBorders>
              <w:top w:val="single" w:sz="4" w:space="0" w:color="auto"/>
              <w:left w:val="single" w:sz="4" w:space="0" w:color="auto"/>
              <w:bottom w:val="single" w:sz="4" w:space="0" w:color="auto"/>
              <w:right w:val="single" w:sz="4" w:space="0" w:color="auto"/>
            </w:tcBorders>
            <w:hideMark/>
          </w:tcPr>
          <w:p w14:paraId="4A5720BC" w14:textId="77777777" w:rsidR="00D55477" w:rsidRPr="00F5228E" w:rsidRDefault="00D55477">
            <w:pPr>
              <w:spacing w:after="255" w:line="240" w:lineRule="auto"/>
              <w:contextualSpacing/>
              <w:rPr>
                <w:b/>
                <w:lang w:val="en-US"/>
              </w:rPr>
            </w:pPr>
            <w:r w:rsidRPr="00F5228E">
              <w:rPr>
                <w:b/>
                <w:lang w:val="en-US"/>
              </w:rPr>
              <w:t>Step 3: Assess the evidence (ANOVA)</w:t>
            </w:r>
          </w:p>
        </w:tc>
      </w:tr>
      <w:tr w:rsidR="00D55477" w:rsidRPr="00F5228E" w14:paraId="48AEB197" w14:textId="77777777" w:rsidTr="00D55477">
        <w:tc>
          <w:tcPr>
            <w:tcW w:w="10485" w:type="dxa"/>
            <w:tcBorders>
              <w:top w:val="single" w:sz="4" w:space="0" w:color="auto"/>
              <w:left w:val="single" w:sz="4" w:space="0" w:color="auto"/>
              <w:bottom w:val="single" w:sz="4" w:space="0" w:color="auto"/>
              <w:right w:val="single" w:sz="4" w:space="0" w:color="auto"/>
            </w:tcBorders>
          </w:tcPr>
          <w:p w14:paraId="3E005ACB" w14:textId="77777777" w:rsidR="00C751FA" w:rsidRPr="00F5228E" w:rsidRDefault="00C751FA">
            <w:pPr>
              <w:spacing w:after="255" w:line="240" w:lineRule="auto"/>
              <w:contextualSpacing/>
              <w:rPr>
                <w:lang w:val="en-US"/>
              </w:rPr>
            </w:pPr>
          </w:p>
          <w:p w14:paraId="6CD1A348" w14:textId="6931FE94" w:rsidR="00D55477" w:rsidRPr="00F5228E" w:rsidRDefault="00D55477">
            <w:pPr>
              <w:spacing w:after="255" w:line="240" w:lineRule="auto"/>
              <w:contextualSpacing/>
              <w:rPr>
                <w:lang w:val="en-US"/>
              </w:rPr>
            </w:pPr>
            <w:r w:rsidRPr="00F5228E">
              <w:rPr>
                <w:lang w:val="en-US"/>
              </w:rPr>
              <w:t xml:space="preserve">F-statistics: </w:t>
            </w:r>
            <w:r w:rsidR="008954E1" w:rsidRPr="00F5228E">
              <w:rPr>
                <w:lang w:val="en-US"/>
              </w:rPr>
              <w:t>2.411e+05</w:t>
            </w:r>
          </w:p>
          <w:p w14:paraId="4171E017" w14:textId="77777777" w:rsidR="00D55477" w:rsidRPr="00F5228E" w:rsidRDefault="00D55477">
            <w:pPr>
              <w:spacing w:after="255" w:line="240" w:lineRule="auto"/>
              <w:contextualSpacing/>
              <w:rPr>
                <w:lang w:val="en-US"/>
              </w:rPr>
            </w:pPr>
          </w:p>
        </w:tc>
      </w:tr>
      <w:tr w:rsidR="00D55477" w:rsidRPr="00F5228E" w14:paraId="6AB673F4" w14:textId="77777777" w:rsidTr="00D55477">
        <w:tc>
          <w:tcPr>
            <w:tcW w:w="10485" w:type="dxa"/>
            <w:tcBorders>
              <w:top w:val="single" w:sz="4" w:space="0" w:color="auto"/>
              <w:left w:val="single" w:sz="4" w:space="0" w:color="auto"/>
              <w:bottom w:val="single" w:sz="4" w:space="0" w:color="auto"/>
              <w:right w:val="single" w:sz="4" w:space="0" w:color="auto"/>
            </w:tcBorders>
          </w:tcPr>
          <w:p w14:paraId="7B6AB754" w14:textId="77777777" w:rsidR="00C751FA" w:rsidRPr="00F5228E" w:rsidRDefault="00C751FA">
            <w:pPr>
              <w:spacing w:after="255" w:line="240" w:lineRule="auto"/>
              <w:contextualSpacing/>
              <w:rPr>
                <w:lang w:val="en-US"/>
              </w:rPr>
            </w:pPr>
          </w:p>
          <w:p w14:paraId="53367242" w14:textId="2EA7EE38" w:rsidR="00D55477" w:rsidRPr="00F5228E" w:rsidRDefault="00D55477">
            <w:pPr>
              <w:spacing w:after="255" w:line="240" w:lineRule="auto"/>
              <w:contextualSpacing/>
              <w:rPr>
                <w:lang w:val="en-US"/>
              </w:rPr>
            </w:pPr>
            <w:r w:rsidRPr="00F5228E">
              <w:rPr>
                <w:lang w:val="en-US"/>
              </w:rPr>
              <w:t>Prob(F-statistics):</w:t>
            </w:r>
            <w:r w:rsidR="00CA08B9" w:rsidRPr="00F5228E">
              <w:rPr>
                <w:lang w:val="en-US"/>
              </w:rPr>
              <w:t xml:space="preserve"> 0.00</w:t>
            </w:r>
          </w:p>
          <w:p w14:paraId="6ACA3740" w14:textId="77777777" w:rsidR="00D55477" w:rsidRPr="00F5228E" w:rsidRDefault="00D55477">
            <w:pPr>
              <w:spacing w:after="255" w:line="240" w:lineRule="auto"/>
              <w:contextualSpacing/>
              <w:rPr>
                <w:lang w:val="en-US"/>
              </w:rPr>
            </w:pPr>
          </w:p>
        </w:tc>
      </w:tr>
      <w:tr w:rsidR="00D55477" w:rsidRPr="00F5228E" w14:paraId="131DE3F7" w14:textId="77777777" w:rsidTr="00D55477">
        <w:tc>
          <w:tcPr>
            <w:tcW w:w="10485" w:type="dxa"/>
            <w:tcBorders>
              <w:top w:val="single" w:sz="4" w:space="0" w:color="auto"/>
              <w:left w:val="single" w:sz="4" w:space="0" w:color="auto"/>
              <w:bottom w:val="single" w:sz="4" w:space="0" w:color="auto"/>
              <w:right w:val="single" w:sz="4" w:space="0" w:color="auto"/>
            </w:tcBorders>
          </w:tcPr>
          <w:p w14:paraId="7541182E" w14:textId="77777777" w:rsidR="00C751FA" w:rsidRPr="00F5228E" w:rsidRDefault="00C751FA" w:rsidP="008954E1">
            <w:pPr>
              <w:spacing w:after="255" w:line="240" w:lineRule="auto"/>
              <w:contextualSpacing/>
              <w:rPr>
                <w:lang w:val="en-US"/>
              </w:rPr>
            </w:pPr>
          </w:p>
          <w:p w14:paraId="4E64A3D1" w14:textId="4807FB50" w:rsidR="008954E1" w:rsidRPr="00F5228E" w:rsidRDefault="00D55477" w:rsidP="008954E1">
            <w:pPr>
              <w:spacing w:after="255" w:line="240" w:lineRule="auto"/>
              <w:contextualSpacing/>
              <w:rPr>
                <w:lang w:val="en-US"/>
              </w:rPr>
            </w:pPr>
            <w:r w:rsidRPr="00F5228E">
              <w:rPr>
                <w:lang w:val="en-US"/>
              </w:rPr>
              <w:t>Mean values:</w:t>
            </w:r>
          </w:p>
          <w:p w14:paraId="05ED64A4" w14:textId="7752BCF5" w:rsidR="008954E1" w:rsidRPr="00F5228E" w:rsidRDefault="008954E1" w:rsidP="008954E1">
            <w:pPr>
              <w:spacing w:after="255" w:line="240" w:lineRule="auto"/>
              <w:contextualSpacing/>
              <w:rPr>
                <w:rFonts w:ascii="Consolas" w:hAnsi="Consolas"/>
                <w:lang w:val="en-US"/>
              </w:rPr>
            </w:pPr>
            <w:r w:rsidRPr="00F5228E">
              <w:rPr>
                <w:rFonts w:ascii="Consolas" w:hAnsi="Consolas"/>
                <w:lang w:val="en-US"/>
              </w:rPr>
              <w:t>DEPTH_CAT      PO4uM</w:t>
            </w:r>
          </w:p>
          <w:p w14:paraId="7F3AA7A3" w14:textId="3B7A2E52" w:rsidR="008954E1" w:rsidRPr="00F5228E" w:rsidRDefault="008954E1" w:rsidP="008954E1">
            <w:pPr>
              <w:spacing w:after="255" w:line="240" w:lineRule="auto"/>
              <w:contextualSpacing/>
              <w:rPr>
                <w:rFonts w:ascii="Consolas" w:hAnsi="Consolas"/>
                <w:lang w:val="en-US"/>
              </w:rPr>
            </w:pPr>
            <w:r w:rsidRPr="00F5228E">
              <w:rPr>
                <w:rFonts w:ascii="Consolas" w:hAnsi="Consolas"/>
                <w:lang w:val="en-US"/>
              </w:rPr>
              <w:t>shallow        1.021587</w:t>
            </w:r>
          </w:p>
          <w:p w14:paraId="083E2409" w14:textId="594FD5BB" w:rsidR="008954E1" w:rsidRPr="00F5228E" w:rsidRDefault="008954E1" w:rsidP="008954E1">
            <w:pPr>
              <w:spacing w:after="255" w:line="240" w:lineRule="auto"/>
              <w:contextualSpacing/>
              <w:rPr>
                <w:rFonts w:ascii="Consolas" w:hAnsi="Consolas"/>
                <w:lang w:val="en-US"/>
              </w:rPr>
            </w:pPr>
            <w:proofErr w:type="spellStart"/>
            <w:r w:rsidRPr="00F5228E">
              <w:rPr>
                <w:rFonts w:ascii="Consolas" w:hAnsi="Consolas"/>
                <w:lang w:val="en-US"/>
              </w:rPr>
              <w:t>kinda</w:t>
            </w:r>
            <w:proofErr w:type="spellEnd"/>
            <w:r w:rsidRPr="00F5228E">
              <w:rPr>
                <w:rFonts w:ascii="Consolas" w:hAnsi="Consolas"/>
                <w:lang w:val="en-US"/>
              </w:rPr>
              <w:t xml:space="preserve"> </w:t>
            </w:r>
            <w:proofErr w:type="gramStart"/>
            <w:r w:rsidRPr="00F5228E">
              <w:rPr>
                <w:rFonts w:ascii="Consolas" w:hAnsi="Consolas"/>
                <w:lang w:val="en-US"/>
              </w:rPr>
              <w:t>shallow  2.490355</w:t>
            </w:r>
            <w:proofErr w:type="gramEnd"/>
          </w:p>
          <w:p w14:paraId="52F91EA5" w14:textId="66C74DE2" w:rsidR="008954E1" w:rsidRPr="00F5228E" w:rsidRDefault="008954E1" w:rsidP="008954E1">
            <w:pPr>
              <w:spacing w:after="255" w:line="240" w:lineRule="auto"/>
              <w:contextualSpacing/>
              <w:rPr>
                <w:rFonts w:ascii="Consolas" w:hAnsi="Consolas"/>
                <w:lang w:val="en-US"/>
              </w:rPr>
            </w:pPr>
            <w:proofErr w:type="spellStart"/>
            <w:r w:rsidRPr="00F5228E">
              <w:rPr>
                <w:rFonts w:ascii="Consolas" w:hAnsi="Consolas"/>
                <w:lang w:val="en-US"/>
              </w:rPr>
              <w:t>kinda</w:t>
            </w:r>
            <w:proofErr w:type="spellEnd"/>
            <w:r w:rsidRPr="00F5228E">
              <w:rPr>
                <w:rFonts w:ascii="Consolas" w:hAnsi="Consolas"/>
                <w:lang w:val="en-US"/>
              </w:rPr>
              <w:t xml:space="preserve"> deep     3.070342</w:t>
            </w:r>
          </w:p>
          <w:p w14:paraId="5FA0F48A" w14:textId="77777777" w:rsidR="00D55477" w:rsidRPr="00F5228E" w:rsidRDefault="008954E1" w:rsidP="008954E1">
            <w:pPr>
              <w:spacing w:after="255" w:line="240" w:lineRule="auto"/>
              <w:contextualSpacing/>
              <w:rPr>
                <w:rFonts w:ascii="Consolas" w:hAnsi="Consolas"/>
                <w:lang w:val="en-US"/>
              </w:rPr>
            </w:pPr>
            <w:r w:rsidRPr="00F5228E">
              <w:rPr>
                <w:rFonts w:ascii="Consolas" w:hAnsi="Consolas"/>
                <w:lang w:val="en-US"/>
              </w:rPr>
              <w:t>deep           3.249309</w:t>
            </w:r>
          </w:p>
          <w:p w14:paraId="7571357D" w14:textId="028912C0" w:rsidR="00C751FA" w:rsidRPr="00F5228E" w:rsidRDefault="00C751FA" w:rsidP="008954E1">
            <w:pPr>
              <w:spacing w:after="255" w:line="240" w:lineRule="auto"/>
              <w:contextualSpacing/>
              <w:rPr>
                <w:lang w:val="en-US"/>
              </w:rPr>
            </w:pPr>
          </w:p>
        </w:tc>
      </w:tr>
      <w:tr w:rsidR="00D55477" w:rsidRPr="00F5228E" w14:paraId="687C4D9E" w14:textId="77777777" w:rsidTr="00D55477">
        <w:tc>
          <w:tcPr>
            <w:tcW w:w="10485" w:type="dxa"/>
            <w:tcBorders>
              <w:top w:val="single" w:sz="4" w:space="0" w:color="auto"/>
              <w:left w:val="single" w:sz="4" w:space="0" w:color="auto"/>
              <w:bottom w:val="single" w:sz="4" w:space="0" w:color="auto"/>
              <w:right w:val="single" w:sz="4" w:space="0" w:color="auto"/>
            </w:tcBorders>
          </w:tcPr>
          <w:p w14:paraId="6CB3A7B7" w14:textId="77777777" w:rsidR="00C751FA" w:rsidRPr="00F5228E" w:rsidRDefault="00C751FA" w:rsidP="008954E1">
            <w:pPr>
              <w:spacing w:after="255" w:line="240" w:lineRule="auto"/>
              <w:contextualSpacing/>
              <w:rPr>
                <w:lang w:val="en-US"/>
              </w:rPr>
            </w:pPr>
          </w:p>
          <w:p w14:paraId="129C07ED" w14:textId="5D49A108" w:rsidR="008954E1" w:rsidRPr="00F5228E" w:rsidRDefault="00D55477" w:rsidP="008954E1">
            <w:pPr>
              <w:spacing w:after="255" w:line="240" w:lineRule="auto"/>
              <w:contextualSpacing/>
              <w:rPr>
                <w:lang w:val="en-US"/>
              </w:rPr>
            </w:pPr>
            <w:r w:rsidRPr="00F5228E">
              <w:rPr>
                <w:lang w:val="en-US"/>
              </w:rPr>
              <w:t>STD values:</w:t>
            </w:r>
          </w:p>
          <w:p w14:paraId="06E8D010" w14:textId="4E017214" w:rsidR="008954E1" w:rsidRPr="00F5228E" w:rsidRDefault="008954E1" w:rsidP="008954E1">
            <w:pPr>
              <w:spacing w:after="255" w:line="240" w:lineRule="auto"/>
              <w:contextualSpacing/>
              <w:rPr>
                <w:rFonts w:ascii="Consolas" w:hAnsi="Consolas"/>
                <w:lang w:val="en-US"/>
              </w:rPr>
            </w:pPr>
            <w:r w:rsidRPr="00F5228E">
              <w:rPr>
                <w:rFonts w:ascii="Consolas" w:hAnsi="Consolas"/>
                <w:lang w:val="en-US"/>
              </w:rPr>
              <w:t>DEPTH_CAT      PO4uM</w:t>
            </w:r>
          </w:p>
          <w:p w14:paraId="2C82BBCC" w14:textId="022AF8BE" w:rsidR="008954E1" w:rsidRPr="00F5228E" w:rsidRDefault="008954E1" w:rsidP="008954E1">
            <w:pPr>
              <w:spacing w:after="255" w:line="240" w:lineRule="auto"/>
              <w:contextualSpacing/>
              <w:rPr>
                <w:rFonts w:ascii="Consolas" w:hAnsi="Consolas"/>
                <w:lang w:val="en-US"/>
              </w:rPr>
            </w:pPr>
            <w:r w:rsidRPr="00F5228E">
              <w:rPr>
                <w:rFonts w:ascii="Consolas" w:hAnsi="Consolas"/>
                <w:lang w:val="en-US"/>
              </w:rPr>
              <w:t>shallow        0.696238</w:t>
            </w:r>
          </w:p>
          <w:p w14:paraId="2E6B4D9D" w14:textId="45953F54" w:rsidR="008954E1" w:rsidRPr="00F5228E" w:rsidRDefault="008954E1" w:rsidP="008954E1">
            <w:pPr>
              <w:spacing w:after="255" w:line="240" w:lineRule="auto"/>
              <w:contextualSpacing/>
              <w:rPr>
                <w:rFonts w:ascii="Consolas" w:hAnsi="Consolas"/>
                <w:lang w:val="en-US"/>
              </w:rPr>
            </w:pPr>
            <w:proofErr w:type="spellStart"/>
            <w:r w:rsidRPr="00F5228E">
              <w:rPr>
                <w:rFonts w:ascii="Consolas" w:hAnsi="Consolas"/>
                <w:lang w:val="en-US"/>
              </w:rPr>
              <w:t>kinda</w:t>
            </w:r>
            <w:proofErr w:type="spellEnd"/>
            <w:r w:rsidRPr="00F5228E">
              <w:rPr>
                <w:rFonts w:ascii="Consolas" w:hAnsi="Consolas"/>
                <w:lang w:val="en-US"/>
              </w:rPr>
              <w:t xml:space="preserve"> </w:t>
            </w:r>
            <w:proofErr w:type="gramStart"/>
            <w:r w:rsidRPr="00F5228E">
              <w:rPr>
                <w:rFonts w:ascii="Consolas" w:hAnsi="Consolas"/>
                <w:lang w:val="en-US"/>
              </w:rPr>
              <w:t>shallow  0.357878</w:t>
            </w:r>
            <w:proofErr w:type="gramEnd"/>
          </w:p>
          <w:p w14:paraId="658D44F8" w14:textId="09AB5D1A" w:rsidR="008954E1" w:rsidRPr="00F5228E" w:rsidRDefault="008954E1" w:rsidP="008954E1">
            <w:pPr>
              <w:spacing w:after="255" w:line="240" w:lineRule="auto"/>
              <w:contextualSpacing/>
              <w:rPr>
                <w:rFonts w:ascii="Consolas" w:hAnsi="Consolas"/>
                <w:lang w:val="en-US"/>
              </w:rPr>
            </w:pPr>
            <w:proofErr w:type="spellStart"/>
            <w:r w:rsidRPr="00F5228E">
              <w:rPr>
                <w:rFonts w:ascii="Consolas" w:hAnsi="Consolas"/>
                <w:lang w:val="en-US"/>
              </w:rPr>
              <w:t>kinda</w:t>
            </w:r>
            <w:proofErr w:type="spellEnd"/>
            <w:r w:rsidRPr="00F5228E">
              <w:rPr>
                <w:rFonts w:ascii="Consolas" w:hAnsi="Consolas"/>
                <w:lang w:val="en-US"/>
              </w:rPr>
              <w:t xml:space="preserve"> deep     0.194876</w:t>
            </w:r>
          </w:p>
          <w:p w14:paraId="66FEEBD8" w14:textId="77777777" w:rsidR="00D55477" w:rsidRPr="00F5228E" w:rsidRDefault="008954E1" w:rsidP="008954E1">
            <w:pPr>
              <w:spacing w:after="255" w:line="240" w:lineRule="auto"/>
              <w:contextualSpacing/>
              <w:rPr>
                <w:rFonts w:ascii="Consolas" w:hAnsi="Consolas"/>
                <w:lang w:val="en-US"/>
              </w:rPr>
            </w:pPr>
            <w:r w:rsidRPr="00F5228E">
              <w:rPr>
                <w:rFonts w:ascii="Consolas" w:hAnsi="Consolas"/>
                <w:lang w:val="en-US"/>
              </w:rPr>
              <w:t>deep           0.197763</w:t>
            </w:r>
          </w:p>
          <w:p w14:paraId="53FE93E3" w14:textId="3CD23318" w:rsidR="00C751FA" w:rsidRPr="00F5228E" w:rsidRDefault="00C751FA" w:rsidP="008954E1">
            <w:pPr>
              <w:spacing w:after="255" w:line="240" w:lineRule="auto"/>
              <w:contextualSpacing/>
              <w:rPr>
                <w:lang w:val="en-US"/>
              </w:rPr>
            </w:pPr>
          </w:p>
        </w:tc>
      </w:tr>
      <w:tr w:rsidR="00D55477" w:rsidRPr="00F5228E" w14:paraId="2A4B76FB" w14:textId="77777777" w:rsidTr="00D55477">
        <w:tc>
          <w:tcPr>
            <w:tcW w:w="10485" w:type="dxa"/>
            <w:tcBorders>
              <w:top w:val="single" w:sz="4" w:space="0" w:color="auto"/>
              <w:left w:val="single" w:sz="4" w:space="0" w:color="auto"/>
              <w:bottom w:val="single" w:sz="4" w:space="0" w:color="auto"/>
              <w:right w:val="single" w:sz="4" w:space="0" w:color="auto"/>
            </w:tcBorders>
            <w:hideMark/>
          </w:tcPr>
          <w:p w14:paraId="03BAA4A8" w14:textId="77777777" w:rsidR="00D55477" w:rsidRPr="00F5228E" w:rsidRDefault="00D55477">
            <w:pPr>
              <w:spacing w:after="255" w:line="240" w:lineRule="auto"/>
              <w:contextualSpacing/>
              <w:rPr>
                <w:b/>
                <w:lang w:val="en-US"/>
              </w:rPr>
            </w:pPr>
            <w:r w:rsidRPr="00F5228E">
              <w:rPr>
                <w:b/>
                <w:lang w:val="en-US"/>
              </w:rPr>
              <w:t xml:space="preserve">Step 4: Draw Conclusion </w:t>
            </w:r>
          </w:p>
        </w:tc>
      </w:tr>
      <w:tr w:rsidR="00D55477" w:rsidRPr="00F5228E" w14:paraId="7653C923" w14:textId="77777777" w:rsidTr="00D55477">
        <w:tc>
          <w:tcPr>
            <w:tcW w:w="10485" w:type="dxa"/>
            <w:tcBorders>
              <w:top w:val="single" w:sz="4" w:space="0" w:color="auto"/>
              <w:left w:val="single" w:sz="4" w:space="0" w:color="auto"/>
              <w:bottom w:val="single" w:sz="4" w:space="0" w:color="auto"/>
              <w:right w:val="single" w:sz="4" w:space="0" w:color="auto"/>
            </w:tcBorders>
          </w:tcPr>
          <w:p w14:paraId="2C204CA2" w14:textId="77777777" w:rsidR="00D55477" w:rsidRPr="00F5228E" w:rsidRDefault="00D55477">
            <w:pPr>
              <w:spacing w:after="255" w:line="240" w:lineRule="auto"/>
              <w:contextualSpacing/>
              <w:rPr>
                <w:lang w:val="en-US"/>
              </w:rPr>
            </w:pPr>
          </w:p>
          <w:p w14:paraId="3DE2C500" w14:textId="4E37FE12" w:rsidR="00D55477" w:rsidRPr="00F5228E" w:rsidRDefault="005D21C8">
            <w:pPr>
              <w:spacing w:after="255" w:line="240" w:lineRule="auto"/>
              <w:contextualSpacing/>
            </w:pPr>
            <w:r w:rsidRPr="00F5228E">
              <w:rPr>
                <w:lang w:val="en-US"/>
              </w:rPr>
              <w:t xml:space="preserve">The p-value of the ANOVA test is less than </w:t>
            </w:r>
            <w:r w:rsidR="008954E1" w:rsidRPr="00F5228E">
              <w:rPr>
                <w:lang w:val="en-US"/>
              </w:rPr>
              <w:t>0.0</w:t>
            </w:r>
            <w:r w:rsidRPr="00F5228E">
              <w:rPr>
                <w:lang w:val="en-US"/>
              </w:rPr>
              <w:t>5 (0.00), so we reject the null hypothesis and accept the alternative hypothesis.</w:t>
            </w:r>
            <w:r w:rsidR="00C751FA" w:rsidRPr="00F5228E">
              <w:rPr>
                <w:lang w:val="en-US"/>
              </w:rPr>
              <w:t xml:space="preserve"> </w:t>
            </w:r>
            <w:r w:rsidR="00F60E93" w:rsidRPr="00F5228E">
              <w:t>Th</w:t>
            </w:r>
            <w:r w:rsidR="00C751FA" w:rsidRPr="00F5228E">
              <w:t>at is, there</w:t>
            </w:r>
            <w:r w:rsidR="00F60E93" w:rsidRPr="00F5228E">
              <w:t xml:space="preserve"> is a difference between the mean phosphate concentration levels for different water depth </w:t>
            </w:r>
            <w:r w:rsidR="00F60E93" w:rsidRPr="00F5228E">
              <w:rPr>
                <w:lang w:val="en-US"/>
              </w:rPr>
              <w:t>categories</w:t>
            </w:r>
            <w:r w:rsidR="00F60E93" w:rsidRPr="00F5228E">
              <w:t xml:space="preserve"> (phosphate and depth are related).</w:t>
            </w:r>
            <w:r w:rsidR="00C751FA" w:rsidRPr="00F5228E">
              <w:t xml:space="preserve"> </w:t>
            </w:r>
          </w:p>
          <w:p w14:paraId="551ACC15" w14:textId="00142FC7" w:rsidR="000A1E83" w:rsidRPr="00F5228E" w:rsidRDefault="000A1E83">
            <w:pPr>
              <w:spacing w:after="255" w:line="240" w:lineRule="auto"/>
              <w:contextualSpacing/>
              <w:rPr>
                <w:lang w:val="en-US"/>
              </w:rPr>
            </w:pPr>
          </w:p>
          <w:p w14:paraId="21799938" w14:textId="667B6B41" w:rsidR="000A1E83" w:rsidRPr="00F5228E" w:rsidRDefault="000A1E83">
            <w:pPr>
              <w:spacing w:after="255" w:line="240" w:lineRule="auto"/>
              <w:contextualSpacing/>
              <w:rPr>
                <w:lang w:val="en-US"/>
              </w:rPr>
            </w:pPr>
            <w:r w:rsidRPr="00F5228E">
              <w:rPr>
                <w:lang w:val="en-US"/>
              </w:rPr>
              <w:lastRenderedPageBreak/>
              <w:t xml:space="preserve">Implications: the increase in phosphorus concentration of the water with depth may indicate that more sardines are thriving in the shallower water, as sardines are high in phosphorus and the bodies of dead </w:t>
            </w:r>
            <w:proofErr w:type="gramStart"/>
            <w:r w:rsidRPr="00F5228E">
              <w:rPr>
                <w:lang w:val="en-US"/>
              </w:rPr>
              <w:t>sardines</w:t>
            </w:r>
            <w:proofErr w:type="gramEnd"/>
            <w:r w:rsidRPr="00F5228E">
              <w:rPr>
                <w:lang w:val="en-US"/>
              </w:rPr>
              <w:t xml:space="preserve"> release phosphorus into the water. However, phosphorus, although essential for all life, can be a pollutant that causes eutrophication. Eutrophication leads to algae growth and oxygen depletion, which </w:t>
            </w:r>
            <w:r w:rsidR="00F5228E" w:rsidRPr="00F5228E">
              <w:rPr>
                <w:lang w:val="en-US"/>
              </w:rPr>
              <w:t>i</w:t>
            </w:r>
            <w:r w:rsidRPr="00F5228E">
              <w:rPr>
                <w:lang w:val="en-US"/>
              </w:rPr>
              <w:t>n turn causes the depletion of fish species.</w:t>
            </w:r>
          </w:p>
          <w:p w14:paraId="5FCA7E15" w14:textId="5104BD66" w:rsidR="00F60E93" w:rsidRPr="00F5228E" w:rsidRDefault="00F60E93">
            <w:pPr>
              <w:spacing w:after="255" w:line="240" w:lineRule="auto"/>
              <w:contextualSpacing/>
              <w:rPr>
                <w:lang w:val="en-US"/>
              </w:rPr>
            </w:pPr>
          </w:p>
        </w:tc>
      </w:tr>
      <w:tr w:rsidR="00D55477" w:rsidRPr="00F5228E" w14:paraId="5E6674CF" w14:textId="77777777" w:rsidTr="00D55477">
        <w:tc>
          <w:tcPr>
            <w:tcW w:w="10485" w:type="dxa"/>
            <w:tcBorders>
              <w:top w:val="single" w:sz="4" w:space="0" w:color="auto"/>
              <w:left w:val="single" w:sz="4" w:space="0" w:color="auto"/>
              <w:bottom w:val="single" w:sz="4" w:space="0" w:color="auto"/>
              <w:right w:val="single" w:sz="4" w:space="0" w:color="auto"/>
            </w:tcBorders>
            <w:hideMark/>
          </w:tcPr>
          <w:p w14:paraId="075837EF" w14:textId="77777777" w:rsidR="00D55477" w:rsidRPr="00F5228E" w:rsidRDefault="00D55477">
            <w:pPr>
              <w:spacing w:after="255" w:line="240" w:lineRule="auto"/>
              <w:contextualSpacing/>
              <w:rPr>
                <w:lang w:val="en-US"/>
              </w:rPr>
            </w:pPr>
            <w:r w:rsidRPr="00F5228E">
              <w:rPr>
                <w:b/>
                <w:lang w:val="en-US"/>
              </w:rPr>
              <w:lastRenderedPageBreak/>
              <w:t>Box Plot</w:t>
            </w:r>
          </w:p>
        </w:tc>
      </w:tr>
      <w:tr w:rsidR="00D55477" w:rsidRPr="00F5228E" w14:paraId="2FC09678" w14:textId="77777777" w:rsidTr="00D55477">
        <w:tc>
          <w:tcPr>
            <w:tcW w:w="10485" w:type="dxa"/>
            <w:tcBorders>
              <w:top w:val="single" w:sz="4" w:space="0" w:color="auto"/>
              <w:left w:val="single" w:sz="4" w:space="0" w:color="auto"/>
              <w:bottom w:val="single" w:sz="4" w:space="0" w:color="auto"/>
              <w:right w:val="single" w:sz="4" w:space="0" w:color="auto"/>
            </w:tcBorders>
          </w:tcPr>
          <w:p w14:paraId="1B9C10C1" w14:textId="7DF0DF9D" w:rsidR="00D55477" w:rsidRPr="00F5228E" w:rsidRDefault="00D55477">
            <w:pPr>
              <w:spacing w:after="255" w:line="240" w:lineRule="auto"/>
              <w:contextualSpacing/>
              <w:rPr>
                <w:lang w:val="en-US"/>
              </w:rPr>
            </w:pPr>
          </w:p>
          <w:p w14:paraId="1CBF8E5C" w14:textId="58EE2AFD" w:rsidR="00B27A0F" w:rsidRPr="00F5228E" w:rsidRDefault="00B27A0F">
            <w:pPr>
              <w:spacing w:after="255" w:line="240" w:lineRule="auto"/>
              <w:contextualSpacing/>
              <w:rPr>
                <w:lang w:val="en-US"/>
              </w:rPr>
            </w:pPr>
            <w:r w:rsidRPr="00F5228E">
              <w:rPr>
                <w:lang w:val="en-US"/>
              </w:rPr>
              <w:t>Figure 1: Box plot of water depth category vs phosphate concentration</w:t>
            </w:r>
          </w:p>
          <w:p w14:paraId="5B02C8A6" w14:textId="77777777" w:rsidR="00B27A0F" w:rsidRPr="00F5228E" w:rsidRDefault="00B27A0F">
            <w:pPr>
              <w:spacing w:after="255" w:line="240" w:lineRule="auto"/>
              <w:contextualSpacing/>
              <w:rPr>
                <w:lang w:val="en-US"/>
              </w:rPr>
            </w:pPr>
          </w:p>
          <w:p w14:paraId="26AEB262" w14:textId="24E09E2F" w:rsidR="00D55477" w:rsidRPr="00F5228E" w:rsidRDefault="00B27A0F">
            <w:pPr>
              <w:spacing w:after="255" w:line="240" w:lineRule="auto"/>
              <w:contextualSpacing/>
              <w:rPr>
                <w:lang w:val="en-US"/>
              </w:rPr>
            </w:pPr>
            <w:r w:rsidRPr="00F5228E">
              <w:rPr>
                <w:noProof/>
                <w:lang w:val="en-US"/>
              </w:rPr>
              <w:drawing>
                <wp:inline distT="0" distB="0" distL="0" distR="0" wp14:anchorId="6EB3AF9B" wp14:editId="62A84840">
                  <wp:extent cx="2628900" cy="19542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317" cy="1959037"/>
                          </a:xfrm>
                          <a:prstGeom prst="rect">
                            <a:avLst/>
                          </a:prstGeom>
                          <a:noFill/>
                          <a:ln>
                            <a:noFill/>
                          </a:ln>
                        </pic:spPr>
                      </pic:pic>
                    </a:graphicData>
                  </a:graphic>
                </wp:inline>
              </w:drawing>
            </w:r>
          </w:p>
          <w:p w14:paraId="710A5C55" w14:textId="25E390F2" w:rsidR="00D55477" w:rsidRPr="00F5228E" w:rsidRDefault="00B27A0F">
            <w:pPr>
              <w:spacing w:after="255" w:line="240" w:lineRule="auto"/>
              <w:contextualSpacing/>
              <w:rPr>
                <w:lang w:val="en-US"/>
              </w:rPr>
            </w:pPr>
            <w:r w:rsidRPr="00F5228E">
              <w:rPr>
                <w:lang w:val="en-US"/>
              </w:rPr>
              <w:t xml:space="preserve">It is clear from the box plot that there is an increasing trend between </w:t>
            </w:r>
            <w:r w:rsidR="00A4315B" w:rsidRPr="00F5228E">
              <w:rPr>
                <w:lang w:val="en-US"/>
              </w:rPr>
              <w:t xml:space="preserve">depth categories and phosphate concentration. </w:t>
            </w:r>
            <w:r w:rsidR="00F33DA0" w:rsidRPr="00F5228E">
              <w:rPr>
                <w:lang w:val="en-US"/>
              </w:rPr>
              <w:t>As water depths increase, t</w:t>
            </w:r>
            <w:r w:rsidR="00A4315B" w:rsidRPr="00F5228E">
              <w:rPr>
                <w:lang w:val="en-US"/>
              </w:rPr>
              <w:t xml:space="preserve">he phosphate increases quickly at first, but slows down and curves to form a seemingly logarithmic shape. </w:t>
            </w:r>
          </w:p>
          <w:p w14:paraId="16FE2AE7" w14:textId="2CEF3D2B" w:rsidR="00B27A0F" w:rsidRPr="00F5228E" w:rsidRDefault="00B27A0F">
            <w:pPr>
              <w:spacing w:after="255" w:line="240" w:lineRule="auto"/>
              <w:contextualSpacing/>
              <w:rPr>
                <w:lang w:val="en-US"/>
              </w:rPr>
            </w:pPr>
          </w:p>
        </w:tc>
      </w:tr>
      <w:tr w:rsidR="00F60E93" w:rsidRPr="00F5228E" w14:paraId="55384C6B" w14:textId="77777777" w:rsidTr="00D55477">
        <w:tc>
          <w:tcPr>
            <w:tcW w:w="10485" w:type="dxa"/>
            <w:tcBorders>
              <w:top w:val="single" w:sz="4" w:space="0" w:color="auto"/>
              <w:left w:val="single" w:sz="4" w:space="0" w:color="auto"/>
              <w:bottom w:val="single" w:sz="4" w:space="0" w:color="auto"/>
              <w:right w:val="single" w:sz="4" w:space="0" w:color="auto"/>
            </w:tcBorders>
          </w:tcPr>
          <w:p w14:paraId="54FBA6BC" w14:textId="582D8492" w:rsidR="00F60E93" w:rsidRPr="00F5228E" w:rsidRDefault="00F60E93">
            <w:pPr>
              <w:spacing w:after="255" w:line="240" w:lineRule="auto"/>
              <w:contextualSpacing/>
              <w:rPr>
                <w:lang w:val="en-US"/>
              </w:rPr>
            </w:pPr>
            <w:r w:rsidRPr="00F5228E">
              <w:rPr>
                <w:b/>
                <w:lang w:val="en-US"/>
              </w:rPr>
              <w:t>Post Hoc Test</w:t>
            </w:r>
          </w:p>
        </w:tc>
      </w:tr>
      <w:tr w:rsidR="00F60E93" w:rsidRPr="00F5228E" w14:paraId="6E8055B1" w14:textId="77777777" w:rsidTr="00D55477">
        <w:tc>
          <w:tcPr>
            <w:tcW w:w="10485" w:type="dxa"/>
            <w:tcBorders>
              <w:top w:val="single" w:sz="4" w:space="0" w:color="auto"/>
              <w:left w:val="single" w:sz="4" w:space="0" w:color="auto"/>
              <w:bottom w:val="single" w:sz="4" w:space="0" w:color="auto"/>
              <w:right w:val="single" w:sz="4" w:space="0" w:color="auto"/>
            </w:tcBorders>
          </w:tcPr>
          <w:p w14:paraId="5779AA1C"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Multiple Comparison of Means - Tukey HSD, FWER=0.05       </w:t>
            </w:r>
          </w:p>
          <w:p w14:paraId="717FCAB6"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w:t>
            </w:r>
          </w:p>
          <w:p w14:paraId="4E90A074"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group1        group2    </w:t>
            </w:r>
            <w:proofErr w:type="spellStart"/>
            <w:r w:rsidRPr="00F5228E">
              <w:rPr>
                <w:rFonts w:ascii="Consolas" w:eastAsia="Times New Roman" w:hAnsi="Consolas" w:cs="Courier New"/>
                <w:sz w:val="18"/>
                <w:szCs w:val="18"/>
                <w:lang w:eastAsia="en-AU"/>
              </w:rPr>
              <w:t>meandiff</w:t>
            </w:r>
            <w:proofErr w:type="spellEnd"/>
            <w:r w:rsidRPr="00F5228E">
              <w:rPr>
                <w:rFonts w:ascii="Consolas" w:eastAsia="Times New Roman" w:hAnsi="Consolas" w:cs="Courier New"/>
                <w:sz w:val="18"/>
                <w:szCs w:val="18"/>
                <w:lang w:eastAsia="en-AU"/>
              </w:rPr>
              <w:t xml:space="preserve"> p-</w:t>
            </w:r>
            <w:proofErr w:type="gramStart"/>
            <w:r w:rsidRPr="00F5228E">
              <w:rPr>
                <w:rFonts w:ascii="Consolas" w:eastAsia="Times New Roman" w:hAnsi="Consolas" w:cs="Courier New"/>
                <w:sz w:val="18"/>
                <w:szCs w:val="18"/>
                <w:lang w:eastAsia="en-AU"/>
              </w:rPr>
              <w:t>adj  lower</w:t>
            </w:r>
            <w:proofErr w:type="gramEnd"/>
            <w:r w:rsidRPr="00F5228E">
              <w:rPr>
                <w:rFonts w:ascii="Consolas" w:eastAsia="Times New Roman" w:hAnsi="Consolas" w:cs="Courier New"/>
                <w:sz w:val="18"/>
                <w:szCs w:val="18"/>
                <w:lang w:eastAsia="en-AU"/>
              </w:rPr>
              <w:t xml:space="preserve">   upper  reject</w:t>
            </w:r>
          </w:p>
          <w:p w14:paraId="1D685131"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w:t>
            </w:r>
          </w:p>
          <w:p w14:paraId="45FF907A"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deep    </w:t>
            </w: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deep   -0.179 0.001 -0.1957 -0.1623   True</w:t>
            </w:r>
          </w:p>
          <w:p w14:paraId="785683B0"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deep </w:t>
            </w: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shallow   -0.759 0.001 -0.7746 -0.7433   True</w:t>
            </w:r>
          </w:p>
          <w:p w14:paraId="2A07024E"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deep       </w:t>
            </w:r>
            <w:proofErr w:type="gramStart"/>
            <w:r w:rsidRPr="00F5228E">
              <w:rPr>
                <w:rFonts w:ascii="Consolas" w:eastAsia="Times New Roman" w:hAnsi="Consolas" w:cs="Courier New"/>
                <w:sz w:val="18"/>
                <w:szCs w:val="18"/>
                <w:lang w:eastAsia="en-AU"/>
              </w:rPr>
              <w:t>shallow  -</w:t>
            </w:r>
            <w:proofErr w:type="gramEnd"/>
            <w:r w:rsidRPr="00F5228E">
              <w:rPr>
                <w:rFonts w:ascii="Consolas" w:eastAsia="Times New Roman" w:hAnsi="Consolas" w:cs="Courier New"/>
                <w:sz w:val="18"/>
                <w:szCs w:val="18"/>
                <w:lang w:eastAsia="en-AU"/>
              </w:rPr>
              <w:t>2.2277 0.001 -2.2427 -2.2128   True</w:t>
            </w:r>
          </w:p>
          <w:p w14:paraId="69F03E7A"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w:t>
            </w: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deep </w:t>
            </w: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shallow    -0.58 0.001 -0.5897 -0.5703   True</w:t>
            </w:r>
          </w:p>
          <w:p w14:paraId="4099CDD9"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F5228E">
              <w:rPr>
                <w:rFonts w:ascii="Consolas" w:eastAsia="Times New Roman" w:hAnsi="Consolas" w:cs="Courier New"/>
                <w:sz w:val="18"/>
                <w:szCs w:val="18"/>
                <w:lang w:eastAsia="en-AU"/>
              </w:rPr>
              <w:t xml:space="preserve">   </w:t>
            </w: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deep       </w:t>
            </w:r>
            <w:proofErr w:type="gramStart"/>
            <w:r w:rsidRPr="00F5228E">
              <w:rPr>
                <w:rFonts w:ascii="Consolas" w:eastAsia="Times New Roman" w:hAnsi="Consolas" w:cs="Courier New"/>
                <w:sz w:val="18"/>
                <w:szCs w:val="18"/>
                <w:lang w:eastAsia="en-AU"/>
              </w:rPr>
              <w:t>shallow  -</w:t>
            </w:r>
            <w:proofErr w:type="gramEnd"/>
            <w:r w:rsidRPr="00F5228E">
              <w:rPr>
                <w:rFonts w:ascii="Consolas" w:eastAsia="Times New Roman" w:hAnsi="Consolas" w:cs="Courier New"/>
                <w:sz w:val="18"/>
                <w:szCs w:val="18"/>
                <w:lang w:eastAsia="en-AU"/>
              </w:rPr>
              <w:t>2.0488 0.001 -2.0573 -2.0402   True</w:t>
            </w:r>
          </w:p>
          <w:p w14:paraId="677ADD83"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proofErr w:type="spellStart"/>
            <w:r w:rsidRPr="00F5228E">
              <w:rPr>
                <w:rFonts w:ascii="Consolas" w:eastAsia="Times New Roman" w:hAnsi="Consolas" w:cs="Courier New"/>
                <w:sz w:val="18"/>
                <w:szCs w:val="18"/>
                <w:lang w:eastAsia="en-AU"/>
              </w:rPr>
              <w:t>kinda</w:t>
            </w:r>
            <w:proofErr w:type="spellEnd"/>
            <w:r w:rsidRPr="00F5228E">
              <w:rPr>
                <w:rFonts w:ascii="Consolas" w:eastAsia="Times New Roman" w:hAnsi="Consolas" w:cs="Courier New"/>
                <w:sz w:val="18"/>
                <w:szCs w:val="18"/>
                <w:lang w:eastAsia="en-AU"/>
              </w:rPr>
              <w:t xml:space="preserve"> shallow       </w:t>
            </w:r>
            <w:proofErr w:type="spellStart"/>
            <w:proofErr w:type="gramStart"/>
            <w:r w:rsidRPr="00F5228E">
              <w:rPr>
                <w:rFonts w:ascii="Consolas" w:eastAsia="Times New Roman" w:hAnsi="Consolas" w:cs="Courier New"/>
                <w:sz w:val="18"/>
                <w:szCs w:val="18"/>
                <w:lang w:eastAsia="en-AU"/>
              </w:rPr>
              <w:t>shallow</w:t>
            </w:r>
            <w:proofErr w:type="spellEnd"/>
            <w:r w:rsidRPr="00F5228E">
              <w:rPr>
                <w:rFonts w:ascii="Consolas" w:eastAsia="Times New Roman" w:hAnsi="Consolas" w:cs="Courier New"/>
                <w:sz w:val="18"/>
                <w:szCs w:val="18"/>
                <w:lang w:eastAsia="en-AU"/>
              </w:rPr>
              <w:t xml:space="preserve">  -</w:t>
            </w:r>
            <w:proofErr w:type="gramEnd"/>
            <w:r w:rsidRPr="00F5228E">
              <w:rPr>
                <w:rFonts w:ascii="Consolas" w:eastAsia="Times New Roman" w:hAnsi="Consolas" w:cs="Courier New"/>
                <w:sz w:val="18"/>
                <w:szCs w:val="18"/>
                <w:lang w:eastAsia="en-AU"/>
              </w:rPr>
              <w:t>1.4688 0.001  -1.475 -1.4625   True</w:t>
            </w:r>
          </w:p>
          <w:p w14:paraId="105A2D16" w14:textId="20CEBBD6" w:rsidR="00F60E93"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24"/>
                <w:szCs w:val="24"/>
                <w:lang w:eastAsia="en-AU"/>
              </w:rPr>
            </w:pPr>
            <w:r w:rsidRPr="00F5228E">
              <w:rPr>
                <w:rFonts w:ascii="Consolas" w:eastAsia="Times New Roman" w:hAnsi="Consolas" w:cs="Courier New"/>
                <w:sz w:val="18"/>
                <w:szCs w:val="18"/>
                <w:lang w:eastAsia="en-AU"/>
              </w:rPr>
              <w:t>-----------------------------------------------------------------</w:t>
            </w:r>
          </w:p>
        </w:tc>
      </w:tr>
      <w:tr w:rsidR="00B27A0F" w:rsidRPr="00F5228E" w14:paraId="78E914C5" w14:textId="77777777" w:rsidTr="00D55477">
        <w:tc>
          <w:tcPr>
            <w:tcW w:w="10485" w:type="dxa"/>
            <w:tcBorders>
              <w:top w:val="single" w:sz="4" w:space="0" w:color="auto"/>
              <w:left w:val="single" w:sz="4" w:space="0" w:color="auto"/>
              <w:bottom w:val="single" w:sz="4" w:space="0" w:color="auto"/>
              <w:right w:val="single" w:sz="4" w:space="0" w:color="auto"/>
            </w:tcBorders>
          </w:tcPr>
          <w:p w14:paraId="3FCF8932" w14:textId="489EF4D5"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18"/>
                <w:szCs w:val="18"/>
                <w:lang w:eastAsia="en-AU"/>
              </w:rPr>
            </w:pPr>
          </w:p>
          <w:p w14:paraId="152357FD" w14:textId="76A80BD6" w:rsidR="00B27A0F" w:rsidRPr="00F5228E" w:rsidRDefault="00B27A0F" w:rsidP="00B27A0F">
            <w:pPr>
              <w:rPr>
                <w:sz w:val="20"/>
                <w:szCs w:val="20"/>
                <w:lang w:eastAsia="en-AU"/>
              </w:rPr>
            </w:pPr>
            <w:r w:rsidRPr="00F5228E">
              <w:rPr>
                <w:sz w:val="20"/>
                <w:szCs w:val="20"/>
                <w:lang w:eastAsia="en-AU"/>
              </w:rPr>
              <w:t>New p-value: 0.05 / 6 = 0.0083</w:t>
            </w:r>
          </w:p>
          <w:p w14:paraId="18D55EFE" w14:textId="4CDC7940"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18"/>
                <w:szCs w:val="18"/>
                <w:lang w:eastAsia="en-AU"/>
              </w:rPr>
            </w:pPr>
          </w:p>
          <w:p w14:paraId="412472E7" w14:textId="5BB387F2" w:rsidR="00B27A0F" w:rsidRPr="00F5228E" w:rsidRDefault="00B27A0F" w:rsidP="00B27A0F">
            <w:pPr>
              <w:rPr>
                <w:sz w:val="20"/>
                <w:szCs w:val="20"/>
                <w:lang w:eastAsia="en-AU"/>
              </w:rPr>
            </w:pPr>
            <w:r w:rsidRPr="00F5228E">
              <w:rPr>
                <w:sz w:val="20"/>
                <w:szCs w:val="20"/>
                <w:lang w:eastAsia="en-AU"/>
              </w:rPr>
              <w:t>Mean Differences:</w:t>
            </w:r>
          </w:p>
          <w:tbl>
            <w:tblPr>
              <w:tblStyle w:val="TableGrid"/>
              <w:tblW w:w="0" w:type="auto"/>
              <w:tblInd w:w="0" w:type="dxa"/>
              <w:tblLook w:val="04A0" w:firstRow="1" w:lastRow="0" w:firstColumn="1" w:lastColumn="0" w:noHBand="0" w:noVBand="1"/>
            </w:tblPr>
            <w:tblGrid>
              <w:gridCol w:w="1465"/>
              <w:gridCol w:w="1465"/>
              <w:gridCol w:w="1465"/>
              <w:gridCol w:w="1466"/>
              <w:gridCol w:w="1466"/>
            </w:tblGrid>
            <w:tr w:rsidR="00B27A0F" w:rsidRPr="00F5228E" w14:paraId="35329B88" w14:textId="77777777" w:rsidTr="003431F1">
              <w:tc>
                <w:tcPr>
                  <w:tcW w:w="1465" w:type="dxa"/>
                  <w:shd w:val="clear" w:color="auto" w:fill="385623" w:themeFill="accent6" w:themeFillShade="80"/>
                  <w:vAlign w:val="center"/>
                </w:tcPr>
                <w:p w14:paraId="5BBC1867" w14:textId="77777777" w:rsidR="00B27A0F" w:rsidRPr="00F5228E" w:rsidRDefault="00B27A0F" w:rsidP="00B27A0F">
                  <w:pPr>
                    <w:jc w:val="center"/>
                    <w:rPr>
                      <w:color w:val="FFFFFF" w:themeColor="background1"/>
                      <w:sz w:val="20"/>
                      <w:szCs w:val="20"/>
                      <w:lang w:eastAsia="en-AU"/>
                    </w:rPr>
                  </w:pPr>
                </w:p>
              </w:tc>
              <w:tc>
                <w:tcPr>
                  <w:tcW w:w="1465" w:type="dxa"/>
                  <w:shd w:val="clear" w:color="auto" w:fill="385623" w:themeFill="accent6" w:themeFillShade="80"/>
                  <w:vAlign w:val="center"/>
                </w:tcPr>
                <w:p w14:paraId="5A011629" w14:textId="7777777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Shallow</w:t>
                  </w:r>
                </w:p>
              </w:tc>
              <w:tc>
                <w:tcPr>
                  <w:tcW w:w="1465" w:type="dxa"/>
                  <w:shd w:val="clear" w:color="auto" w:fill="385623" w:themeFill="accent6" w:themeFillShade="80"/>
                  <w:vAlign w:val="center"/>
                </w:tcPr>
                <w:p w14:paraId="76BC0E90" w14:textId="77777777"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Shallow</w:t>
                  </w:r>
                </w:p>
              </w:tc>
              <w:tc>
                <w:tcPr>
                  <w:tcW w:w="1466" w:type="dxa"/>
                  <w:shd w:val="clear" w:color="auto" w:fill="385623" w:themeFill="accent6" w:themeFillShade="80"/>
                  <w:vAlign w:val="center"/>
                </w:tcPr>
                <w:p w14:paraId="2787AB31" w14:textId="77777777"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Deep</w:t>
                  </w:r>
                </w:p>
              </w:tc>
              <w:tc>
                <w:tcPr>
                  <w:tcW w:w="1466" w:type="dxa"/>
                  <w:shd w:val="clear" w:color="auto" w:fill="385623" w:themeFill="accent6" w:themeFillShade="80"/>
                  <w:vAlign w:val="center"/>
                </w:tcPr>
                <w:p w14:paraId="1ABF3A77" w14:textId="7777777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Deep</w:t>
                  </w:r>
                </w:p>
              </w:tc>
            </w:tr>
            <w:tr w:rsidR="00B27A0F" w:rsidRPr="00F5228E" w14:paraId="6164759E" w14:textId="77777777" w:rsidTr="003431F1">
              <w:tc>
                <w:tcPr>
                  <w:tcW w:w="1465" w:type="dxa"/>
                  <w:shd w:val="clear" w:color="auto" w:fill="385623" w:themeFill="accent6" w:themeFillShade="80"/>
                  <w:vAlign w:val="center"/>
                </w:tcPr>
                <w:p w14:paraId="71858200" w14:textId="7777777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Shallow</w:t>
                  </w:r>
                </w:p>
              </w:tc>
              <w:tc>
                <w:tcPr>
                  <w:tcW w:w="1465" w:type="dxa"/>
                  <w:vAlign w:val="center"/>
                </w:tcPr>
                <w:p w14:paraId="29D932C9" w14:textId="77777777" w:rsidR="00B27A0F" w:rsidRPr="00F5228E" w:rsidRDefault="00B27A0F" w:rsidP="00B27A0F">
                  <w:pPr>
                    <w:jc w:val="center"/>
                    <w:rPr>
                      <w:sz w:val="20"/>
                      <w:szCs w:val="20"/>
                      <w:lang w:eastAsia="en-AU"/>
                    </w:rPr>
                  </w:pPr>
                </w:p>
              </w:tc>
              <w:tc>
                <w:tcPr>
                  <w:tcW w:w="1465" w:type="dxa"/>
                  <w:vAlign w:val="center"/>
                </w:tcPr>
                <w:p w14:paraId="0C7E1B5F" w14:textId="77777777" w:rsidR="00B27A0F" w:rsidRPr="00F5228E" w:rsidRDefault="00B27A0F" w:rsidP="00B27A0F">
                  <w:pPr>
                    <w:jc w:val="center"/>
                    <w:rPr>
                      <w:sz w:val="20"/>
                      <w:szCs w:val="20"/>
                      <w:lang w:eastAsia="en-AU"/>
                    </w:rPr>
                  </w:pPr>
                </w:p>
              </w:tc>
              <w:tc>
                <w:tcPr>
                  <w:tcW w:w="1466" w:type="dxa"/>
                  <w:vAlign w:val="center"/>
                </w:tcPr>
                <w:p w14:paraId="5CECB086" w14:textId="77777777" w:rsidR="00B27A0F" w:rsidRPr="00F5228E" w:rsidRDefault="00B27A0F" w:rsidP="00B27A0F">
                  <w:pPr>
                    <w:jc w:val="center"/>
                    <w:rPr>
                      <w:sz w:val="20"/>
                      <w:szCs w:val="20"/>
                      <w:lang w:eastAsia="en-AU"/>
                    </w:rPr>
                  </w:pPr>
                </w:p>
              </w:tc>
              <w:tc>
                <w:tcPr>
                  <w:tcW w:w="1466" w:type="dxa"/>
                  <w:vAlign w:val="center"/>
                </w:tcPr>
                <w:p w14:paraId="7F3CFA8A" w14:textId="77777777" w:rsidR="00B27A0F" w:rsidRPr="00F5228E" w:rsidRDefault="00B27A0F" w:rsidP="00B27A0F">
                  <w:pPr>
                    <w:jc w:val="center"/>
                    <w:rPr>
                      <w:sz w:val="20"/>
                      <w:szCs w:val="20"/>
                      <w:lang w:eastAsia="en-AU"/>
                    </w:rPr>
                  </w:pPr>
                </w:p>
              </w:tc>
            </w:tr>
            <w:tr w:rsidR="00B27A0F" w:rsidRPr="00F5228E" w14:paraId="4B001A8E" w14:textId="77777777" w:rsidTr="003431F1">
              <w:tc>
                <w:tcPr>
                  <w:tcW w:w="1465" w:type="dxa"/>
                  <w:shd w:val="clear" w:color="auto" w:fill="385623" w:themeFill="accent6" w:themeFillShade="80"/>
                  <w:vAlign w:val="center"/>
                </w:tcPr>
                <w:p w14:paraId="66012768" w14:textId="77777777"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Shallow</w:t>
                  </w:r>
                </w:p>
              </w:tc>
              <w:tc>
                <w:tcPr>
                  <w:tcW w:w="1465" w:type="dxa"/>
                  <w:vAlign w:val="center"/>
                </w:tcPr>
                <w:p w14:paraId="5551A808" w14:textId="3CADB049" w:rsidR="00B27A0F" w:rsidRPr="00F5228E" w:rsidRDefault="00B27A0F" w:rsidP="00B27A0F">
                  <w:pPr>
                    <w:jc w:val="center"/>
                    <w:rPr>
                      <w:sz w:val="20"/>
                      <w:szCs w:val="20"/>
                      <w:lang w:eastAsia="en-AU"/>
                    </w:rPr>
                  </w:pPr>
                  <w:r w:rsidRPr="00F5228E">
                    <w:rPr>
                      <w:sz w:val="20"/>
                      <w:szCs w:val="20"/>
                      <w:lang w:eastAsia="en-AU"/>
                    </w:rPr>
                    <w:t>-1.4688</w:t>
                  </w:r>
                </w:p>
              </w:tc>
              <w:tc>
                <w:tcPr>
                  <w:tcW w:w="1465" w:type="dxa"/>
                  <w:vAlign w:val="center"/>
                </w:tcPr>
                <w:p w14:paraId="38A82049" w14:textId="77777777" w:rsidR="00B27A0F" w:rsidRPr="00F5228E" w:rsidRDefault="00B27A0F" w:rsidP="00B27A0F">
                  <w:pPr>
                    <w:jc w:val="center"/>
                    <w:rPr>
                      <w:sz w:val="20"/>
                      <w:szCs w:val="20"/>
                      <w:lang w:eastAsia="en-AU"/>
                    </w:rPr>
                  </w:pPr>
                </w:p>
              </w:tc>
              <w:tc>
                <w:tcPr>
                  <w:tcW w:w="1466" w:type="dxa"/>
                  <w:vAlign w:val="center"/>
                </w:tcPr>
                <w:p w14:paraId="24EB6125" w14:textId="77777777" w:rsidR="00B27A0F" w:rsidRPr="00F5228E" w:rsidRDefault="00B27A0F" w:rsidP="00B27A0F">
                  <w:pPr>
                    <w:jc w:val="center"/>
                    <w:rPr>
                      <w:sz w:val="20"/>
                      <w:szCs w:val="20"/>
                      <w:lang w:eastAsia="en-AU"/>
                    </w:rPr>
                  </w:pPr>
                </w:p>
              </w:tc>
              <w:tc>
                <w:tcPr>
                  <w:tcW w:w="1466" w:type="dxa"/>
                  <w:vAlign w:val="center"/>
                </w:tcPr>
                <w:p w14:paraId="74FA8CFF" w14:textId="77777777" w:rsidR="00B27A0F" w:rsidRPr="00F5228E" w:rsidRDefault="00B27A0F" w:rsidP="00B27A0F">
                  <w:pPr>
                    <w:jc w:val="center"/>
                    <w:rPr>
                      <w:sz w:val="20"/>
                      <w:szCs w:val="20"/>
                      <w:lang w:eastAsia="en-AU"/>
                    </w:rPr>
                  </w:pPr>
                </w:p>
              </w:tc>
            </w:tr>
            <w:tr w:rsidR="00B27A0F" w:rsidRPr="00F5228E" w14:paraId="41FC64F7" w14:textId="77777777" w:rsidTr="003431F1">
              <w:tc>
                <w:tcPr>
                  <w:tcW w:w="1465" w:type="dxa"/>
                  <w:shd w:val="clear" w:color="auto" w:fill="385623" w:themeFill="accent6" w:themeFillShade="80"/>
                  <w:vAlign w:val="center"/>
                </w:tcPr>
                <w:p w14:paraId="5E07A69B" w14:textId="77777777"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Deep</w:t>
                  </w:r>
                </w:p>
              </w:tc>
              <w:tc>
                <w:tcPr>
                  <w:tcW w:w="1465" w:type="dxa"/>
                  <w:vAlign w:val="center"/>
                </w:tcPr>
                <w:p w14:paraId="668F6D29" w14:textId="718F0216" w:rsidR="00B27A0F" w:rsidRPr="00F5228E" w:rsidRDefault="00B27A0F" w:rsidP="00B27A0F">
                  <w:pPr>
                    <w:jc w:val="center"/>
                    <w:rPr>
                      <w:sz w:val="20"/>
                      <w:szCs w:val="20"/>
                      <w:lang w:eastAsia="en-AU"/>
                    </w:rPr>
                  </w:pPr>
                  <w:r w:rsidRPr="00F5228E">
                    <w:rPr>
                      <w:sz w:val="20"/>
                      <w:szCs w:val="20"/>
                      <w:lang w:eastAsia="en-AU"/>
                    </w:rPr>
                    <w:t>-2.0488</w:t>
                  </w:r>
                </w:p>
              </w:tc>
              <w:tc>
                <w:tcPr>
                  <w:tcW w:w="1465" w:type="dxa"/>
                  <w:vAlign w:val="center"/>
                </w:tcPr>
                <w:p w14:paraId="275BAA78" w14:textId="5392F091" w:rsidR="00B27A0F" w:rsidRPr="00F5228E" w:rsidRDefault="00B27A0F" w:rsidP="00B27A0F">
                  <w:pPr>
                    <w:jc w:val="center"/>
                    <w:rPr>
                      <w:sz w:val="20"/>
                      <w:szCs w:val="20"/>
                      <w:lang w:eastAsia="en-AU"/>
                    </w:rPr>
                  </w:pPr>
                  <w:r w:rsidRPr="00F5228E">
                    <w:rPr>
                      <w:sz w:val="20"/>
                      <w:szCs w:val="20"/>
                      <w:lang w:eastAsia="en-AU"/>
                    </w:rPr>
                    <w:t>-0.58</w:t>
                  </w:r>
                </w:p>
              </w:tc>
              <w:tc>
                <w:tcPr>
                  <w:tcW w:w="1466" w:type="dxa"/>
                  <w:vAlign w:val="center"/>
                </w:tcPr>
                <w:p w14:paraId="02A778A4" w14:textId="77777777" w:rsidR="00B27A0F" w:rsidRPr="00F5228E" w:rsidRDefault="00B27A0F" w:rsidP="00B27A0F">
                  <w:pPr>
                    <w:jc w:val="center"/>
                    <w:rPr>
                      <w:sz w:val="20"/>
                      <w:szCs w:val="20"/>
                      <w:lang w:eastAsia="en-AU"/>
                    </w:rPr>
                  </w:pPr>
                </w:p>
              </w:tc>
              <w:tc>
                <w:tcPr>
                  <w:tcW w:w="1466" w:type="dxa"/>
                  <w:vAlign w:val="center"/>
                </w:tcPr>
                <w:p w14:paraId="6DCBE426" w14:textId="77777777" w:rsidR="00B27A0F" w:rsidRPr="00F5228E" w:rsidRDefault="00B27A0F" w:rsidP="00B27A0F">
                  <w:pPr>
                    <w:jc w:val="center"/>
                    <w:rPr>
                      <w:sz w:val="20"/>
                      <w:szCs w:val="20"/>
                      <w:lang w:eastAsia="en-AU"/>
                    </w:rPr>
                  </w:pPr>
                </w:p>
              </w:tc>
            </w:tr>
            <w:tr w:rsidR="00B27A0F" w:rsidRPr="00F5228E" w14:paraId="15B6F941" w14:textId="77777777" w:rsidTr="003431F1">
              <w:tc>
                <w:tcPr>
                  <w:tcW w:w="1465" w:type="dxa"/>
                  <w:shd w:val="clear" w:color="auto" w:fill="385623" w:themeFill="accent6" w:themeFillShade="80"/>
                  <w:vAlign w:val="center"/>
                </w:tcPr>
                <w:p w14:paraId="0ABA3C83" w14:textId="7777777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Deep</w:t>
                  </w:r>
                </w:p>
              </w:tc>
              <w:tc>
                <w:tcPr>
                  <w:tcW w:w="1465" w:type="dxa"/>
                  <w:vAlign w:val="center"/>
                </w:tcPr>
                <w:p w14:paraId="25B02CD5" w14:textId="3B3864D4" w:rsidR="00B27A0F" w:rsidRPr="00F5228E" w:rsidRDefault="00B27A0F" w:rsidP="00B27A0F">
                  <w:pPr>
                    <w:jc w:val="center"/>
                    <w:rPr>
                      <w:sz w:val="20"/>
                      <w:szCs w:val="20"/>
                      <w:lang w:eastAsia="en-AU"/>
                    </w:rPr>
                  </w:pPr>
                  <w:r w:rsidRPr="00F5228E">
                    <w:rPr>
                      <w:sz w:val="20"/>
                      <w:szCs w:val="20"/>
                      <w:lang w:eastAsia="en-AU"/>
                    </w:rPr>
                    <w:t>-2.2277</w:t>
                  </w:r>
                </w:p>
              </w:tc>
              <w:tc>
                <w:tcPr>
                  <w:tcW w:w="1465" w:type="dxa"/>
                  <w:vAlign w:val="center"/>
                </w:tcPr>
                <w:p w14:paraId="72B4A68A" w14:textId="36FC8767" w:rsidR="00B27A0F" w:rsidRPr="00F5228E" w:rsidRDefault="00B27A0F" w:rsidP="00B27A0F">
                  <w:pPr>
                    <w:jc w:val="center"/>
                    <w:rPr>
                      <w:sz w:val="20"/>
                      <w:szCs w:val="20"/>
                      <w:lang w:eastAsia="en-AU"/>
                    </w:rPr>
                  </w:pPr>
                  <w:r w:rsidRPr="00F5228E">
                    <w:rPr>
                      <w:sz w:val="20"/>
                      <w:szCs w:val="20"/>
                      <w:lang w:eastAsia="en-AU"/>
                    </w:rPr>
                    <w:t>-0.759</w:t>
                  </w:r>
                </w:p>
              </w:tc>
              <w:tc>
                <w:tcPr>
                  <w:tcW w:w="1466" w:type="dxa"/>
                  <w:vAlign w:val="center"/>
                </w:tcPr>
                <w:p w14:paraId="1766010F" w14:textId="728EF198" w:rsidR="00B27A0F" w:rsidRPr="00F5228E" w:rsidRDefault="00B27A0F" w:rsidP="00B27A0F">
                  <w:pPr>
                    <w:jc w:val="center"/>
                    <w:rPr>
                      <w:sz w:val="20"/>
                      <w:szCs w:val="20"/>
                      <w:lang w:eastAsia="en-AU"/>
                    </w:rPr>
                  </w:pPr>
                  <w:r w:rsidRPr="00F5228E">
                    <w:rPr>
                      <w:sz w:val="20"/>
                      <w:szCs w:val="20"/>
                      <w:lang w:eastAsia="en-AU"/>
                    </w:rPr>
                    <w:t>-0.179</w:t>
                  </w:r>
                </w:p>
              </w:tc>
              <w:tc>
                <w:tcPr>
                  <w:tcW w:w="1466" w:type="dxa"/>
                  <w:vAlign w:val="center"/>
                </w:tcPr>
                <w:p w14:paraId="3F4358EB" w14:textId="77777777" w:rsidR="00B27A0F" w:rsidRPr="00F5228E" w:rsidRDefault="00B27A0F" w:rsidP="00B27A0F">
                  <w:pPr>
                    <w:jc w:val="center"/>
                    <w:rPr>
                      <w:sz w:val="20"/>
                      <w:szCs w:val="20"/>
                      <w:lang w:eastAsia="en-AU"/>
                    </w:rPr>
                  </w:pPr>
                </w:p>
              </w:tc>
            </w:tr>
          </w:tbl>
          <w:p w14:paraId="11732C5A" w14:textId="0A793F95"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18"/>
                <w:szCs w:val="18"/>
                <w:lang w:eastAsia="en-AU"/>
              </w:rPr>
            </w:pPr>
          </w:p>
          <w:p w14:paraId="21F96B3D" w14:textId="00722848" w:rsidR="00B27A0F" w:rsidRPr="00F5228E" w:rsidRDefault="00B27A0F" w:rsidP="00B27A0F">
            <w:pPr>
              <w:rPr>
                <w:sz w:val="20"/>
                <w:szCs w:val="20"/>
                <w:lang w:eastAsia="en-AU"/>
              </w:rPr>
            </w:pPr>
            <w:r w:rsidRPr="00F5228E">
              <w:rPr>
                <w:sz w:val="20"/>
                <w:szCs w:val="20"/>
                <w:lang w:eastAsia="en-AU"/>
              </w:rPr>
              <w:t>P-values:</w:t>
            </w:r>
          </w:p>
          <w:tbl>
            <w:tblPr>
              <w:tblStyle w:val="TableGrid"/>
              <w:tblW w:w="0" w:type="auto"/>
              <w:tblInd w:w="0" w:type="dxa"/>
              <w:tblLook w:val="04A0" w:firstRow="1" w:lastRow="0" w:firstColumn="1" w:lastColumn="0" w:noHBand="0" w:noVBand="1"/>
            </w:tblPr>
            <w:tblGrid>
              <w:gridCol w:w="1465"/>
              <w:gridCol w:w="1465"/>
              <w:gridCol w:w="1465"/>
              <w:gridCol w:w="1466"/>
              <w:gridCol w:w="1466"/>
            </w:tblGrid>
            <w:tr w:rsidR="00B27A0F" w:rsidRPr="00F5228E" w14:paraId="45CC1A1B" w14:textId="77777777" w:rsidTr="00B27A0F">
              <w:tc>
                <w:tcPr>
                  <w:tcW w:w="1465" w:type="dxa"/>
                  <w:shd w:val="clear" w:color="auto" w:fill="385623" w:themeFill="accent6" w:themeFillShade="80"/>
                  <w:vAlign w:val="center"/>
                </w:tcPr>
                <w:p w14:paraId="63FF4F41" w14:textId="77777777" w:rsidR="00B27A0F" w:rsidRPr="00F5228E" w:rsidRDefault="00B27A0F" w:rsidP="00B27A0F">
                  <w:pPr>
                    <w:jc w:val="center"/>
                    <w:rPr>
                      <w:color w:val="FFFFFF" w:themeColor="background1"/>
                      <w:sz w:val="20"/>
                      <w:szCs w:val="20"/>
                      <w:lang w:eastAsia="en-AU"/>
                    </w:rPr>
                  </w:pPr>
                </w:p>
              </w:tc>
              <w:tc>
                <w:tcPr>
                  <w:tcW w:w="1465" w:type="dxa"/>
                  <w:shd w:val="clear" w:color="auto" w:fill="385623" w:themeFill="accent6" w:themeFillShade="80"/>
                  <w:vAlign w:val="center"/>
                </w:tcPr>
                <w:p w14:paraId="54906F8A" w14:textId="26B665A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Shallow</w:t>
                  </w:r>
                </w:p>
              </w:tc>
              <w:tc>
                <w:tcPr>
                  <w:tcW w:w="1465" w:type="dxa"/>
                  <w:shd w:val="clear" w:color="auto" w:fill="385623" w:themeFill="accent6" w:themeFillShade="80"/>
                  <w:vAlign w:val="center"/>
                </w:tcPr>
                <w:p w14:paraId="4413F5CC" w14:textId="75C11F34"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Shallow</w:t>
                  </w:r>
                </w:p>
              </w:tc>
              <w:tc>
                <w:tcPr>
                  <w:tcW w:w="1466" w:type="dxa"/>
                  <w:shd w:val="clear" w:color="auto" w:fill="385623" w:themeFill="accent6" w:themeFillShade="80"/>
                  <w:vAlign w:val="center"/>
                </w:tcPr>
                <w:p w14:paraId="4CC965D4" w14:textId="21EEC4DA"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Deep</w:t>
                  </w:r>
                </w:p>
              </w:tc>
              <w:tc>
                <w:tcPr>
                  <w:tcW w:w="1466" w:type="dxa"/>
                  <w:shd w:val="clear" w:color="auto" w:fill="385623" w:themeFill="accent6" w:themeFillShade="80"/>
                  <w:vAlign w:val="center"/>
                </w:tcPr>
                <w:p w14:paraId="6554643C" w14:textId="7C05C467"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Deep</w:t>
                  </w:r>
                </w:p>
              </w:tc>
            </w:tr>
            <w:tr w:rsidR="00B27A0F" w:rsidRPr="00F5228E" w14:paraId="2DA73B19" w14:textId="77777777" w:rsidTr="00B27A0F">
              <w:tc>
                <w:tcPr>
                  <w:tcW w:w="1465" w:type="dxa"/>
                  <w:shd w:val="clear" w:color="auto" w:fill="385623" w:themeFill="accent6" w:themeFillShade="80"/>
                  <w:vAlign w:val="center"/>
                </w:tcPr>
                <w:p w14:paraId="421251BA" w14:textId="1F53E8BA"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Shallow</w:t>
                  </w:r>
                </w:p>
              </w:tc>
              <w:tc>
                <w:tcPr>
                  <w:tcW w:w="1465" w:type="dxa"/>
                  <w:vAlign w:val="center"/>
                </w:tcPr>
                <w:p w14:paraId="53D63731" w14:textId="592DCB48" w:rsidR="00B27A0F" w:rsidRPr="00F5228E" w:rsidRDefault="00B27A0F" w:rsidP="00B27A0F">
                  <w:pPr>
                    <w:jc w:val="center"/>
                    <w:rPr>
                      <w:sz w:val="20"/>
                      <w:szCs w:val="20"/>
                      <w:lang w:eastAsia="en-AU"/>
                    </w:rPr>
                  </w:pPr>
                </w:p>
              </w:tc>
              <w:tc>
                <w:tcPr>
                  <w:tcW w:w="1465" w:type="dxa"/>
                  <w:vAlign w:val="center"/>
                </w:tcPr>
                <w:p w14:paraId="5C103ED9" w14:textId="77777777" w:rsidR="00B27A0F" w:rsidRPr="00F5228E" w:rsidRDefault="00B27A0F" w:rsidP="00B27A0F">
                  <w:pPr>
                    <w:jc w:val="center"/>
                    <w:rPr>
                      <w:sz w:val="20"/>
                      <w:szCs w:val="20"/>
                      <w:lang w:eastAsia="en-AU"/>
                    </w:rPr>
                  </w:pPr>
                </w:p>
              </w:tc>
              <w:tc>
                <w:tcPr>
                  <w:tcW w:w="1466" w:type="dxa"/>
                  <w:vAlign w:val="center"/>
                </w:tcPr>
                <w:p w14:paraId="7647E1D2" w14:textId="77777777" w:rsidR="00B27A0F" w:rsidRPr="00F5228E" w:rsidRDefault="00B27A0F" w:rsidP="00B27A0F">
                  <w:pPr>
                    <w:jc w:val="center"/>
                    <w:rPr>
                      <w:sz w:val="20"/>
                      <w:szCs w:val="20"/>
                      <w:lang w:eastAsia="en-AU"/>
                    </w:rPr>
                  </w:pPr>
                </w:p>
              </w:tc>
              <w:tc>
                <w:tcPr>
                  <w:tcW w:w="1466" w:type="dxa"/>
                  <w:vAlign w:val="center"/>
                </w:tcPr>
                <w:p w14:paraId="3EAF3112" w14:textId="77777777" w:rsidR="00B27A0F" w:rsidRPr="00F5228E" w:rsidRDefault="00B27A0F" w:rsidP="00B27A0F">
                  <w:pPr>
                    <w:jc w:val="center"/>
                    <w:rPr>
                      <w:sz w:val="20"/>
                      <w:szCs w:val="20"/>
                      <w:lang w:eastAsia="en-AU"/>
                    </w:rPr>
                  </w:pPr>
                </w:p>
              </w:tc>
            </w:tr>
            <w:tr w:rsidR="00B27A0F" w:rsidRPr="00F5228E" w14:paraId="1E45DB0C" w14:textId="77777777" w:rsidTr="00B27A0F">
              <w:tc>
                <w:tcPr>
                  <w:tcW w:w="1465" w:type="dxa"/>
                  <w:shd w:val="clear" w:color="auto" w:fill="385623" w:themeFill="accent6" w:themeFillShade="80"/>
                  <w:vAlign w:val="center"/>
                </w:tcPr>
                <w:p w14:paraId="039309CC" w14:textId="4787D32D"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Shallow</w:t>
                  </w:r>
                </w:p>
              </w:tc>
              <w:tc>
                <w:tcPr>
                  <w:tcW w:w="1465" w:type="dxa"/>
                  <w:vAlign w:val="center"/>
                </w:tcPr>
                <w:p w14:paraId="3AEB972C" w14:textId="16AA587A" w:rsidR="00B27A0F" w:rsidRPr="00F5228E" w:rsidRDefault="00B27A0F" w:rsidP="00B27A0F">
                  <w:pPr>
                    <w:jc w:val="center"/>
                    <w:rPr>
                      <w:sz w:val="20"/>
                      <w:szCs w:val="20"/>
                      <w:lang w:eastAsia="en-AU"/>
                    </w:rPr>
                  </w:pPr>
                  <w:r w:rsidRPr="00F5228E">
                    <w:rPr>
                      <w:sz w:val="20"/>
                      <w:szCs w:val="20"/>
                      <w:lang w:eastAsia="en-AU"/>
                    </w:rPr>
                    <w:t>0.001</w:t>
                  </w:r>
                </w:p>
              </w:tc>
              <w:tc>
                <w:tcPr>
                  <w:tcW w:w="1465" w:type="dxa"/>
                  <w:vAlign w:val="center"/>
                </w:tcPr>
                <w:p w14:paraId="7B13586F" w14:textId="01CAB927" w:rsidR="00B27A0F" w:rsidRPr="00F5228E" w:rsidRDefault="00B27A0F" w:rsidP="00B27A0F">
                  <w:pPr>
                    <w:jc w:val="center"/>
                    <w:rPr>
                      <w:sz w:val="20"/>
                      <w:szCs w:val="20"/>
                      <w:lang w:eastAsia="en-AU"/>
                    </w:rPr>
                  </w:pPr>
                </w:p>
              </w:tc>
              <w:tc>
                <w:tcPr>
                  <w:tcW w:w="1466" w:type="dxa"/>
                  <w:vAlign w:val="center"/>
                </w:tcPr>
                <w:p w14:paraId="30349848" w14:textId="77777777" w:rsidR="00B27A0F" w:rsidRPr="00F5228E" w:rsidRDefault="00B27A0F" w:rsidP="00B27A0F">
                  <w:pPr>
                    <w:jc w:val="center"/>
                    <w:rPr>
                      <w:sz w:val="20"/>
                      <w:szCs w:val="20"/>
                      <w:lang w:eastAsia="en-AU"/>
                    </w:rPr>
                  </w:pPr>
                </w:p>
              </w:tc>
              <w:tc>
                <w:tcPr>
                  <w:tcW w:w="1466" w:type="dxa"/>
                  <w:vAlign w:val="center"/>
                </w:tcPr>
                <w:p w14:paraId="6CC2C2AB" w14:textId="77777777" w:rsidR="00B27A0F" w:rsidRPr="00F5228E" w:rsidRDefault="00B27A0F" w:rsidP="00B27A0F">
                  <w:pPr>
                    <w:jc w:val="center"/>
                    <w:rPr>
                      <w:sz w:val="20"/>
                      <w:szCs w:val="20"/>
                      <w:lang w:eastAsia="en-AU"/>
                    </w:rPr>
                  </w:pPr>
                </w:p>
              </w:tc>
            </w:tr>
            <w:tr w:rsidR="00B27A0F" w:rsidRPr="00F5228E" w14:paraId="74FCBEF7" w14:textId="77777777" w:rsidTr="00B27A0F">
              <w:tc>
                <w:tcPr>
                  <w:tcW w:w="1465" w:type="dxa"/>
                  <w:shd w:val="clear" w:color="auto" w:fill="385623" w:themeFill="accent6" w:themeFillShade="80"/>
                  <w:vAlign w:val="center"/>
                </w:tcPr>
                <w:p w14:paraId="78F12828" w14:textId="69DD7512" w:rsidR="00B27A0F" w:rsidRPr="00F5228E" w:rsidRDefault="00B27A0F" w:rsidP="00B27A0F">
                  <w:pPr>
                    <w:jc w:val="center"/>
                    <w:rPr>
                      <w:color w:val="FFFFFF" w:themeColor="background1"/>
                      <w:sz w:val="20"/>
                      <w:szCs w:val="20"/>
                      <w:lang w:eastAsia="en-AU"/>
                    </w:rPr>
                  </w:pPr>
                  <w:proofErr w:type="spellStart"/>
                  <w:r w:rsidRPr="00F5228E">
                    <w:rPr>
                      <w:color w:val="FFFFFF" w:themeColor="background1"/>
                      <w:sz w:val="20"/>
                      <w:szCs w:val="20"/>
                      <w:lang w:eastAsia="en-AU"/>
                    </w:rPr>
                    <w:t>Kinda</w:t>
                  </w:r>
                  <w:proofErr w:type="spellEnd"/>
                  <w:r w:rsidRPr="00F5228E">
                    <w:rPr>
                      <w:color w:val="FFFFFF" w:themeColor="background1"/>
                      <w:sz w:val="20"/>
                      <w:szCs w:val="20"/>
                      <w:lang w:eastAsia="en-AU"/>
                    </w:rPr>
                    <w:t xml:space="preserve"> Deep</w:t>
                  </w:r>
                </w:p>
              </w:tc>
              <w:tc>
                <w:tcPr>
                  <w:tcW w:w="1465" w:type="dxa"/>
                  <w:vAlign w:val="center"/>
                </w:tcPr>
                <w:p w14:paraId="569E8DB3" w14:textId="08304672" w:rsidR="00B27A0F" w:rsidRPr="00F5228E" w:rsidRDefault="00B27A0F" w:rsidP="00B27A0F">
                  <w:pPr>
                    <w:jc w:val="center"/>
                    <w:rPr>
                      <w:sz w:val="20"/>
                      <w:szCs w:val="20"/>
                      <w:lang w:eastAsia="en-AU"/>
                    </w:rPr>
                  </w:pPr>
                  <w:r w:rsidRPr="00F5228E">
                    <w:rPr>
                      <w:sz w:val="20"/>
                      <w:szCs w:val="20"/>
                      <w:lang w:eastAsia="en-AU"/>
                    </w:rPr>
                    <w:t>0.001</w:t>
                  </w:r>
                </w:p>
              </w:tc>
              <w:tc>
                <w:tcPr>
                  <w:tcW w:w="1465" w:type="dxa"/>
                  <w:vAlign w:val="center"/>
                </w:tcPr>
                <w:p w14:paraId="1BAEFFF2" w14:textId="75E232FB" w:rsidR="00B27A0F" w:rsidRPr="00F5228E" w:rsidRDefault="00B27A0F" w:rsidP="00B27A0F">
                  <w:pPr>
                    <w:jc w:val="center"/>
                    <w:rPr>
                      <w:sz w:val="20"/>
                      <w:szCs w:val="20"/>
                      <w:lang w:eastAsia="en-AU"/>
                    </w:rPr>
                  </w:pPr>
                  <w:r w:rsidRPr="00F5228E">
                    <w:rPr>
                      <w:sz w:val="20"/>
                      <w:szCs w:val="20"/>
                      <w:lang w:eastAsia="en-AU"/>
                    </w:rPr>
                    <w:t>0.001</w:t>
                  </w:r>
                </w:p>
              </w:tc>
              <w:tc>
                <w:tcPr>
                  <w:tcW w:w="1466" w:type="dxa"/>
                  <w:vAlign w:val="center"/>
                </w:tcPr>
                <w:p w14:paraId="239D9A51" w14:textId="77777777" w:rsidR="00B27A0F" w:rsidRPr="00F5228E" w:rsidRDefault="00B27A0F" w:rsidP="00B27A0F">
                  <w:pPr>
                    <w:jc w:val="center"/>
                    <w:rPr>
                      <w:sz w:val="20"/>
                      <w:szCs w:val="20"/>
                      <w:lang w:eastAsia="en-AU"/>
                    </w:rPr>
                  </w:pPr>
                </w:p>
              </w:tc>
              <w:tc>
                <w:tcPr>
                  <w:tcW w:w="1466" w:type="dxa"/>
                  <w:vAlign w:val="center"/>
                </w:tcPr>
                <w:p w14:paraId="7035E020" w14:textId="77777777" w:rsidR="00B27A0F" w:rsidRPr="00F5228E" w:rsidRDefault="00B27A0F" w:rsidP="00B27A0F">
                  <w:pPr>
                    <w:jc w:val="center"/>
                    <w:rPr>
                      <w:sz w:val="20"/>
                      <w:szCs w:val="20"/>
                      <w:lang w:eastAsia="en-AU"/>
                    </w:rPr>
                  </w:pPr>
                </w:p>
              </w:tc>
            </w:tr>
            <w:tr w:rsidR="00B27A0F" w:rsidRPr="00F5228E" w14:paraId="5F291E06" w14:textId="77777777" w:rsidTr="00B27A0F">
              <w:tc>
                <w:tcPr>
                  <w:tcW w:w="1465" w:type="dxa"/>
                  <w:shd w:val="clear" w:color="auto" w:fill="385623" w:themeFill="accent6" w:themeFillShade="80"/>
                  <w:vAlign w:val="center"/>
                </w:tcPr>
                <w:p w14:paraId="1F3710AE" w14:textId="44E4DB93" w:rsidR="00B27A0F" w:rsidRPr="00F5228E" w:rsidRDefault="00B27A0F" w:rsidP="00B27A0F">
                  <w:pPr>
                    <w:jc w:val="center"/>
                    <w:rPr>
                      <w:color w:val="FFFFFF" w:themeColor="background1"/>
                      <w:sz w:val="20"/>
                      <w:szCs w:val="20"/>
                      <w:lang w:eastAsia="en-AU"/>
                    </w:rPr>
                  </w:pPr>
                  <w:r w:rsidRPr="00F5228E">
                    <w:rPr>
                      <w:color w:val="FFFFFF" w:themeColor="background1"/>
                      <w:sz w:val="20"/>
                      <w:szCs w:val="20"/>
                      <w:lang w:eastAsia="en-AU"/>
                    </w:rPr>
                    <w:t>Deep</w:t>
                  </w:r>
                </w:p>
              </w:tc>
              <w:tc>
                <w:tcPr>
                  <w:tcW w:w="1465" w:type="dxa"/>
                  <w:vAlign w:val="center"/>
                </w:tcPr>
                <w:p w14:paraId="1E879BEF" w14:textId="05009FB8" w:rsidR="00B27A0F" w:rsidRPr="00F5228E" w:rsidRDefault="00B27A0F" w:rsidP="00B27A0F">
                  <w:pPr>
                    <w:jc w:val="center"/>
                    <w:rPr>
                      <w:sz w:val="20"/>
                      <w:szCs w:val="20"/>
                      <w:lang w:eastAsia="en-AU"/>
                    </w:rPr>
                  </w:pPr>
                  <w:r w:rsidRPr="00F5228E">
                    <w:rPr>
                      <w:sz w:val="20"/>
                      <w:szCs w:val="20"/>
                      <w:lang w:eastAsia="en-AU"/>
                    </w:rPr>
                    <w:t>0.001</w:t>
                  </w:r>
                </w:p>
              </w:tc>
              <w:tc>
                <w:tcPr>
                  <w:tcW w:w="1465" w:type="dxa"/>
                  <w:vAlign w:val="center"/>
                </w:tcPr>
                <w:p w14:paraId="5375E68E" w14:textId="46283942" w:rsidR="00B27A0F" w:rsidRPr="00F5228E" w:rsidRDefault="00B27A0F" w:rsidP="00B27A0F">
                  <w:pPr>
                    <w:jc w:val="center"/>
                    <w:rPr>
                      <w:sz w:val="20"/>
                      <w:szCs w:val="20"/>
                      <w:lang w:eastAsia="en-AU"/>
                    </w:rPr>
                  </w:pPr>
                  <w:r w:rsidRPr="00F5228E">
                    <w:rPr>
                      <w:sz w:val="20"/>
                      <w:szCs w:val="20"/>
                      <w:lang w:eastAsia="en-AU"/>
                    </w:rPr>
                    <w:t>0.001</w:t>
                  </w:r>
                </w:p>
              </w:tc>
              <w:tc>
                <w:tcPr>
                  <w:tcW w:w="1466" w:type="dxa"/>
                  <w:vAlign w:val="center"/>
                </w:tcPr>
                <w:p w14:paraId="6D1AC168" w14:textId="328C3A22" w:rsidR="00B27A0F" w:rsidRPr="00F5228E" w:rsidRDefault="00B27A0F" w:rsidP="00B27A0F">
                  <w:pPr>
                    <w:jc w:val="center"/>
                    <w:rPr>
                      <w:sz w:val="20"/>
                      <w:szCs w:val="20"/>
                      <w:lang w:eastAsia="en-AU"/>
                    </w:rPr>
                  </w:pPr>
                  <w:r w:rsidRPr="00F5228E">
                    <w:rPr>
                      <w:sz w:val="20"/>
                      <w:szCs w:val="20"/>
                      <w:lang w:eastAsia="en-AU"/>
                    </w:rPr>
                    <w:t>0.001</w:t>
                  </w:r>
                </w:p>
              </w:tc>
              <w:tc>
                <w:tcPr>
                  <w:tcW w:w="1466" w:type="dxa"/>
                  <w:vAlign w:val="center"/>
                </w:tcPr>
                <w:p w14:paraId="367A9B3B" w14:textId="77777777" w:rsidR="00B27A0F" w:rsidRPr="00F5228E" w:rsidRDefault="00B27A0F" w:rsidP="00B27A0F">
                  <w:pPr>
                    <w:jc w:val="center"/>
                    <w:rPr>
                      <w:sz w:val="20"/>
                      <w:szCs w:val="20"/>
                      <w:lang w:eastAsia="en-AU"/>
                    </w:rPr>
                  </w:pPr>
                </w:p>
              </w:tc>
            </w:tr>
          </w:tbl>
          <w:p w14:paraId="7D98D80D" w14:textId="77777777"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18"/>
                <w:szCs w:val="18"/>
                <w:lang w:eastAsia="en-AU"/>
              </w:rPr>
            </w:pPr>
          </w:p>
          <w:p w14:paraId="2CA04ECC" w14:textId="1CFBAB8C" w:rsidR="00B27A0F" w:rsidRPr="00F5228E" w:rsidRDefault="00B27A0F" w:rsidP="00B27A0F">
            <w:pPr>
              <w:rPr>
                <w:sz w:val="20"/>
                <w:szCs w:val="20"/>
                <w:lang w:eastAsia="en-AU"/>
              </w:rPr>
            </w:pPr>
            <w:r w:rsidRPr="00F5228E">
              <w:rPr>
                <w:sz w:val="20"/>
                <w:szCs w:val="20"/>
                <w:lang w:eastAsia="en-AU"/>
              </w:rPr>
              <w:t>Conclusion from post hoc test: True for difference between all depth categories, so we can say that there is a significant difference in phosphate concentration between all depth categories.</w:t>
            </w:r>
          </w:p>
          <w:p w14:paraId="281641DA" w14:textId="36801046" w:rsidR="00B27A0F" w:rsidRPr="00F5228E" w:rsidRDefault="00B27A0F" w:rsidP="00B27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18"/>
                <w:szCs w:val="18"/>
                <w:lang w:eastAsia="en-AU"/>
              </w:rPr>
            </w:pPr>
          </w:p>
        </w:tc>
      </w:tr>
    </w:tbl>
    <w:p w14:paraId="6BF94127" w14:textId="5E62BFF3" w:rsidR="00A134B3" w:rsidRPr="00F5228E" w:rsidRDefault="00A134B3">
      <w:pPr>
        <w:rPr>
          <w:sz w:val="20"/>
          <w:szCs w:val="20"/>
          <w:lang w:val="en-US"/>
        </w:rPr>
      </w:pPr>
    </w:p>
    <w:sectPr w:rsidR="00A134B3" w:rsidRPr="00F5228E" w:rsidSect="00D554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D5F60"/>
    <w:multiLevelType w:val="hybridMultilevel"/>
    <w:tmpl w:val="4CB2A8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FC"/>
    <w:rsid w:val="000A1E83"/>
    <w:rsid w:val="001E25BE"/>
    <w:rsid w:val="004405FC"/>
    <w:rsid w:val="005D21C8"/>
    <w:rsid w:val="00696DC8"/>
    <w:rsid w:val="008954E1"/>
    <w:rsid w:val="008D5C5B"/>
    <w:rsid w:val="00A134B3"/>
    <w:rsid w:val="00A4315B"/>
    <w:rsid w:val="00B27A0F"/>
    <w:rsid w:val="00B72069"/>
    <w:rsid w:val="00BF36B4"/>
    <w:rsid w:val="00BF5D76"/>
    <w:rsid w:val="00C751FA"/>
    <w:rsid w:val="00CA08B9"/>
    <w:rsid w:val="00CB6F1A"/>
    <w:rsid w:val="00D55477"/>
    <w:rsid w:val="00DA21E5"/>
    <w:rsid w:val="00DD6BCE"/>
    <w:rsid w:val="00F33DA0"/>
    <w:rsid w:val="00F5228E"/>
    <w:rsid w:val="00F60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5CB5"/>
  <w15:chartTrackingRefBased/>
  <w15:docId w15:val="{49276B84-4730-4E7E-ACA5-D231E2DB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28E"/>
    <w:pPr>
      <w:spacing w:line="256" w:lineRule="auto"/>
    </w:pPr>
  </w:style>
  <w:style w:type="paragraph" w:styleId="Heading1">
    <w:name w:val="heading 1"/>
    <w:basedOn w:val="Normal"/>
    <w:next w:val="Normal"/>
    <w:link w:val="Heading1Char"/>
    <w:uiPriority w:val="9"/>
    <w:qFormat/>
    <w:rsid w:val="00D55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54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8B9"/>
    <w:pPr>
      <w:ind w:left="720"/>
      <w:contextualSpacing/>
    </w:pPr>
  </w:style>
  <w:style w:type="paragraph" w:styleId="HTMLPreformatted">
    <w:name w:val="HTML Preformatted"/>
    <w:basedOn w:val="Normal"/>
    <w:link w:val="HTMLPreformattedChar"/>
    <w:uiPriority w:val="99"/>
    <w:semiHidden/>
    <w:unhideWhenUsed/>
    <w:rsid w:val="00B2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27A0F"/>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24936">
      <w:bodyDiv w:val="1"/>
      <w:marLeft w:val="0"/>
      <w:marRight w:val="0"/>
      <w:marTop w:val="0"/>
      <w:marBottom w:val="0"/>
      <w:divBdr>
        <w:top w:val="none" w:sz="0" w:space="0" w:color="auto"/>
        <w:left w:val="none" w:sz="0" w:space="0" w:color="auto"/>
        <w:bottom w:val="none" w:sz="0" w:space="0" w:color="auto"/>
        <w:right w:val="none" w:sz="0" w:space="0" w:color="auto"/>
      </w:divBdr>
    </w:div>
    <w:div w:id="1088774332">
      <w:bodyDiv w:val="1"/>
      <w:marLeft w:val="0"/>
      <w:marRight w:val="0"/>
      <w:marTop w:val="0"/>
      <w:marBottom w:val="0"/>
      <w:divBdr>
        <w:top w:val="none" w:sz="0" w:space="0" w:color="auto"/>
        <w:left w:val="none" w:sz="0" w:space="0" w:color="auto"/>
        <w:bottom w:val="none" w:sz="0" w:space="0" w:color="auto"/>
        <w:right w:val="none" w:sz="0" w:space="0" w:color="auto"/>
      </w:divBdr>
    </w:div>
    <w:div w:id="1518081684">
      <w:bodyDiv w:val="1"/>
      <w:marLeft w:val="0"/>
      <w:marRight w:val="0"/>
      <w:marTop w:val="0"/>
      <w:marBottom w:val="0"/>
      <w:divBdr>
        <w:top w:val="none" w:sz="0" w:space="0" w:color="auto"/>
        <w:left w:val="none" w:sz="0" w:space="0" w:color="auto"/>
        <w:bottom w:val="none" w:sz="0" w:space="0" w:color="auto"/>
        <w:right w:val="none" w:sz="0" w:space="0" w:color="auto"/>
      </w:divBdr>
    </w:div>
    <w:div w:id="1571185060">
      <w:bodyDiv w:val="1"/>
      <w:marLeft w:val="0"/>
      <w:marRight w:val="0"/>
      <w:marTop w:val="0"/>
      <w:marBottom w:val="0"/>
      <w:divBdr>
        <w:top w:val="none" w:sz="0" w:space="0" w:color="auto"/>
        <w:left w:val="none" w:sz="0" w:space="0" w:color="auto"/>
        <w:bottom w:val="none" w:sz="0" w:space="0" w:color="auto"/>
        <w:right w:val="none" w:sz="0" w:space="0" w:color="auto"/>
      </w:divBdr>
    </w:div>
    <w:div w:id="1621037454">
      <w:bodyDiv w:val="1"/>
      <w:marLeft w:val="0"/>
      <w:marRight w:val="0"/>
      <w:marTop w:val="0"/>
      <w:marBottom w:val="0"/>
      <w:divBdr>
        <w:top w:val="none" w:sz="0" w:space="0" w:color="auto"/>
        <w:left w:val="none" w:sz="0" w:space="0" w:color="auto"/>
        <w:bottom w:val="none" w:sz="0" w:space="0" w:color="auto"/>
        <w:right w:val="none" w:sz="0" w:space="0" w:color="auto"/>
      </w:divBdr>
    </w:div>
    <w:div w:id="19728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Caleb Webster</cp:lastModifiedBy>
  <cp:revision>12</cp:revision>
  <dcterms:created xsi:type="dcterms:W3CDTF">2021-05-04T10:42:00Z</dcterms:created>
  <dcterms:modified xsi:type="dcterms:W3CDTF">2021-06-01T05:37:00Z</dcterms:modified>
</cp:coreProperties>
</file>