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93567" w14:textId="77777777" w:rsidR="00DE7824" w:rsidRDefault="00DE7824" w:rsidP="0013494E">
      <w:pPr>
        <w:pStyle w:val="Heading1"/>
      </w:pPr>
      <w:r>
        <w:t>CP2403 - Project – Part 2 – Time Series Analysis</w:t>
      </w:r>
    </w:p>
    <w:p w14:paraId="32C29C8A" w14:textId="24429367" w:rsidR="00DE7824" w:rsidRPr="0013494E" w:rsidRDefault="00DE7824" w:rsidP="0013494E">
      <w:r w:rsidRPr="0013494E">
        <w:t>First Name:</w:t>
      </w:r>
      <w:r w:rsidR="003B4C88">
        <w:t xml:space="preserve"> Caleb</w:t>
      </w:r>
    </w:p>
    <w:p w14:paraId="6EFC3817" w14:textId="2AADBBE1" w:rsidR="00DE7824" w:rsidRPr="0013494E" w:rsidRDefault="00DE7824" w:rsidP="0013494E">
      <w:r w:rsidRPr="0013494E">
        <w:t>Last Name:</w:t>
      </w:r>
      <w:r w:rsidR="003B4C88">
        <w:t xml:space="preserve"> Webster</w:t>
      </w:r>
    </w:p>
    <w:tbl>
      <w:tblPr>
        <w:tblStyle w:val="TableGrid"/>
        <w:tblW w:w="0" w:type="auto"/>
        <w:tblInd w:w="0" w:type="dxa"/>
        <w:tblLook w:val="04A0" w:firstRow="1" w:lastRow="0" w:firstColumn="1" w:lastColumn="0" w:noHBand="0" w:noVBand="1"/>
      </w:tblPr>
      <w:tblGrid>
        <w:gridCol w:w="9016"/>
      </w:tblGrid>
      <w:tr w:rsidR="00DE7824" w:rsidRPr="0013494E" w14:paraId="011FF071"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5D00C204" w14:textId="77777777" w:rsidR="00DE7824" w:rsidRPr="0013494E" w:rsidRDefault="00DE7824" w:rsidP="0013494E">
            <w:pPr>
              <w:rPr>
                <w:b/>
                <w:bCs/>
              </w:rPr>
            </w:pPr>
            <w:r w:rsidRPr="0013494E">
              <w:rPr>
                <w:b/>
                <w:bCs/>
              </w:rPr>
              <w:t>1: Time Series Plot</w:t>
            </w:r>
          </w:p>
        </w:tc>
      </w:tr>
      <w:tr w:rsidR="00DE7824" w:rsidRPr="0013494E" w14:paraId="52D957A3" w14:textId="77777777" w:rsidTr="00DE7824">
        <w:tc>
          <w:tcPr>
            <w:tcW w:w="9016" w:type="dxa"/>
            <w:tcBorders>
              <w:top w:val="single" w:sz="4" w:space="0" w:color="auto"/>
              <w:left w:val="single" w:sz="4" w:space="0" w:color="auto"/>
              <w:bottom w:val="single" w:sz="4" w:space="0" w:color="auto"/>
              <w:right w:val="single" w:sz="4" w:space="0" w:color="auto"/>
            </w:tcBorders>
          </w:tcPr>
          <w:p w14:paraId="4157E27D" w14:textId="660D764F" w:rsidR="00DE7824" w:rsidRDefault="00DE7824" w:rsidP="0013494E"/>
          <w:p w14:paraId="070972B7" w14:textId="516756FC" w:rsidR="003B4C88" w:rsidRPr="0013494E" w:rsidRDefault="003B4C88" w:rsidP="0013494E">
            <w:r>
              <w:t xml:space="preserve">Figure 1: Line plot of </w:t>
            </w:r>
            <w:r w:rsidR="00401B7D">
              <w:t xml:space="preserve">raw </w:t>
            </w:r>
            <w:r>
              <w:t>time series</w:t>
            </w:r>
            <w:r w:rsidR="00401B7D">
              <w:t xml:space="preserve"> data</w:t>
            </w:r>
            <w:r>
              <w:t>. The lottery values used for this time</w:t>
            </w:r>
            <w:r w:rsidR="00401B7D">
              <w:t xml:space="preserve"> </w:t>
            </w:r>
            <w:r>
              <w:t>series analysis were the “</w:t>
            </w:r>
            <w:r w:rsidR="00AF4394">
              <w:t>Pulltab</w:t>
            </w:r>
            <w:r>
              <w:t>” column.</w:t>
            </w:r>
            <w:r w:rsidR="00401B7D">
              <w:t xml:space="preserve"> At first glance, the time series does not appear to be very consistent or stationary.</w:t>
            </w:r>
          </w:p>
          <w:p w14:paraId="7085AA0B" w14:textId="5A61B6B0" w:rsidR="00DE7824" w:rsidRPr="0013494E" w:rsidRDefault="00AF4394" w:rsidP="0013494E">
            <w:r>
              <w:rPr>
                <w:noProof/>
              </w:rPr>
              <w:drawing>
                <wp:inline distT="0" distB="0" distL="0" distR="0" wp14:anchorId="0290FBA7" wp14:editId="61AAA4A1">
                  <wp:extent cx="2552368" cy="158195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66248" cy="1590554"/>
                          </a:xfrm>
                          <a:prstGeom prst="rect">
                            <a:avLst/>
                          </a:prstGeom>
                          <a:noFill/>
                          <a:ln>
                            <a:noFill/>
                          </a:ln>
                        </pic:spPr>
                      </pic:pic>
                    </a:graphicData>
                  </a:graphic>
                </wp:inline>
              </w:drawing>
            </w:r>
          </w:p>
        </w:tc>
      </w:tr>
      <w:tr w:rsidR="00DE7824" w:rsidRPr="0013494E" w14:paraId="6EBE59D2"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7703FAED" w14:textId="77777777" w:rsidR="00DE7824" w:rsidRPr="0013494E" w:rsidRDefault="00DE7824" w:rsidP="0013494E">
            <w:pPr>
              <w:rPr>
                <w:b/>
                <w:bCs/>
              </w:rPr>
            </w:pPr>
            <w:r w:rsidRPr="0013494E">
              <w:rPr>
                <w:b/>
                <w:bCs/>
              </w:rPr>
              <w:t xml:space="preserve">2: Box Plot </w:t>
            </w:r>
          </w:p>
        </w:tc>
      </w:tr>
      <w:tr w:rsidR="00DE7824" w:rsidRPr="0013494E" w14:paraId="72F85359" w14:textId="77777777" w:rsidTr="00DE7824">
        <w:tc>
          <w:tcPr>
            <w:tcW w:w="9016" w:type="dxa"/>
            <w:tcBorders>
              <w:top w:val="single" w:sz="4" w:space="0" w:color="auto"/>
              <w:left w:val="single" w:sz="4" w:space="0" w:color="auto"/>
              <w:bottom w:val="single" w:sz="4" w:space="0" w:color="auto"/>
              <w:right w:val="single" w:sz="4" w:space="0" w:color="auto"/>
            </w:tcBorders>
          </w:tcPr>
          <w:p w14:paraId="1788B3B8" w14:textId="259B5C64" w:rsidR="00DE7824" w:rsidRDefault="00DE7824" w:rsidP="0013494E"/>
          <w:p w14:paraId="54342CA9" w14:textId="37549F4B" w:rsidR="003B4C88" w:rsidRPr="0013494E" w:rsidRDefault="003B4C88" w:rsidP="0013494E">
            <w:r>
              <w:t xml:space="preserve">Figure 2: Box plot of </w:t>
            </w:r>
            <w:r w:rsidR="00401B7D">
              <w:t>time series with values grouped by month. This plot shows that the deviation from the mean is fairly large for most months, which could indicate trends and inconsistencies in the time series.</w:t>
            </w:r>
          </w:p>
          <w:p w14:paraId="685A8049" w14:textId="1C5A3370" w:rsidR="0013494E" w:rsidRPr="0013494E" w:rsidRDefault="00AF4394" w:rsidP="003B4C88">
            <w:r>
              <w:rPr>
                <w:noProof/>
              </w:rPr>
              <w:drawing>
                <wp:inline distT="0" distB="0" distL="0" distR="0" wp14:anchorId="47399E10" wp14:editId="390ACCB8">
                  <wp:extent cx="2480807" cy="15904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1151" cy="1597095"/>
                          </a:xfrm>
                          <a:prstGeom prst="rect">
                            <a:avLst/>
                          </a:prstGeom>
                          <a:noFill/>
                          <a:ln>
                            <a:noFill/>
                          </a:ln>
                        </pic:spPr>
                      </pic:pic>
                    </a:graphicData>
                  </a:graphic>
                </wp:inline>
              </w:drawing>
            </w:r>
          </w:p>
        </w:tc>
      </w:tr>
      <w:tr w:rsidR="00DE7824" w:rsidRPr="0013494E" w14:paraId="61527E23"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3BA26D93" w14:textId="77777777" w:rsidR="00DE7824" w:rsidRPr="0013494E" w:rsidRDefault="00DE7824" w:rsidP="0013494E">
            <w:pPr>
              <w:rPr>
                <w:b/>
                <w:bCs/>
              </w:rPr>
            </w:pPr>
            <w:r w:rsidRPr="0013494E">
              <w:rPr>
                <w:b/>
                <w:bCs/>
              </w:rPr>
              <w:t>3: Rolling Mean &amp; Standard Deviation Plot of Time Series</w:t>
            </w:r>
          </w:p>
        </w:tc>
      </w:tr>
      <w:tr w:rsidR="00DE7824" w:rsidRPr="0013494E" w14:paraId="11663F8B" w14:textId="77777777" w:rsidTr="00DE7824">
        <w:tc>
          <w:tcPr>
            <w:tcW w:w="9016" w:type="dxa"/>
            <w:tcBorders>
              <w:top w:val="single" w:sz="4" w:space="0" w:color="auto"/>
              <w:left w:val="single" w:sz="4" w:space="0" w:color="auto"/>
              <w:bottom w:val="single" w:sz="4" w:space="0" w:color="auto"/>
              <w:right w:val="single" w:sz="4" w:space="0" w:color="auto"/>
            </w:tcBorders>
          </w:tcPr>
          <w:p w14:paraId="34BDE779" w14:textId="47F4D5A5" w:rsidR="00DE7824" w:rsidRDefault="00DE7824" w:rsidP="0013494E"/>
          <w:p w14:paraId="16B4E978" w14:textId="66FB2531" w:rsidR="003B4C88" w:rsidRPr="0013494E" w:rsidRDefault="003B4C88" w:rsidP="0013494E">
            <w:r>
              <w:t>Figure 3: Rolling mean and standard deviation plot. In a stationary time series, the rolling mean should not vary</w:t>
            </w:r>
            <w:r w:rsidR="00401B7D">
              <w:t>, and the standard deviation should resemble a consistent periodic shape</w:t>
            </w:r>
            <w:r>
              <w:t>. The shape of the red line reveals that this time series may not be stationary.</w:t>
            </w:r>
          </w:p>
          <w:p w14:paraId="5344CC80" w14:textId="66D818D3" w:rsidR="00DE7824" w:rsidRPr="0013494E" w:rsidRDefault="00AF4394" w:rsidP="003B4C88">
            <w:r>
              <w:rPr>
                <w:noProof/>
              </w:rPr>
              <w:drawing>
                <wp:inline distT="0" distB="0" distL="0" distR="0" wp14:anchorId="3DD60D7F" wp14:editId="253EAE32">
                  <wp:extent cx="2488758" cy="164361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1908" cy="1652303"/>
                          </a:xfrm>
                          <a:prstGeom prst="rect">
                            <a:avLst/>
                          </a:prstGeom>
                          <a:noFill/>
                          <a:ln>
                            <a:noFill/>
                          </a:ln>
                        </pic:spPr>
                      </pic:pic>
                    </a:graphicData>
                  </a:graphic>
                </wp:inline>
              </w:drawing>
            </w:r>
          </w:p>
        </w:tc>
      </w:tr>
      <w:tr w:rsidR="00DE7824" w:rsidRPr="0013494E" w14:paraId="175442B6"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1AA06BCC" w14:textId="77777777" w:rsidR="00DE7824" w:rsidRPr="0013494E" w:rsidRDefault="00DE7824" w:rsidP="0013494E">
            <w:pPr>
              <w:rPr>
                <w:b/>
                <w:bCs/>
              </w:rPr>
            </w:pPr>
            <w:r w:rsidRPr="0013494E">
              <w:rPr>
                <w:b/>
                <w:bCs/>
              </w:rPr>
              <w:t>4: Results of Dickey-Fuller Test of Time Series</w:t>
            </w:r>
          </w:p>
        </w:tc>
      </w:tr>
      <w:tr w:rsidR="00DE7824" w:rsidRPr="0013494E" w14:paraId="5D10B97E" w14:textId="77777777" w:rsidTr="00DE7824">
        <w:tc>
          <w:tcPr>
            <w:tcW w:w="9016" w:type="dxa"/>
            <w:tcBorders>
              <w:top w:val="single" w:sz="4" w:space="0" w:color="auto"/>
              <w:left w:val="single" w:sz="4" w:space="0" w:color="auto"/>
              <w:bottom w:val="single" w:sz="4" w:space="0" w:color="auto"/>
              <w:right w:val="single" w:sz="4" w:space="0" w:color="auto"/>
            </w:tcBorders>
          </w:tcPr>
          <w:p w14:paraId="168FEC2E" w14:textId="77777777" w:rsidR="00DE7824" w:rsidRPr="0013494E" w:rsidRDefault="00DE7824" w:rsidP="0013494E"/>
          <w:p w14:paraId="60F04C4A" w14:textId="77777777" w:rsidR="00AF4394" w:rsidRPr="00AF4394" w:rsidRDefault="00AF4394" w:rsidP="00AF4394">
            <w:pPr>
              <w:rPr>
                <w:rFonts w:ascii="Consolas" w:hAnsi="Consolas"/>
              </w:rPr>
            </w:pPr>
            <w:r w:rsidRPr="00AF4394">
              <w:rPr>
                <w:rFonts w:ascii="Consolas" w:hAnsi="Consolas"/>
              </w:rPr>
              <w:t>Results of Dickey-Fuller Test:</w:t>
            </w:r>
          </w:p>
          <w:p w14:paraId="7DAB932A" w14:textId="77777777" w:rsidR="00AF4394" w:rsidRPr="00AF4394" w:rsidRDefault="00AF4394" w:rsidP="00AF4394">
            <w:pPr>
              <w:rPr>
                <w:rFonts w:ascii="Consolas" w:hAnsi="Consolas"/>
              </w:rPr>
            </w:pPr>
            <w:r w:rsidRPr="00AF4394">
              <w:rPr>
                <w:rFonts w:ascii="Consolas" w:hAnsi="Consolas"/>
              </w:rPr>
              <w:t>Test Statistic                  -2.387211</w:t>
            </w:r>
          </w:p>
          <w:p w14:paraId="3A399BC2" w14:textId="77777777" w:rsidR="00AF4394" w:rsidRPr="00AF4394" w:rsidRDefault="00AF4394" w:rsidP="00AF4394">
            <w:pPr>
              <w:rPr>
                <w:rFonts w:ascii="Consolas" w:hAnsi="Consolas"/>
              </w:rPr>
            </w:pPr>
            <w:r w:rsidRPr="00AF4394">
              <w:rPr>
                <w:rFonts w:ascii="Consolas" w:hAnsi="Consolas"/>
              </w:rPr>
              <w:t>p-value                          0.145379</w:t>
            </w:r>
          </w:p>
          <w:p w14:paraId="4F1931B9" w14:textId="77777777" w:rsidR="00AF4394" w:rsidRPr="00AF4394" w:rsidRDefault="00AF4394" w:rsidP="00AF4394">
            <w:pPr>
              <w:rPr>
                <w:rFonts w:ascii="Consolas" w:hAnsi="Consolas"/>
              </w:rPr>
            </w:pPr>
            <w:r w:rsidRPr="00AF4394">
              <w:rPr>
                <w:rFonts w:ascii="Consolas" w:hAnsi="Consolas"/>
              </w:rPr>
              <w:t>#Lags Used                       4.000000</w:t>
            </w:r>
          </w:p>
          <w:p w14:paraId="149574A8" w14:textId="77777777" w:rsidR="00AF4394" w:rsidRPr="00AF4394" w:rsidRDefault="00AF4394" w:rsidP="00AF4394">
            <w:pPr>
              <w:rPr>
                <w:rFonts w:ascii="Consolas" w:hAnsi="Consolas"/>
              </w:rPr>
            </w:pPr>
            <w:r w:rsidRPr="00AF4394">
              <w:rPr>
                <w:rFonts w:ascii="Consolas" w:hAnsi="Consolas"/>
              </w:rPr>
              <w:t>Number of Observations Used    178.000000</w:t>
            </w:r>
          </w:p>
          <w:p w14:paraId="44A8FA77" w14:textId="77777777" w:rsidR="00AF4394" w:rsidRPr="00AF4394" w:rsidRDefault="00AF4394" w:rsidP="00AF4394">
            <w:pPr>
              <w:rPr>
                <w:rFonts w:ascii="Consolas" w:hAnsi="Consolas"/>
              </w:rPr>
            </w:pPr>
            <w:r w:rsidRPr="00AF4394">
              <w:rPr>
                <w:rFonts w:ascii="Consolas" w:hAnsi="Consolas"/>
              </w:rPr>
              <w:t>Critical Value (1%)             -3.467632</w:t>
            </w:r>
          </w:p>
          <w:p w14:paraId="219D923B" w14:textId="77777777" w:rsidR="00AF4394" w:rsidRPr="00AF4394" w:rsidRDefault="00AF4394" w:rsidP="00AF4394">
            <w:pPr>
              <w:rPr>
                <w:rFonts w:ascii="Consolas" w:hAnsi="Consolas"/>
              </w:rPr>
            </w:pPr>
            <w:r w:rsidRPr="00AF4394">
              <w:rPr>
                <w:rFonts w:ascii="Consolas" w:hAnsi="Consolas"/>
              </w:rPr>
              <w:t>Critical Value (5%)             -2.877918</w:t>
            </w:r>
          </w:p>
          <w:p w14:paraId="22B23839" w14:textId="34FFA399" w:rsidR="00DE7824" w:rsidRPr="00AF4394" w:rsidRDefault="00AF4394" w:rsidP="00AF4394">
            <w:pPr>
              <w:rPr>
                <w:rFonts w:ascii="Consolas" w:hAnsi="Consolas"/>
              </w:rPr>
            </w:pPr>
            <w:r w:rsidRPr="00AF4394">
              <w:rPr>
                <w:rFonts w:ascii="Consolas" w:hAnsi="Consolas"/>
              </w:rPr>
              <w:t>Critical Value (10%)            -2.575501</w:t>
            </w:r>
          </w:p>
          <w:p w14:paraId="38308F63" w14:textId="77777777" w:rsidR="00AF4394" w:rsidRDefault="00AF4394" w:rsidP="0013494E"/>
          <w:p w14:paraId="610C67D0" w14:textId="5A883082" w:rsidR="003B4C88" w:rsidRDefault="003B4C88" w:rsidP="0013494E">
            <w:r>
              <w:t>H</w:t>
            </w:r>
            <w:r>
              <w:rPr>
                <w:vertAlign w:val="subscript"/>
              </w:rPr>
              <w:t>0</w:t>
            </w:r>
            <w:r>
              <w:t>: The time</w:t>
            </w:r>
            <w:r w:rsidR="00AF4394">
              <w:t xml:space="preserve"> </w:t>
            </w:r>
            <w:r>
              <w:t xml:space="preserve">series is </w:t>
            </w:r>
            <w:r w:rsidR="00AF4394">
              <w:t>non-stationary</w:t>
            </w:r>
          </w:p>
          <w:p w14:paraId="3D8C4E76" w14:textId="00E92785" w:rsidR="00AF4394" w:rsidRPr="00AF4394" w:rsidRDefault="00AF4394" w:rsidP="0013494E">
            <w:r>
              <w:t>H</w:t>
            </w:r>
            <w:r>
              <w:rPr>
                <w:vertAlign w:val="subscript"/>
              </w:rPr>
              <w:t>a</w:t>
            </w:r>
            <w:r>
              <w:t>: The time series is stationary</w:t>
            </w:r>
          </w:p>
          <w:p w14:paraId="37CDDA84" w14:textId="77777777" w:rsidR="003B4C88" w:rsidRDefault="003B4C88" w:rsidP="0013494E"/>
          <w:p w14:paraId="37BA5BE5" w14:textId="2ED7C003" w:rsidR="003B4C88" w:rsidRDefault="003B4C88" w:rsidP="0013494E">
            <w:r>
              <w:t xml:space="preserve">The Dickey-Fuller stationarity test produces a p-value of </w:t>
            </w:r>
            <w:r w:rsidR="00AF4394">
              <w:t>0.145379, which is &gt; 0.05. This indicates that the “Pulltab” time series is non-stationary.</w:t>
            </w:r>
          </w:p>
          <w:p w14:paraId="64DF140A" w14:textId="2A23BA99" w:rsidR="003B4C88" w:rsidRPr="0013494E" w:rsidRDefault="003B4C88" w:rsidP="0013494E"/>
        </w:tc>
      </w:tr>
      <w:tr w:rsidR="00DE7824" w:rsidRPr="0013494E" w14:paraId="214838FD"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65A90C42" w14:textId="77777777" w:rsidR="00DE7824" w:rsidRPr="0013494E" w:rsidRDefault="00DE7824" w:rsidP="0013494E">
            <w:pPr>
              <w:rPr>
                <w:b/>
                <w:bCs/>
              </w:rPr>
            </w:pPr>
            <w:r w:rsidRPr="0013494E">
              <w:rPr>
                <w:b/>
                <w:bCs/>
              </w:rPr>
              <w:t>5: Log Plot of Time Series</w:t>
            </w:r>
          </w:p>
        </w:tc>
      </w:tr>
      <w:tr w:rsidR="00DE7824" w:rsidRPr="0013494E" w14:paraId="4E9272D4" w14:textId="77777777" w:rsidTr="00DE7824">
        <w:tc>
          <w:tcPr>
            <w:tcW w:w="9016" w:type="dxa"/>
            <w:tcBorders>
              <w:top w:val="single" w:sz="4" w:space="0" w:color="auto"/>
              <w:left w:val="single" w:sz="4" w:space="0" w:color="auto"/>
              <w:bottom w:val="single" w:sz="4" w:space="0" w:color="auto"/>
              <w:right w:val="single" w:sz="4" w:space="0" w:color="auto"/>
            </w:tcBorders>
          </w:tcPr>
          <w:p w14:paraId="6ABF02CC" w14:textId="74D84EA8" w:rsidR="00DE7824" w:rsidRDefault="00DE7824" w:rsidP="0013494E"/>
          <w:p w14:paraId="294E7AEB" w14:textId="7C7134AD" w:rsidR="00AF4394" w:rsidRPr="0013494E" w:rsidRDefault="00AF4394" w:rsidP="0013494E">
            <w:r>
              <w:t>Figure 4: Log plot of “Pulltab” time series.</w:t>
            </w:r>
            <w:r w:rsidR="00401B7D">
              <w:t xml:space="preserve"> It appears to closely resemble the raw data, but the variance has been stabilized.</w:t>
            </w:r>
          </w:p>
          <w:p w14:paraId="40065909" w14:textId="3AF1F3CE" w:rsidR="00DE7824" w:rsidRPr="0013494E" w:rsidRDefault="00AF4394" w:rsidP="0013494E">
            <w:r>
              <w:rPr>
                <w:noProof/>
              </w:rPr>
              <w:drawing>
                <wp:inline distT="0" distB="0" distL="0" distR="0" wp14:anchorId="7F483152" wp14:editId="103E1E47">
                  <wp:extent cx="2565400" cy="162715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385" cy="1632224"/>
                          </a:xfrm>
                          <a:prstGeom prst="rect">
                            <a:avLst/>
                          </a:prstGeom>
                          <a:noFill/>
                          <a:ln>
                            <a:noFill/>
                          </a:ln>
                        </pic:spPr>
                      </pic:pic>
                    </a:graphicData>
                  </a:graphic>
                </wp:inline>
              </w:drawing>
            </w:r>
          </w:p>
        </w:tc>
      </w:tr>
      <w:tr w:rsidR="00DE7824" w:rsidRPr="0013494E" w14:paraId="78249DE8"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634C1092" w14:textId="77777777" w:rsidR="00DE7824" w:rsidRPr="0013494E" w:rsidRDefault="00DE7824" w:rsidP="0013494E">
            <w:pPr>
              <w:rPr>
                <w:b/>
                <w:bCs/>
              </w:rPr>
            </w:pPr>
            <w:r w:rsidRPr="0013494E">
              <w:rPr>
                <w:b/>
                <w:bCs/>
              </w:rPr>
              <w:t>6: Seasonal Decompose plot of Time Series</w:t>
            </w:r>
          </w:p>
        </w:tc>
      </w:tr>
      <w:tr w:rsidR="00DE7824" w:rsidRPr="0013494E" w14:paraId="623FE71D" w14:textId="77777777" w:rsidTr="00DE7824">
        <w:tc>
          <w:tcPr>
            <w:tcW w:w="9016" w:type="dxa"/>
            <w:tcBorders>
              <w:top w:val="single" w:sz="4" w:space="0" w:color="auto"/>
              <w:left w:val="single" w:sz="4" w:space="0" w:color="auto"/>
              <w:bottom w:val="single" w:sz="4" w:space="0" w:color="auto"/>
              <w:right w:val="single" w:sz="4" w:space="0" w:color="auto"/>
            </w:tcBorders>
          </w:tcPr>
          <w:p w14:paraId="2FCACA90" w14:textId="72D6BD94" w:rsidR="00DE7824" w:rsidRDefault="00DE7824" w:rsidP="0013494E"/>
          <w:p w14:paraId="3333D46C" w14:textId="3EE22405" w:rsidR="00AF4394" w:rsidRPr="0013494E" w:rsidRDefault="00AF4394" w:rsidP="0013494E">
            <w:r>
              <w:t>Figure 5: Decomposition of time series.</w:t>
            </w:r>
            <w:r w:rsidR="00564387">
              <w:t xml:space="preserve"> From these graphs, we can note a decreasing then increasing trend, fairly consistent seasonality, and residuals that resemble the original data points.</w:t>
            </w:r>
          </w:p>
          <w:p w14:paraId="11C9C4C4" w14:textId="419A7592" w:rsidR="00DE7824" w:rsidRPr="0013494E" w:rsidRDefault="00AF4394" w:rsidP="0013494E">
            <w:r>
              <w:rPr>
                <w:noProof/>
              </w:rPr>
              <w:drawing>
                <wp:inline distT="0" distB="0" distL="0" distR="0" wp14:anchorId="4C878A1E" wp14:editId="0DAA3E75">
                  <wp:extent cx="2533650" cy="16771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784" cy="1683829"/>
                          </a:xfrm>
                          <a:prstGeom prst="rect">
                            <a:avLst/>
                          </a:prstGeom>
                          <a:noFill/>
                          <a:ln>
                            <a:noFill/>
                          </a:ln>
                        </pic:spPr>
                      </pic:pic>
                    </a:graphicData>
                  </a:graphic>
                </wp:inline>
              </w:drawing>
            </w:r>
          </w:p>
          <w:p w14:paraId="048E4D80" w14:textId="77777777" w:rsidR="00DE7824" w:rsidRPr="0013494E" w:rsidRDefault="00DE7824" w:rsidP="0013494E"/>
        </w:tc>
      </w:tr>
      <w:tr w:rsidR="00DE7824" w:rsidRPr="0013494E" w14:paraId="29B70F74"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4892258B" w14:textId="77777777" w:rsidR="00DE7824" w:rsidRPr="0013494E" w:rsidRDefault="00DE7824" w:rsidP="0013494E">
            <w:pPr>
              <w:rPr>
                <w:b/>
                <w:bCs/>
              </w:rPr>
            </w:pPr>
            <w:r w:rsidRPr="0013494E">
              <w:rPr>
                <w:b/>
                <w:bCs/>
              </w:rPr>
              <w:t>7: Rolling Mean &amp; Standard Deviation Plot of Residual</w:t>
            </w:r>
          </w:p>
        </w:tc>
      </w:tr>
      <w:tr w:rsidR="00DE7824" w:rsidRPr="0013494E" w14:paraId="0501038E" w14:textId="77777777" w:rsidTr="00DE7824">
        <w:tc>
          <w:tcPr>
            <w:tcW w:w="9016" w:type="dxa"/>
            <w:tcBorders>
              <w:top w:val="single" w:sz="4" w:space="0" w:color="auto"/>
              <w:left w:val="single" w:sz="4" w:space="0" w:color="auto"/>
              <w:bottom w:val="single" w:sz="4" w:space="0" w:color="auto"/>
              <w:right w:val="single" w:sz="4" w:space="0" w:color="auto"/>
            </w:tcBorders>
          </w:tcPr>
          <w:p w14:paraId="6ED89354" w14:textId="4C49F6F4" w:rsidR="00DE7824" w:rsidRDefault="00DE7824" w:rsidP="0013494E"/>
          <w:p w14:paraId="4C93C5A2" w14:textId="5AE79B67" w:rsidR="00AF4394" w:rsidRPr="0013494E" w:rsidRDefault="00AF4394" w:rsidP="0013494E">
            <w:r>
              <w:t>Figure 6: Rolling mean and standard deviation plot of “Residual” part of decomposed time series.</w:t>
            </w:r>
            <w:r w:rsidR="00401B7D">
              <w:t xml:space="preserve"> The rolling mean and standard deviation fluctuate, but there appears to be less of a significant trend than was present in the raw data. </w:t>
            </w:r>
          </w:p>
          <w:p w14:paraId="57EB9D5E" w14:textId="4AE11848" w:rsidR="00DE7824" w:rsidRPr="0013494E" w:rsidRDefault="00AF4394" w:rsidP="0013494E">
            <w:r>
              <w:rPr>
                <w:noProof/>
              </w:rPr>
              <w:lastRenderedPageBreak/>
              <w:drawing>
                <wp:inline distT="0" distB="0" distL="0" distR="0" wp14:anchorId="65417FBF" wp14:editId="5868E334">
                  <wp:extent cx="2584450" cy="1767603"/>
                  <wp:effectExtent l="0" t="0" r="635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940" cy="1771358"/>
                          </a:xfrm>
                          <a:prstGeom prst="rect">
                            <a:avLst/>
                          </a:prstGeom>
                          <a:noFill/>
                          <a:ln>
                            <a:noFill/>
                          </a:ln>
                        </pic:spPr>
                      </pic:pic>
                    </a:graphicData>
                  </a:graphic>
                </wp:inline>
              </w:drawing>
            </w:r>
          </w:p>
        </w:tc>
      </w:tr>
      <w:tr w:rsidR="00DE7824" w:rsidRPr="0013494E" w14:paraId="6DF62719"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12F2215A" w14:textId="77777777" w:rsidR="00DE7824" w:rsidRPr="0013494E" w:rsidRDefault="00DE7824" w:rsidP="0013494E">
            <w:pPr>
              <w:rPr>
                <w:b/>
                <w:bCs/>
              </w:rPr>
            </w:pPr>
            <w:r w:rsidRPr="0013494E">
              <w:rPr>
                <w:b/>
                <w:bCs/>
              </w:rPr>
              <w:lastRenderedPageBreak/>
              <w:t>8: Results of Dickey-Fuller Test of Residual</w:t>
            </w:r>
          </w:p>
        </w:tc>
      </w:tr>
      <w:tr w:rsidR="00DE7824" w:rsidRPr="0013494E" w14:paraId="6E493B84" w14:textId="77777777" w:rsidTr="00DE7824">
        <w:tc>
          <w:tcPr>
            <w:tcW w:w="9016" w:type="dxa"/>
            <w:tcBorders>
              <w:top w:val="single" w:sz="4" w:space="0" w:color="auto"/>
              <w:left w:val="single" w:sz="4" w:space="0" w:color="auto"/>
              <w:bottom w:val="single" w:sz="4" w:space="0" w:color="auto"/>
              <w:right w:val="single" w:sz="4" w:space="0" w:color="auto"/>
            </w:tcBorders>
          </w:tcPr>
          <w:p w14:paraId="1746ED22" w14:textId="77777777" w:rsidR="00DE7824" w:rsidRPr="0013494E" w:rsidRDefault="00DE7824" w:rsidP="0013494E"/>
          <w:p w14:paraId="594DB5BC" w14:textId="77777777" w:rsidR="00A7003D" w:rsidRPr="00A7003D" w:rsidRDefault="00A7003D" w:rsidP="00A7003D">
            <w:pPr>
              <w:rPr>
                <w:rFonts w:ascii="Consolas" w:hAnsi="Consolas"/>
              </w:rPr>
            </w:pPr>
            <w:r w:rsidRPr="00A7003D">
              <w:rPr>
                <w:rFonts w:ascii="Consolas" w:hAnsi="Consolas"/>
              </w:rPr>
              <w:t>Results of Dickey-Fuller Test:</w:t>
            </w:r>
          </w:p>
          <w:p w14:paraId="1541D261" w14:textId="77777777" w:rsidR="00A7003D" w:rsidRPr="00A7003D" w:rsidRDefault="00A7003D" w:rsidP="00A7003D">
            <w:pPr>
              <w:rPr>
                <w:rFonts w:ascii="Consolas" w:hAnsi="Consolas"/>
              </w:rPr>
            </w:pPr>
            <w:r w:rsidRPr="00A7003D">
              <w:rPr>
                <w:rFonts w:ascii="Consolas" w:hAnsi="Consolas"/>
              </w:rPr>
              <w:t>Test Statistic                  -5.602576</w:t>
            </w:r>
          </w:p>
          <w:p w14:paraId="193087FE" w14:textId="77777777" w:rsidR="00A7003D" w:rsidRPr="00A7003D" w:rsidRDefault="00A7003D" w:rsidP="00A7003D">
            <w:pPr>
              <w:rPr>
                <w:rFonts w:ascii="Consolas" w:hAnsi="Consolas"/>
              </w:rPr>
            </w:pPr>
            <w:r w:rsidRPr="00A7003D">
              <w:rPr>
                <w:rFonts w:ascii="Consolas" w:hAnsi="Consolas"/>
              </w:rPr>
              <w:t>p-value                          0.000001</w:t>
            </w:r>
          </w:p>
          <w:p w14:paraId="75DDC9F3" w14:textId="77777777" w:rsidR="00A7003D" w:rsidRPr="00A7003D" w:rsidRDefault="00A7003D" w:rsidP="00A7003D">
            <w:pPr>
              <w:rPr>
                <w:rFonts w:ascii="Consolas" w:hAnsi="Consolas"/>
              </w:rPr>
            </w:pPr>
            <w:r w:rsidRPr="00A7003D">
              <w:rPr>
                <w:rFonts w:ascii="Consolas" w:hAnsi="Consolas"/>
              </w:rPr>
              <w:t>#Lags Used                       1.000000</w:t>
            </w:r>
          </w:p>
          <w:p w14:paraId="589975B3" w14:textId="77777777" w:rsidR="00A7003D" w:rsidRPr="00A7003D" w:rsidRDefault="00A7003D" w:rsidP="00A7003D">
            <w:pPr>
              <w:rPr>
                <w:rFonts w:ascii="Consolas" w:hAnsi="Consolas"/>
              </w:rPr>
            </w:pPr>
            <w:r w:rsidRPr="00A7003D">
              <w:rPr>
                <w:rFonts w:ascii="Consolas" w:hAnsi="Consolas"/>
              </w:rPr>
              <w:t>Number of Observations Used    129.000000</w:t>
            </w:r>
          </w:p>
          <w:p w14:paraId="124528C6" w14:textId="77777777" w:rsidR="00A7003D" w:rsidRPr="00A7003D" w:rsidRDefault="00A7003D" w:rsidP="00A7003D">
            <w:pPr>
              <w:rPr>
                <w:rFonts w:ascii="Consolas" w:hAnsi="Consolas"/>
              </w:rPr>
            </w:pPr>
            <w:r w:rsidRPr="00A7003D">
              <w:rPr>
                <w:rFonts w:ascii="Consolas" w:hAnsi="Consolas"/>
              </w:rPr>
              <w:t>Critical Value (1%)             -3.482088</w:t>
            </w:r>
          </w:p>
          <w:p w14:paraId="0239F81E" w14:textId="77777777" w:rsidR="00A7003D" w:rsidRPr="00A7003D" w:rsidRDefault="00A7003D" w:rsidP="00A7003D">
            <w:pPr>
              <w:rPr>
                <w:rFonts w:ascii="Consolas" w:hAnsi="Consolas"/>
              </w:rPr>
            </w:pPr>
            <w:r w:rsidRPr="00A7003D">
              <w:rPr>
                <w:rFonts w:ascii="Consolas" w:hAnsi="Consolas"/>
              </w:rPr>
              <w:t>Critical Value (5%)             -2.884219</w:t>
            </w:r>
          </w:p>
          <w:p w14:paraId="0F67FCE9" w14:textId="04F0559E" w:rsidR="00DE7824" w:rsidRPr="0013494E" w:rsidRDefault="00A7003D" w:rsidP="00A7003D">
            <w:r w:rsidRPr="00A7003D">
              <w:rPr>
                <w:rFonts w:ascii="Consolas" w:hAnsi="Consolas"/>
              </w:rPr>
              <w:t>Critical Value (10%)            -2.578864</w:t>
            </w:r>
          </w:p>
          <w:p w14:paraId="1849F4D8" w14:textId="77777777" w:rsidR="00DE7824" w:rsidRDefault="00DE7824" w:rsidP="0013494E"/>
          <w:p w14:paraId="3555FD9A" w14:textId="77777777" w:rsidR="00A7003D" w:rsidRDefault="00A7003D" w:rsidP="00A7003D">
            <w:r>
              <w:t>H</w:t>
            </w:r>
            <w:r>
              <w:rPr>
                <w:vertAlign w:val="subscript"/>
              </w:rPr>
              <w:t>0</w:t>
            </w:r>
            <w:r>
              <w:t>: The time series is non-stationary</w:t>
            </w:r>
          </w:p>
          <w:p w14:paraId="3EEED835" w14:textId="77777777" w:rsidR="00A7003D" w:rsidRPr="00AF4394" w:rsidRDefault="00A7003D" w:rsidP="00A7003D">
            <w:r>
              <w:t>H</w:t>
            </w:r>
            <w:r>
              <w:rPr>
                <w:vertAlign w:val="subscript"/>
              </w:rPr>
              <w:t>a</w:t>
            </w:r>
            <w:r>
              <w:t>: The time series is stationary</w:t>
            </w:r>
          </w:p>
          <w:p w14:paraId="6BE94C3B" w14:textId="77777777" w:rsidR="00A7003D" w:rsidRDefault="00A7003D" w:rsidP="00A7003D"/>
          <w:p w14:paraId="701E719C" w14:textId="722118D7" w:rsidR="00A7003D" w:rsidRDefault="00A7003D" w:rsidP="00A7003D">
            <w:r>
              <w:t xml:space="preserve">The Dickey-Fuller stationarity test produces a p-value of </w:t>
            </w:r>
            <w:r w:rsidRPr="00A7003D">
              <w:t>0.000001</w:t>
            </w:r>
            <w:r>
              <w:t xml:space="preserve">, which is &lt; 0.05. This indicates that the Residual of </w:t>
            </w:r>
            <w:r w:rsidR="00564387">
              <w:t xml:space="preserve">the </w:t>
            </w:r>
            <w:r>
              <w:t>“Pulltab” time series is stationary.</w:t>
            </w:r>
          </w:p>
          <w:p w14:paraId="235E28A0" w14:textId="13114327" w:rsidR="00A7003D" w:rsidRPr="0013494E" w:rsidRDefault="00A7003D" w:rsidP="0013494E"/>
        </w:tc>
      </w:tr>
      <w:tr w:rsidR="00DE7824" w:rsidRPr="0013494E" w14:paraId="0183023B"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0A7D3C67" w14:textId="77777777" w:rsidR="00DE7824" w:rsidRPr="0013494E" w:rsidRDefault="00DE7824" w:rsidP="0013494E">
            <w:pPr>
              <w:rPr>
                <w:b/>
                <w:bCs/>
              </w:rPr>
            </w:pPr>
            <w:r w:rsidRPr="0013494E">
              <w:rPr>
                <w:b/>
                <w:bCs/>
              </w:rPr>
              <w:t>9: ACF and PACF plot</w:t>
            </w:r>
          </w:p>
        </w:tc>
      </w:tr>
      <w:tr w:rsidR="00DE7824" w:rsidRPr="0013494E" w14:paraId="0149C402" w14:textId="77777777" w:rsidTr="00DE7824">
        <w:tc>
          <w:tcPr>
            <w:tcW w:w="9016" w:type="dxa"/>
            <w:tcBorders>
              <w:top w:val="single" w:sz="4" w:space="0" w:color="auto"/>
              <w:left w:val="single" w:sz="4" w:space="0" w:color="auto"/>
              <w:bottom w:val="single" w:sz="4" w:space="0" w:color="auto"/>
              <w:right w:val="single" w:sz="4" w:space="0" w:color="auto"/>
            </w:tcBorders>
          </w:tcPr>
          <w:p w14:paraId="19F93780" w14:textId="4D08C59C" w:rsidR="00DE7824" w:rsidRDefault="00DE7824" w:rsidP="0013494E"/>
          <w:p w14:paraId="6491D866" w14:textId="21D2267A" w:rsidR="00A7003D" w:rsidRPr="0013494E" w:rsidRDefault="00A7003D" w:rsidP="0013494E">
            <w:r>
              <w:t>Figure 7: Autocorrelation and Partial Autocorrelation functions.</w:t>
            </w:r>
            <w:r w:rsidR="00564387">
              <w:t xml:space="preserve"> The p and q values for the ARIMA model were obtained from these graphs. On each of the plots, the value where the line crosses the upper confidence interval is closest to 1, so we set p and q to 1.</w:t>
            </w:r>
          </w:p>
          <w:p w14:paraId="1E06ADE4" w14:textId="00D02ADB" w:rsidR="00DE7824" w:rsidRPr="0013494E" w:rsidRDefault="00A7003D" w:rsidP="0013494E">
            <w:r>
              <w:rPr>
                <w:noProof/>
              </w:rPr>
              <w:drawing>
                <wp:inline distT="0" distB="0" distL="0" distR="0" wp14:anchorId="08A63482" wp14:editId="0A3DD2E4">
                  <wp:extent cx="2336800" cy="149384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4232" cy="1498596"/>
                          </a:xfrm>
                          <a:prstGeom prst="rect">
                            <a:avLst/>
                          </a:prstGeom>
                          <a:noFill/>
                          <a:ln>
                            <a:noFill/>
                          </a:ln>
                        </pic:spPr>
                      </pic:pic>
                    </a:graphicData>
                  </a:graphic>
                </wp:inline>
              </w:drawing>
            </w:r>
          </w:p>
        </w:tc>
      </w:tr>
      <w:tr w:rsidR="00DE7824" w:rsidRPr="0013494E" w14:paraId="11DB2B96"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05F13717" w14:textId="65C934FC" w:rsidR="00DE7824" w:rsidRPr="0013494E" w:rsidRDefault="00DE7824" w:rsidP="0013494E">
            <w:pPr>
              <w:rPr>
                <w:b/>
                <w:bCs/>
              </w:rPr>
            </w:pPr>
            <w:r w:rsidRPr="0013494E">
              <w:rPr>
                <w:b/>
                <w:bCs/>
              </w:rPr>
              <w:t>10: p,</w:t>
            </w:r>
            <w:r w:rsidR="003B4C88">
              <w:rPr>
                <w:b/>
                <w:bCs/>
              </w:rPr>
              <w:t xml:space="preserve"> d</w:t>
            </w:r>
            <w:r w:rsidRPr="0013494E">
              <w:rPr>
                <w:b/>
                <w:bCs/>
              </w:rPr>
              <w:t xml:space="preserve"> and q values</w:t>
            </w:r>
          </w:p>
        </w:tc>
      </w:tr>
      <w:tr w:rsidR="00DE7824" w:rsidRPr="0013494E" w14:paraId="6BA989CE" w14:textId="77777777" w:rsidTr="00DE7824">
        <w:tc>
          <w:tcPr>
            <w:tcW w:w="9016" w:type="dxa"/>
            <w:tcBorders>
              <w:top w:val="single" w:sz="4" w:space="0" w:color="auto"/>
              <w:left w:val="single" w:sz="4" w:space="0" w:color="auto"/>
              <w:bottom w:val="single" w:sz="4" w:space="0" w:color="auto"/>
              <w:right w:val="single" w:sz="4" w:space="0" w:color="auto"/>
            </w:tcBorders>
          </w:tcPr>
          <w:p w14:paraId="2023E5FE" w14:textId="77777777" w:rsidR="00DE7824" w:rsidRPr="0013494E" w:rsidRDefault="00DE7824" w:rsidP="0013494E"/>
          <w:p w14:paraId="1C3AFE96" w14:textId="033A84CE" w:rsidR="00DE7824" w:rsidRDefault="003B4C88" w:rsidP="0013494E">
            <w:r>
              <w:t>P = 1</w:t>
            </w:r>
          </w:p>
          <w:p w14:paraId="7705954B" w14:textId="713273DF" w:rsidR="003B4C88" w:rsidRDefault="003B4C88" w:rsidP="0013494E">
            <w:r>
              <w:t>D = 1</w:t>
            </w:r>
          </w:p>
          <w:p w14:paraId="071E73AC" w14:textId="36484096" w:rsidR="003B4C88" w:rsidRPr="0013494E" w:rsidRDefault="003B4C88" w:rsidP="0013494E">
            <w:r>
              <w:t>Q = 1</w:t>
            </w:r>
          </w:p>
          <w:p w14:paraId="1E45826E" w14:textId="77777777" w:rsidR="00DE7824" w:rsidRPr="0013494E" w:rsidRDefault="00DE7824" w:rsidP="0013494E"/>
        </w:tc>
      </w:tr>
      <w:tr w:rsidR="00DE7824" w:rsidRPr="0013494E" w14:paraId="6212B6BA"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6218877D" w14:textId="77777777" w:rsidR="00DE7824" w:rsidRPr="0013494E" w:rsidRDefault="00DE7824" w:rsidP="0013494E">
            <w:pPr>
              <w:rPr>
                <w:b/>
                <w:bCs/>
              </w:rPr>
            </w:pPr>
            <w:r w:rsidRPr="0013494E">
              <w:rPr>
                <w:b/>
                <w:bCs/>
              </w:rPr>
              <w:t>11: ARIMA Plot</w:t>
            </w:r>
          </w:p>
        </w:tc>
      </w:tr>
      <w:tr w:rsidR="00DE7824" w:rsidRPr="0013494E" w14:paraId="1C7F5CA7" w14:textId="77777777" w:rsidTr="00DE7824">
        <w:tc>
          <w:tcPr>
            <w:tcW w:w="9016" w:type="dxa"/>
            <w:tcBorders>
              <w:top w:val="single" w:sz="4" w:space="0" w:color="auto"/>
              <w:left w:val="single" w:sz="4" w:space="0" w:color="auto"/>
              <w:bottom w:val="single" w:sz="4" w:space="0" w:color="auto"/>
              <w:right w:val="single" w:sz="4" w:space="0" w:color="auto"/>
            </w:tcBorders>
          </w:tcPr>
          <w:p w14:paraId="02F8E221" w14:textId="422EF300" w:rsidR="00DE7824" w:rsidRDefault="00DE7824" w:rsidP="0013494E"/>
          <w:p w14:paraId="1E2D275C" w14:textId="1F57A118" w:rsidR="00A7003D" w:rsidRPr="0013494E" w:rsidRDefault="00A7003D" w:rsidP="0013494E">
            <w:r>
              <w:lastRenderedPageBreak/>
              <w:t>Figure 8</w:t>
            </w:r>
            <w:r w:rsidR="00564387">
              <w:t>: Plot of ARIMA prediction model</w:t>
            </w:r>
            <w:r w:rsidR="00CD3FBC">
              <w:t>. The predicted values (red) are extremely close to the actual values (blue), indicating a good fit for the model on the training data.</w:t>
            </w:r>
          </w:p>
          <w:p w14:paraId="3FEA59AF" w14:textId="4D7D47E2" w:rsidR="00DE7824" w:rsidRPr="0013494E" w:rsidRDefault="00A7003D" w:rsidP="0013494E">
            <w:r>
              <w:rPr>
                <w:noProof/>
              </w:rPr>
              <w:drawing>
                <wp:inline distT="0" distB="0" distL="0" distR="0" wp14:anchorId="11607416" wp14:editId="3703A67E">
                  <wp:extent cx="2432050" cy="1558523"/>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6014" cy="1561063"/>
                          </a:xfrm>
                          <a:prstGeom prst="rect">
                            <a:avLst/>
                          </a:prstGeom>
                          <a:noFill/>
                          <a:ln>
                            <a:noFill/>
                          </a:ln>
                        </pic:spPr>
                      </pic:pic>
                    </a:graphicData>
                  </a:graphic>
                </wp:inline>
              </w:drawing>
            </w:r>
          </w:p>
        </w:tc>
      </w:tr>
      <w:tr w:rsidR="00DE7824" w:rsidRPr="0013494E" w14:paraId="1DDAD945" w14:textId="77777777" w:rsidTr="00DE7824">
        <w:tc>
          <w:tcPr>
            <w:tcW w:w="9016" w:type="dxa"/>
            <w:tcBorders>
              <w:top w:val="single" w:sz="4" w:space="0" w:color="auto"/>
              <w:left w:val="single" w:sz="4" w:space="0" w:color="auto"/>
              <w:bottom w:val="single" w:sz="4" w:space="0" w:color="auto"/>
              <w:right w:val="single" w:sz="4" w:space="0" w:color="auto"/>
            </w:tcBorders>
            <w:hideMark/>
          </w:tcPr>
          <w:p w14:paraId="5D12307B" w14:textId="77777777" w:rsidR="00DE7824" w:rsidRPr="0013494E" w:rsidRDefault="00DE7824" w:rsidP="0013494E">
            <w:pPr>
              <w:rPr>
                <w:b/>
                <w:bCs/>
              </w:rPr>
            </w:pPr>
            <w:r w:rsidRPr="0013494E">
              <w:rPr>
                <w:b/>
                <w:bCs/>
              </w:rPr>
              <w:lastRenderedPageBreak/>
              <w:t>12: Prediction Plot</w:t>
            </w:r>
          </w:p>
        </w:tc>
      </w:tr>
      <w:tr w:rsidR="00DE7824" w:rsidRPr="0013494E" w14:paraId="34784217" w14:textId="77777777" w:rsidTr="00DE7824">
        <w:tc>
          <w:tcPr>
            <w:tcW w:w="9016" w:type="dxa"/>
            <w:tcBorders>
              <w:top w:val="single" w:sz="4" w:space="0" w:color="auto"/>
              <w:left w:val="single" w:sz="4" w:space="0" w:color="auto"/>
              <w:bottom w:val="single" w:sz="4" w:space="0" w:color="auto"/>
              <w:right w:val="single" w:sz="4" w:space="0" w:color="auto"/>
            </w:tcBorders>
          </w:tcPr>
          <w:p w14:paraId="6FCDE5D5" w14:textId="5A3B7EE5" w:rsidR="00DE7824" w:rsidRDefault="00DE7824" w:rsidP="0013494E"/>
          <w:p w14:paraId="377FF035" w14:textId="22CBD521" w:rsidR="00A7003D" w:rsidRPr="0013494E" w:rsidRDefault="00A7003D" w:rsidP="0013494E">
            <w:r>
              <w:t>Figure 9: Plot of predictions vs actual time series.</w:t>
            </w:r>
            <w:r w:rsidR="00564387">
              <w:t xml:space="preserve"> The predictions appear to reflect the actual values well at the start and end of the time series, but wander in the middle, spiking to an extreme height.</w:t>
            </w:r>
            <w:r w:rsidR="00E27426">
              <w:t xml:space="preserve"> This model can be used to predict the future sales of the Iowa lottery to inform business decisions for the institution that owns this data.</w:t>
            </w:r>
          </w:p>
          <w:p w14:paraId="4B526EFA" w14:textId="2B4692DF" w:rsidR="00DE7824" w:rsidRPr="0013494E" w:rsidRDefault="00A7003D" w:rsidP="0013494E">
            <w:r>
              <w:rPr>
                <w:noProof/>
              </w:rPr>
              <w:drawing>
                <wp:inline distT="0" distB="0" distL="0" distR="0" wp14:anchorId="04549C7C" wp14:editId="46A10B98">
                  <wp:extent cx="2381250" cy="1631597"/>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426" cy="1637199"/>
                          </a:xfrm>
                          <a:prstGeom prst="rect">
                            <a:avLst/>
                          </a:prstGeom>
                          <a:noFill/>
                          <a:ln>
                            <a:noFill/>
                          </a:ln>
                        </pic:spPr>
                      </pic:pic>
                    </a:graphicData>
                  </a:graphic>
                </wp:inline>
              </w:drawing>
            </w:r>
          </w:p>
        </w:tc>
      </w:tr>
    </w:tbl>
    <w:p w14:paraId="048C3AF6" w14:textId="77777777" w:rsidR="00DE7824" w:rsidRPr="0013494E" w:rsidRDefault="00DE7824" w:rsidP="0013494E"/>
    <w:p w14:paraId="2B4A0590" w14:textId="77777777" w:rsidR="00A134B3" w:rsidRPr="0013494E" w:rsidRDefault="00A134B3" w:rsidP="0013494E"/>
    <w:sectPr w:rsidR="00A134B3" w:rsidRPr="00134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C2A"/>
    <w:rsid w:val="0013494E"/>
    <w:rsid w:val="001E25BE"/>
    <w:rsid w:val="003B4C88"/>
    <w:rsid w:val="00401B7D"/>
    <w:rsid w:val="00564387"/>
    <w:rsid w:val="00A134B3"/>
    <w:rsid w:val="00A7003D"/>
    <w:rsid w:val="00AF4394"/>
    <w:rsid w:val="00C36C2A"/>
    <w:rsid w:val="00CD3FBC"/>
    <w:rsid w:val="00DE7824"/>
    <w:rsid w:val="00E274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C560"/>
  <w15:chartTrackingRefBased/>
  <w15:docId w15:val="{8CC41931-AA82-489D-B686-924E7D977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3D"/>
    <w:pPr>
      <w:spacing w:line="256" w:lineRule="auto"/>
    </w:pPr>
    <w:rPr>
      <w:lang w:val="en-US"/>
    </w:rPr>
  </w:style>
  <w:style w:type="paragraph" w:styleId="Heading1">
    <w:name w:val="heading 1"/>
    <w:basedOn w:val="Normal"/>
    <w:next w:val="Normal"/>
    <w:link w:val="Heading1Char"/>
    <w:uiPriority w:val="9"/>
    <w:qFormat/>
    <w:rsid w:val="00DE7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82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E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E7824"/>
    <w:rPr>
      <w:rFonts w:ascii="Courier New" w:eastAsia="Times New Roman" w:hAnsi="Courier New" w:cs="Courier New"/>
      <w:sz w:val="20"/>
      <w:szCs w:val="20"/>
      <w:lang w:eastAsia="en-AU"/>
    </w:rPr>
  </w:style>
  <w:style w:type="table" w:styleId="TableGrid">
    <w:name w:val="Table Grid"/>
    <w:basedOn w:val="TableNormal"/>
    <w:uiPriority w:val="39"/>
    <w:rsid w:val="00DE78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99">
      <w:bodyDiv w:val="1"/>
      <w:marLeft w:val="0"/>
      <w:marRight w:val="0"/>
      <w:marTop w:val="0"/>
      <w:marBottom w:val="0"/>
      <w:divBdr>
        <w:top w:val="none" w:sz="0" w:space="0" w:color="auto"/>
        <w:left w:val="none" w:sz="0" w:space="0" w:color="auto"/>
        <w:bottom w:val="none" w:sz="0" w:space="0" w:color="auto"/>
        <w:right w:val="none" w:sz="0" w:space="0" w:color="auto"/>
      </w:divBdr>
    </w:div>
    <w:div w:id="189415482">
      <w:bodyDiv w:val="1"/>
      <w:marLeft w:val="0"/>
      <w:marRight w:val="0"/>
      <w:marTop w:val="0"/>
      <w:marBottom w:val="0"/>
      <w:divBdr>
        <w:top w:val="none" w:sz="0" w:space="0" w:color="auto"/>
        <w:left w:val="none" w:sz="0" w:space="0" w:color="auto"/>
        <w:bottom w:val="none" w:sz="0" w:space="0" w:color="auto"/>
        <w:right w:val="none" w:sz="0" w:space="0" w:color="auto"/>
      </w:divBdr>
    </w:div>
    <w:div w:id="1235509116">
      <w:bodyDiv w:val="1"/>
      <w:marLeft w:val="0"/>
      <w:marRight w:val="0"/>
      <w:marTop w:val="0"/>
      <w:marBottom w:val="0"/>
      <w:divBdr>
        <w:top w:val="none" w:sz="0" w:space="0" w:color="auto"/>
        <w:left w:val="none" w:sz="0" w:space="0" w:color="auto"/>
        <w:bottom w:val="none" w:sz="0" w:space="0" w:color="auto"/>
        <w:right w:val="none" w:sz="0" w:space="0" w:color="auto"/>
      </w:divBdr>
    </w:div>
    <w:div w:id="1622803900">
      <w:bodyDiv w:val="1"/>
      <w:marLeft w:val="0"/>
      <w:marRight w:val="0"/>
      <w:marTop w:val="0"/>
      <w:marBottom w:val="0"/>
      <w:divBdr>
        <w:top w:val="none" w:sz="0" w:space="0" w:color="auto"/>
        <w:left w:val="none" w:sz="0" w:space="0" w:color="auto"/>
        <w:bottom w:val="none" w:sz="0" w:space="0" w:color="auto"/>
        <w:right w:val="none" w:sz="0" w:space="0" w:color="auto"/>
      </w:divBdr>
    </w:div>
    <w:div w:id="1822382213">
      <w:bodyDiv w:val="1"/>
      <w:marLeft w:val="0"/>
      <w:marRight w:val="0"/>
      <w:marTop w:val="0"/>
      <w:marBottom w:val="0"/>
      <w:divBdr>
        <w:top w:val="none" w:sz="0" w:space="0" w:color="auto"/>
        <w:left w:val="none" w:sz="0" w:space="0" w:color="auto"/>
        <w:bottom w:val="none" w:sz="0" w:space="0" w:color="auto"/>
        <w:right w:val="none" w:sz="0" w:space="0" w:color="auto"/>
      </w:divBdr>
    </w:div>
    <w:div w:id="184739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Caleb Webster</cp:lastModifiedBy>
  <cp:revision>5</cp:revision>
  <dcterms:created xsi:type="dcterms:W3CDTF">2021-05-04T10:56:00Z</dcterms:created>
  <dcterms:modified xsi:type="dcterms:W3CDTF">2021-06-02T00:52:00Z</dcterms:modified>
</cp:coreProperties>
</file>