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  <Default Extension="jpeg" ContentType="image/jpeg"/>
  <Default Extension="jpg" ContentType="image/jpeg"/>
  <Default Extension="gif" ContentType="image/gif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spacing w:after="200" w:line="276" w:lineRule="auto"/>
        <w:jc w:val="left"/>
        <w:rPr>
          <w:rFonts w:ascii="Calibri" w:cs="Calibri" w:eastAsia="Calibri" w:hAnsi="Calibri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2385385" cy="1369388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5385" cy="1369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spacing w:after="200" w:line="276" w:lineRule="auto"/>
        <w:jc w:val="center"/>
        <w:rPr>
          <w:rFonts w:ascii="Calibri" w:cs="Calibri" w:eastAsia="Calibri" w:hAnsi="Calibri"/>
          <w:color w:val="001689"/>
          <w:sz w:val="22"/>
          <w:szCs w:val="22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spacing w:line="360" w:lineRule="auto"/>
        <w:ind w:left="0" w:firstLine="0"/>
        <w:jc w:val="center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Reporte</w:t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Documento de ejemplo - formato Mindsoft</w:t>
      </w:r>
    </w:p>
    <w:p>
      <w:pPr>
        <w:spacing w:line="360" w:lineRule="auto"/>
        <w:jc w:val="center"/>
        <w:rPr>
          <w:rFonts w:ascii="Arial" w:cs="Arial" w:hAnsi="Arial"/>
          <w:color w:val="666666"/>
          <w:sz w:val="22"/>
          <w:szCs w:val="22"/>
        </w:rPr>
      </w:pPr>
      <w:r>
        <w:rPr>
          <w:rFonts w:ascii="Arial" w:cs="Arial" w:hAnsi="Arial"/>
          <w:color w:val="666666"/>
          <w:sz w:val="22"/>
          <w:szCs w:val="22"/>
          <w:rtl w:val="0"/>
        </w:rPr>
        <w:t xml:space="preserve">Demostracion del generador · mindsoft.biz · Septiembre 2026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br w:type="page"/>
      </w:r>
      <w:r>
        <w:rPr>
          <w:rtl w:val="0"/>
        </w:rPr>
      </w:r>
    </w:p>
    <w:p>
      <w:pPr>
        <w:pageBreakBefore w:val="0"/>
        <w:spacing w:before="240" w:line="276" w:lineRule="auto"/>
      </w:pPr>
      <w:r>
        <w:rPr>
          <w:b w:val="1"/>
          <w:bCs w:val="1"/>
          <w:color w:val="001689"/>
          <w:sz w:val="28"/>
          <w:szCs w:val="28"/>
          <w:rtl w:val="0"/>
        </w:rPr>
        <w:t xml:space="preserve">Indice</w:t>
      </w:r>
    </w:p>
    <w:p>
      <w:pPr>
        <w:spacing w:after="120" w:line="264" w:lineRule="auto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sz w:val="20"/>
          <w:szCs w:val="20"/>
        </w:rPr>
        <w:t xml:space="preserve">Abra el documento en Word para armar el indice, o pulse F9 sobre esta linea.</w:t>
      </w:r>
      <w:r>
        <w:fldChar w:fldCharType="end"/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Resumen ejecutivo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Este documento existe para mostrar cada elemento que el generador sabe producir. El texto corrido sale en Verdana 10 puntos, justificado, con el interlineado de la plantilla de la casa.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Se puede usar </w:t>
      </w:r>
      <w:r>
        <w:rPr>
          <w:i w:val="1"/>
          <w:iCs w:val="1"/>
          <w:sz w:val="20"/>
          <w:szCs w:val="20"/>
          <w:rtl w:val="0"/>
        </w:rPr>
        <w:t xml:space="preserve">cursiva</w:t>
      </w:r>
      <w:r>
        <w:rPr>
          <w:sz w:val="20"/>
          <w:szCs w:val="20"/>
          <w:rtl w:val="0"/>
        </w:rPr>
        <w:t xml:space="preserve"> y </w:t>
      </w:r>
      <w:r>
        <w:rPr>
          <w:rFonts w:ascii="Consolas" w:cs="Consolas" w:hAnsi="Consolas"/>
          <w:sz w:val="18"/>
          <w:szCs w:val="18"/>
          <w:rtl w:val="0"/>
        </w:rPr>
        <w:t xml:space="preserve">codigo en linea</w:t>
      </w:r>
      <w:r>
        <w:rPr>
          <w:sz w:val="20"/>
          <w:szCs w:val="20"/>
          <w:rtl w:val="0"/>
        </w:rPr>
        <w:t xml:space="preserve">. La </w:t>
      </w:r>
      <w:r>
        <w:rPr>
          <w:sz w:val="20"/>
          <w:szCs w:val="20"/>
          <w:rtl w:val="0"/>
        </w:rPr>
        <w:t xml:space="preserve">negrita</w:t>
      </w:r>
      <w:r>
        <w:rPr>
          <w:sz w:val="20"/>
          <w:szCs w:val="20"/>
          <w:rtl w:val="0"/>
        </w:rPr>
        <w:t xml:space="preserve"> no: por regla de la casa sale como texto normal, y el generador avisa cuantas encontro.</w:t>
      </w:r>
    </w:p>
    <w:p>
      <w:pPr>
        <w:pStyle w:val="Heading3"/>
        <w:pageBreakBefore w:val="0"/>
        <w:numPr>
          <w:ilvl w:val="1"/>
          <w:numId w:val="92"/>
        </w:numPr>
        <w:spacing w:after="60" w:line="264" w:lineRule="auto"/>
        <w:outlineLvl w:val="2"/>
      </w:pPr>
      <w:r>
        <w:rPr>
          <w:b w:val="1"/>
          <w:bCs w:val="1"/>
          <w:sz w:val="22"/>
          <w:szCs w:val="22"/>
          <w:rtl w:val="0"/>
        </w:rPr>
        <w:t xml:space="preserve">Un subtitulo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Los subtitulos van en negrita de 11 puntos. La numeracion (1, 1.1) la pone Word, no el markdown, y con ella entran al indice.</w:t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Listas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vinetas usan la numeracion de la plantilla: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Primer elemento de la lista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Segundo elemento, con algo de texto adentro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Tercer elemento que menciona un archivo como </w:t>
      </w:r>
      <w:r>
        <w:rPr>
          <w:rFonts w:ascii="Consolas" w:cs="Consolas" w:hAnsi="Consolas"/>
          <w:sz w:val="18"/>
          <w:szCs w:val="18"/>
          <w:rtl w:val="0"/>
        </w:rPr>
        <w:t xml:space="preserve">config.php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Y las numeradas se ven asi:</w:t>
      </w:r>
    </w:p>
    <w:p>
      <w:pPr>
        <w:pStyle w:val="Normal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Primer paso del procedimiento</w:t>
      </w:r>
    </w:p>
    <w:p>
      <w:pPr>
        <w:pStyle w:val="Normal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Segundo paso</w:t>
      </w:r>
    </w:p>
    <w:p>
      <w:pPr>
        <w:pStyle w:val="Normal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Tercer paso</w:t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Tablas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columnas se reparten solas segun cuanto texto lleva cada una:</w:t>
      </w:r>
    </w:p>
    <w:tbl>
      <w:tblPr>
        <w:tblW w:w="8770" w:type="dxa"/>
        <w:tblLayout w:type="fixed"/>
        <w:tblBorders>
          <w:top w:val="single" w:sz="4" w:color="BFC7DA"/>
          <w:left w:val="single" w:sz="4" w:color="BFC7DA"/>
          <w:bottom w:val="single" w:sz="4" w:color="BFC7DA"/>
          <w:right w:val="single" w:sz="4" w:color="BFC7DA"/>
          <w:insideH w:val="single" w:sz="4" w:color="BFC7DA"/>
          <w:insideV w:val="single" w:sz="4" w:color="BFC7DA"/>
        </w:tblBorders>
      </w:tblPr>
      <w:tblGrid>
        <w:gridCol w:w="2885"/>
        <w:gridCol w:w="1275"/>
        <w:gridCol w:w="4610"/>
      </w:tblGrid>
      <w:tr>
        <w:trPr>
          <w:tblHeader/>
        </w:trPr>
        <w:tc>
          <w:tcPr>
            <w:tcW w:w="288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Metrica</w:t>
            </w:r>
          </w:p>
        </w:tc>
        <w:tc>
          <w:tcPr>
            <w:tcW w:w="127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  <w:tc>
          <w:tcPr>
            <w:tcW w:w="4610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Correos revisados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3.362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Sobre cuatro anos de operacion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Cuentas alcanzadas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687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Excluye cuentas internas de prueba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Proporcion afectada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100 %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De los correos de devolucion</w:t>
            </w:r>
          </w:p>
        </w:tc>
      </w:tr>
    </w:tbl>
    <w:p>
      <w:pPr>
        <w:pageBreakBefore w:val="0"/>
        <w:spacing w:after="40" w:line="264" w:lineRule="auto"/>
      </w:pPr>
      <w:r>
        <w:rPr>
          <w:sz w:val="8"/>
          <w:szCs w:val="8"/>
          <w:rtl w:val="0"/>
        </w:rPr>
        <w:t xml:space="preserve"/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Imagenes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capturas se escalan al ancho util de la pagina:</w:t>
      </w:r>
    </w:p>
    <w:p>
      <w:pPr>
        <w:pageBreakBefore w:val="0"/>
        <w:spacing w:after="60" w:line="264" w:lineRule="auto"/>
        <w:jc w:val="center"/>
      </w:pPr>
      <w:r>
        <w:rPr/>
        <w:drawing>
          <wp:inline distB="114300" distT="114300" distL="114300" distR="114300">
            <wp:extent cx="5573430" cy="1672029"/>
            <wp:effectExtent b="0" l="0" r="0" t="0"/>
            <wp:docPr id="101" name="imagen1"/>
            <a:graphic>
              <a:graphicData uri="http://schemas.openxmlformats.org/drawingml/2006/picture">
                <pic:pic>
                  <pic:nvPicPr>
                    <pic:cNvPr id="0" name="imagen1"/>
                    <pic:cNvPicPr preferRelativeResize="0"/>
                  </pic:nvPicPr>
                  <pic:blipFill>
                    <a:blip r:embed="rId10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3430" cy="1672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ageBreakBefore w:val="0"/>
        <w:spacing w:after="120" w:line="264" w:lineRule="auto"/>
        <w:jc w:val="center"/>
      </w:pPr>
      <w:r>
        <w:rPr>
          <w:i w:val="1"/>
          <w:iCs w:val="1"/>
          <w:color w:val="666666"/>
          <w:sz w:val="16"/>
          <w:szCs w:val="16"/>
          <w:rtl w:val="0"/>
        </w:rPr>
        <w:t xml:space="preserve">Figura 1. Captura de ejemplo</w:t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Reglas de la casa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Esta seccion trae a proposito los caracteres prohibidos -guiones largos como este- y comillas "tipográficas" junto a otras 'simples', más puntos suspensivos... El generador los corrige solo al construir el documento.</w:t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Despues de un salto de pagina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 linea de tres guiones fuerza un salto de pagina.</w:t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6838" w:w="11906" w:orient="portrait"/>
      <w:pgMar w:bottom="1644" w:top="2097" w:left="1700" w:right="142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Arial"/>
  <w:font w:name="Georgia"/>
  <w:font w:name="Calibri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88760" y="3624660"/>
                        <a:ext cx="114480" cy="310680"/>
                      </a:xfrm>
                      <a:prstGeom prst="rect">
                        <a:avLst/>
                      </a:prstGeom>
                      <a:solidFill>
                        <a:srgbClr val="FF4438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4460" cy="320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C8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9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Hernández de Girón OE3-30 y Av. América – Quito, Ecuador     </w:t>
    </w:r>
  </w:p>
  <w:p w:rsidR="00000000" w:rsidDel="00000000" w:rsidP="00000000" w:rsidRDefault="00000000" w:rsidRPr="00000000" w14:paraId="000000CA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            Teléfono:02  2447861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Mobile: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 </w:t>
    </w:r>
    <w:r w:rsidDel="00000000" w:rsidR="00000000" w:rsidRPr="00000000">
      <w:rPr>
        <w:sz w:val="16"/>
        <w:szCs w:val="16"/>
        <w:rtl w:val="0"/>
      </w:rPr>
      <w:t xml:space="preserve">098333960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E-mail: </w:t>
    </w:r>
    <w:hyperlink r:id="rId2">
      <w:r w:rsidDel="00000000" w:rsidR="00000000" w:rsidRPr="00000000">
        <w:rPr>
          <w:color w:val="0000ff"/>
          <w:sz w:val="16"/>
          <w:szCs w:val="16"/>
          <w:u w:val="single"/>
          <w:rtl w:val="0"/>
        </w:rPr>
        <w:t xml:space="preserve">info@mindsoft.biz</w:t>
      </w:r>
    </w:hyperlink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Documento de ejemplo | Septiembre 2026</w:t>
    </w:r>
    <w:r w:rsidDel="00000000" w:rsidR="00000000" w:rsidRPr="00000000">
      <w:rPr>
        <w:b w:val="1"/>
        <w:bCs w:val="1"/>
        <w:rtl w:val="0"/>
      </w:rPr>
      <w:t xml:space="preserve"/>
    </w:r>
  </w:p>
  <w:p w:rsidR="00000000" w:rsidDel="00000000" w:rsidP="00000000" w:rsidRDefault="00000000" w:rsidRPr="00000000" w14:paraId="000000C5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firstLine="0"/>
      <w:jc w:val="left"/>
      <w:rPr/>
    </w:pPr>
    <w:r w:rsidDel="00000000" w:rsidR="00000000" w:rsidRPr="00000000">
      <w:rPr/>
      <w:drawing>
        <wp:inline distB="114300" distT="114300" distL="114300" distR="114300">
          <wp:extent cx="5573475" cy="33020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3475" cy="330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0">
    <w:lvl w:ilvl="0">
      <w:start w:val="1"/>
      <w:numFmt w:val="bullet"/>
      <w:lvlText w:val="•"/>
      <w:lvlJc w:val="left"/>
      <w:pPr>
        <w:ind w:left="600" w:hanging="30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00"/>
      </w:pPr>
      <w:rPr>
        <w:u w:val="none"/>
      </w:rPr>
    </w:lvl>
  </w:abstractNum>
  <w:abstractNum w:abstractNumId="91">
    <w:lvl w:ilvl="0">
      <w:start w:val="1"/>
      <w:numFmt w:val="decimal"/>
      <w:lvlText w:val="%1."/>
      <w:lvlJc w:val="left"/>
      <w:pPr>
        <w:ind w:left="600" w:hanging="360"/>
      </w:pPr>
      <w:rPr>
        <w:u w:val="none"/>
      </w:rPr>
    </w:lvl>
  </w:abstractNum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90">
    <w:abstractNumId w:val="90"/>
  </w:num>
  <w:num w:numId="91">
    <w:abstractNumId w:val="91"/>
  </w:num>
  <w:abstractNum w:abstractNumId="92">
    <w:multiLevelType w:val="multilevel"/>
    <w:lvl w:ilvl="0">
      <w:start w:val="1"/>
      <w:numFmt w:val="decimal"/>
      <w:lvlText w:val="%1."/>
      <w:lvlJc w:val="left"/>
      <w:suff w:val="space"/>
      <w:pPr>
        <w:ind w:left="0" w:firstLine="0"/>
      </w:pPr>
    </w:lvl>
    <w:lvl w:ilvl="1">
      <w:start w:val="1"/>
      <w:numFmt w:val="decimal"/>
      <w:lvlText w:val="%1.%2"/>
      <w:lvlJc w:val="left"/>
      <w:suff w:val="space"/>
      <w:pPr>
        <w:ind w:left="0" w:firstLine="0"/>
      </w:pPr>
    </w:lvl>
    <w:lvl w:ilvl="2">
      <w:start w:val="1"/>
      <w:numFmt w:val="decimal"/>
      <w:lvlText w:val="%1.%2.%3"/>
      <w:lvlJc w:val="left"/>
      <w:suff w:val="space"/>
      <w:pPr>
        <w:ind w:left="0" w:firstLine="0"/>
      </w:pPr>
    </w:lvl>
  </w:abstractNum>
  <w:num w:numId="92">
    <w:abstractNumId w:val="92"/>
  </w:num>
  <w:num w:numId="100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updateFields w:val="true"/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18"/>
        <w:szCs w:val="18"/>
        <w:lang w:val="es-ES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lineRule="auto"/>
      <w:jc w:val="center"/>
    </w:pPr>
    <w:rPr>
      <w:b w:val="1"/>
      <w:bCs w:val="1"/>
      <w:color w:val="001689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ind w:right="9"/>
    </w:pPr>
    <w:rPr>
      <w:b w:val="1"/>
      <w:bCs w:val="1"/>
      <w:color w:val="001689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0" w:line="240" w:lineRule="auto"/>
      <w:ind w:left="0" w:right="240" w:firstLine="0"/>
      <w:jc w:val="both"/>
    </w:pPr>
    <w:rPr>
      <w:rFonts w:ascii="Verdana" w:cs="Verdana" w:eastAsia="Verdana" w:hAnsi="Verdana"/>
      <w:b w:val="1"/>
      <w:bCs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Nunito" w:cs="Nunito" w:eastAsia="Nunito" w:hAnsi="Nunito"/>
      <w:b w:val="1"/>
      <w:bCs w:val="1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Verdana" w:cs="Verdana" w:eastAsia="Verdana" w:hAnsi="Verdana"/>
      <w:b w:val="1"/>
      <w:bCs w:val="1"/>
      <w:sz w:val="36"/>
      <w:szCs w:val="3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0" w:line="240" w:lineRule="auto"/>
      <w:ind w:left="709" w:firstLine="0"/>
      <w:jc w:val="both"/>
    </w:pPr>
    <w:rPr>
      <w:rFonts w:ascii="Arial" w:cs="Arial" w:eastAsia="Arial" w:hAnsi="Arial"/>
      <w:b w:val="1"/>
      <w:bCs w:val="1"/>
      <w:color w:val="333399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atchstack.com/database/vulnerability/wordpress/wordpress-6-1-1-unauth-blind-ssrf-vulnerability?_a_id=110" TargetMode="External"/><Relationship Id="rId11" Type="http://schemas.openxmlformats.org/officeDocument/2006/relationships/hyperlink" Target="https://patchstack.com/database/vulnerability/wordpress/wordpress-6-1-1-unauth-blind-ssrf-vulnerability?_a_id=110" TargetMode="External"/><Relationship Id="rId22" Type="http://schemas.openxmlformats.org/officeDocument/2006/relationships/header" Target="header2.xml"/><Relationship Id="rId10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21" Type="http://schemas.openxmlformats.org/officeDocument/2006/relationships/header" Target="header1.xml"/><Relationship Id="rId13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24" Type="http://schemas.openxmlformats.org/officeDocument/2006/relationships/footer" Target="footer2.xml"/><Relationship Id="rId12" Type="http://schemas.openxmlformats.org/officeDocument/2006/relationships/hyperlink" Target="https://patchstack.com/database/vulnerability/elementor/wordpress-elementor-plugin-3-18-0-arbitrary-file-upload-vulnerability?_a_id=110" TargetMode="External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5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14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7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6" Type="http://schemas.openxmlformats.org/officeDocument/2006/relationships/hyperlink" Target="https://patchstack.com/database/vulnerability/wordpress/wordpress-6-1-1-unauth-blind-ssrf-vulnerability?_a_id=110" TargetMode="External"/><Relationship Id="rId5" Type="http://schemas.openxmlformats.org/officeDocument/2006/relationships/styles" Target="styles.xml"/><Relationship Id="rId19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6" Type="http://schemas.openxmlformats.org/officeDocument/2006/relationships/image" Target="media/image2.png"/><Relationship Id="rId18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001" Type="http://schemas.openxmlformats.org/officeDocument/2006/relationships/image" Target="media/mdimg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mind.soft@consultant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