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  <Default Extension="jpeg" ContentType="image/jpeg"/>
  <Default Extension="jpg" ContentType="image/jpeg"/>
  <Default Extension="gif" ContentType="image/gif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spacing w:after="200" w:line="276" w:lineRule="auto"/>
        <w:jc w:val="left"/>
        <w:rPr>
          <w:rFonts w:ascii="Calibri" w:cs="Calibri" w:eastAsia="Calibri" w:hAnsi="Calibri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2385385" cy="1369388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85385" cy="13693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spacing w:after="200" w:line="276" w:lineRule="auto"/>
        <w:jc w:val="center"/>
        <w:rPr>
          <w:rFonts w:ascii="Calibri" w:cs="Calibri" w:eastAsia="Calibri" w:hAnsi="Calibri"/>
          <w:color w:val="001689"/>
          <w:sz w:val="22"/>
          <w:szCs w:val="22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spacing w:after="200" w:line="276" w:lineRule="auto"/>
        <w:jc w:val="left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spacing w:after="200" w:line="276" w:lineRule="auto"/>
        <w:jc w:val="left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spacing w:line="360" w:lineRule="auto"/>
        <w:ind w:left="0" w:firstLine="0"/>
        <w:jc w:val="center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Reporte</w:t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Documento de ejemplo - formato Mindsoft</w:t>
      </w:r>
    </w:p>
    <w:p>
      <w:pPr>
        <w:spacing w:line="360" w:lineRule="auto"/>
        <w:jc w:val="center"/>
        <w:rPr>
          <w:rFonts w:ascii="Arial" w:cs="Arial" w:hAnsi="Arial"/>
          <w:color w:val="666666"/>
          <w:sz w:val="22"/>
          <w:szCs w:val="22"/>
        </w:rPr>
      </w:pPr>
      <w:r>
        <w:rPr>
          <w:rFonts w:ascii="Arial" w:cs="Arial" w:hAnsi="Arial"/>
          <w:color w:val="666666"/>
          <w:sz w:val="22"/>
          <w:szCs w:val="22"/>
          <w:rtl w:val="0"/>
        </w:rPr>
        <w:t xml:space="preserve">Demostracion del generador · mindsoft.biz · Septiembre 2026</w:t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>
        <w:br w:type="page"/>
      </w:r>
      <w:r>
        <w:rPr>
          <w:rtl w:val="0"/>
        </w:rPr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Indice</w:t>
      </w:r>
    </w:p>
    <w:p>
      <w:pPr>
        <w:spacing w:after="120" w:line="264" w:lineRule="auto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sz w:val="20"/>
          <w:szCs w:val="20"/>
        </w:rPr>
        <w:t xml:space="preserve">Abra el documento en Word para armar el indice, o pulse F9 sobre esta linea.</w:t>
      </w:r>
      <w:r>
        <w:fldChar w:fldCharType="end"/>
      </w:r>
    </w:p>
    <w:p>
      <w:pPr>
        <w:spacing w:line="264" w:lineRule="auto"/>
      </w:pPr>
      <w:r>
        <w:br w:type="page"/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Resumen ejecutivo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Este documento existe para mostrar cada elemento que el generador sabe producir. El texto corrido sale en Verdana 10 puntos, justificado, con el interlineado de la plantilla de la casa.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Se puede usar </w:t>
      </w:r>
      <w:r>
        <w:rPr>
          <w:b w:val="1"/>
          <w:bCs w:val="1"/>
          <w:sz w:val="20"/>
          <w:szCs w:val="20"/>
          <w:rtl w:val="0"/>
        </w:rPr>
        <w:t xml:space="preserve">negrita</w:t>
      </w:r>
      <w:r>
        <w:rPr>
          <w:sz w:val="20"/>
          <w:szCs w:val="20"/>
          <w:rtl w:val="0"/>
        </w:rPr>
        <w:t xml:space="preserve">, </w:t>
      </w:r>
      <w:r>
        <w:rPr>
          <w:i w:val="1"/>
          <w:iCs w:val="1"/>
          <w:sz w:val="20"/>
          <w:szCs w:val="20"/>
          <w:rtl w:val="0"/>
        </w:rPr>
        <w:t xml:space="preserve">cursiva</w:t>
      </w:r>
      <w:r>
        <w:rPr>
          <w:sz w:val="20"/>
          <w:szCs w:val="20"/>
          <w:rtl w:val="0"/>
        </w:rPr>
        <w:t xml:space="preserve"> y </w:t>
      </w:r>
      <w:r>
        <w:rPr>
          <w:rFonts w:ascii="Consolas" w:cs="Consolas" w:hAnsi="Consolas"/>
          <w:sz w:val="18"/>
          <w:szCs w:val="18"/>
          <w:rtl w:val="0"/>
        </w:rPr>
        <w:t xml:space="preserve">codigo en linea</w:t>
      </w:r>
      <w:r>
        <w:rPr>
          <w:sz w:val="20"/>
          <w:szCs w:val="20"/>
          <w:rtl w:val="0"/>
        </w:rPr>
        <w:t xml:space="preserve">, y todo eso se traduce a los runs correspondientes del formato.</w:t>
      </w:r>
    </w:p>
    <w:p>
      <w:pPr>
        <w:pageBreakBefore w:val="0"/>
        <w:spacing w:after="60" w:line="264" w:lineRule="auto"/>
      </w:pPr>
      <w:r>
        <w:rPr>
          <w:b w:val="1"/>
          <w:bCs w:val="1"/>
          <w:sz w:val="22"/>
          <w:szCs w:val="22"/>
          <w:rtl w:val="0"/>
        </w:rPr>
        <w:t xml:space="preserve">Un subtitulo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Los subtitulos van en negrita de 11 puntos y no entran al indice, para que el indice liste solo las secciones.</w:t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Listas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vinetas usan la numeracion de la plantilla: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Primer elemento de la lista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Segundo elemento, con </w:t>
      </w:r>
      <w:r>
        <w:rPr>
          <w:b w:val="1"/>
          <w:bCs w:val="1"/>
          <w:sz w:val="20"/>
          <w:szCs w:val="20"/>
          <w:rtl w:val="0"/>
        </w:rPr>
        <w:t xml:space="preserve">algo en negrita</w:t>
      </w:r>
      <w:r>
        <w:rPr>
          <w:sz w:val="20"/>
          <w:szCs w:val="20"/>
          <w:rtl w:val="0"/>
        </w:rPr>
        <w:t xml:space="preserve"> adentro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Tercer elemento que menciona un archivo como </w:t>
      </w:r>
      <w:r>
        <w:rPr>
          <w:rFonts w:ascii="Consolas" w:cs="Consolas" w:hAnsi="Consolas"/>
          <w:sz w:val="18"/>
          <w:szCs w:val="18"/>
          <w:rtl w:val="0"/>
        </w:rPr>
        <w:t xml:space="preserve">config.php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Y las numeradas se ven asi:</w:t>
      </w:r>
    </w:p>
    <w:p>
      <w:pPr>
        <w:pStyle w:val="Normal"/>
        <w:numPr>
          <w:ilvl w:val="0"/>
          <w:numId w:val="91"/>
        </w:numPr>
        <w:spacing w:after="80" w:line="264" w:lineRule="auto"/>
      </w:pPr>
      <w:r>
        <w:rPr>
          <w:sz w:val="20"/>
          <w:szCs w:val="20"/>
          <w:rtl w:val="0"/>
        </w:rPr>
        <w:t xml:space="preserve">Primer paso del procedimiento</w:t>
      </w:r>
    </w:p>
    <w:p>
      <w:pPr>
        <w:pStyle w:val="Normal"/>
        <w:numPr>
          <w:ilvl w:val="0"/>
          <w:numId w:val="91"/>
        </w:numPr>
        <w:spacing w:after="80" w:line="264" w:lineRule="auto"/>
      </w:pPr>
      <w:r>
        <w:rPr>
          <w:sz w:val="20"/>
          <w:szCs w:val="20"/>
          <w:rtl w:val="0"/>
        </w:rPr>
        <w:t xml:space="preserve">Segundo paso</w:t>
      </w:r>
    </w:p>
    <w:p>
      <w:pPr>
        <w:pStyle w:val="Normal"/>
        <w:numPr>
          <w:ilvl w:val="0"/>
          <w:numId w:val="91"/>
        </w:numPr>
        <w:spacing w:after="80" w:line="264" w:lineRule="auto"/>
      </w:pPr>
      <w:r>
        <w:rPr>
          <w:sz w:val="20"/>
          <w:szCs w:val="20"/>
          <w:rtl w:val="0"/>
        </w:rPr>
        <w:t xml:space="preserve">Tercer paso</w:t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Tablas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columnas se reparten solas segun cuanto texto lleva cada una:</w:t>
      </w:r>
    </w:p>
    <w:tbl>
      <w:tblPr>
        <w:tblW w:w="8770" w:type="dxa"/>
        <w:tblLayout w:type="fixed"/>
        <w:tblBorders>
          <w:top w:val="single" w:sz="4" w:color="BFC7DA"/>
          <w:left w:val="single" w:sz="4" w:color="BFC7DA"/>
          <w:bottom w:val="single" w:sz="4" w:color="BFC7DA"/>
          <w:right w:val="single" w:sz="4" w:color="BFC7DA"/>
          <w:insideH w:val="single" w:sz="4" w:color="BFC7DA"/>
          <w:insideV w:val="single" w:sz="4" w:color="BFC7DA"/>
        </w:tblBorders>
      </w:tblPr>
      <w:tblGrid>
        <w:gridCol w:w="2885"/>
        <w:gridCol w:w="1275"/>
        <w:gridCol w:w="4610"/>
      </w:tblGrid>
      <w:tr>
        <w:trPr>
          <w:tblHeader/>
        </w:trPr>
        <w:tc>
          <w:tcPr>
            <w:tcW w:w="288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Metrica</w:t>
            </w:r>
          </w:p>
        </w:tc>
        <w:tc>
          <w:tcPr>
            <w:tcW w:w="127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  <w:tc>
          <w:tcPr>
            <w:tcW w:w="4610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Nota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Correos revisados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3.362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Sobre cuatro anos de operacion</w:t>
            </w:r>
          </w:p>
        </w:tc>
      </w:tr>
      <w:tr>
        <w:tc>
          <w:tcPr>
            <w:tcW w:w="2885" w:type="dxa"/>
            <w:shd w:val="clear" w:fill="EEF1F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Cuentas alcanzadas</w:t>
            </w:r>
          </w:p>
        </w:tc>
        <w:tc>
          <w:tcPr>
            <w:tcW w:w="1275" w:type="dxa"/>
            <w:shd w:val="clear" w:fill="EEF1F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687</w:t>
            </w:r>
          </w:p>
        </w:tc>
        <w:tc>
          <w:tcPr>
            <w:tcW w:w="4610" w:type="dxa"/>
            <w:shd w:val="clear" w:fill="EEF1F8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Excluye cuentas internas de prueba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Proporcion afectada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100 %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De los correos de devolucion</w:t>
            </w:r>
          </w:p>
        </w:tc>
      </w:tr>
    </w:tbl>
    <w:p>
      <w:pPr>
        <w:pageBreakBefore w:val="0"/>
        <w:spacing w:after="40" w:line="264" w:lineRule="auto"/>
      </w:pPr>
      <w:r>
        <w:rPr>
          <w:sz w:val="8"/>
          <w:szCs w:val="8"/>
          <w:rtl w:val="0"/>
        </w:rPr>
        <w:t xml:space="preserve"/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Imagenes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capturas se escalan al ancho util de la pagina:</w:t>
      </w:r>
    </w:p>
    <w:p>
      <w:pPr>
        <w:pageBreakBefore w:val="0"/>
        <w:spacing w:after="60" w:line="264" w:lineRule="auto"/>
        <w:jc w:val="center"/>
      </w:pPr>
      <w:r>
        <w:rPr/>
        <w:drawing>
          <wp:inline distB="114300" distT="114300" distL="114300" distR="114300">
            <wp:extent cx="5573430" cy="1672029"/>
            <wp:effectExtent b="0" l="0" r="0" t="0"/>
            <wp:docPr id="101" name="imagen1"/>
            <a:graphic>
              <a:graphicData uri="http://schemas.openxmlformats.org/drawingml/2006/picture">
                <pic:pic>
                  <pic:nvPicPr>
                    <pic:cNvPr id="0" name="imagen1"/>
                    <pic:cNvPicPr preferRelativeResize="0"/>
                  </pic:nvPicPr>
                  <pic:blipFill>
                    <a:blip r:embed="rId10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3430" cy="16720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pageBreakBefore w:val="0"/>
        <w:spacing w:after="120" w:line="264" w:lineRule="auto"/>
        <w:jc w:val="center"/>
      </w:pPr>
      <w:r>
        <w:rPr>
          <w:i w:val="1"/>
          <w:iCs w:val="1"/>
          <w:color w:val="666666"/>
          <w:sz w:val="16"/>
          <w:szCs w:val="16"/>
          <w:rtl w:val="0"/>
        </w:rPr>
        <w:t xml:space="preserve">Figura 1. Captura de ejemplo</w:t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Reglas de la casa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Esta seccion trae a proposito los caracteres prohibidos -guiones largos como este- y comillas "tipográficas" junto a otras 'simples', más puntos suspensivos... El generador los corrige solo al construir el documento.</w:t>
      </w:r>
    </w:p>
    <w:p>
      <w:pPr>
        <w:spacing w:line="264" w:lineRule="auto"/>
      </w:pPr>
      <w:r>
        <w:br w:type="page"/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Despues de un salto de pagina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 linea de tres guiones fuerza un salto de pagina.</w:t>
      </w:r>
    </w:p>
    <w:sectPr>
      <w:headerReference r:id="rId21" w:type="default"/>
      <w:headerReference r:id="rId22" w:type="first"/>
      <w:footerReference r:id="rId23" w:type="default"/>
      <w:footerReference r:id="rId24" w:type="first"/>
      <w:pgSz w:h="16838" w:w="11906" w:orient="portrait"/>
      <w:pgMar w:bottom="1644" w:top="2097" w:left="1700" w:right="142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Arial"/>
  <w:font w:name="Georgia"/>
  <w:font w:name="Calibri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</w: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123325</wp:posOffset>
              </wp:positionH>
              <wp:positionV relativeFrom="paragraph">
                <wp:posOffset>209550</wp:posOffset>
              </wp:positionV>
              <wp:extent cx="124460" cy="320675"/>
              <wp:effectExtent b="0" l="0" r="0" t="0"/>
              <wp:wrapSquare wrapText="bothSides" distB="0" distT="0" distL="114300" distR="114300"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88760" y="3624660"/>
                        <a:ext cx="114480" cy="310680"/>
                      </a:xfrm>
                      <a:prstGeom prst="rect">
                        <a:avLst/>
                      </a:prstGeom>
                      <a:solidFill>
                        <a:srgbClr val="FF4438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123325</wp:posOffset>
              </wp:positionH>
              <wp:positionV relativeFrom="paragraph">
                <wp:posOffset>209550</wp:posOffset>
              </wp:positionV>
              <wp:extent cx="124460" cy="320675"/>
              <wp:effectExtent b="0" l="0" r="0" t="0"/>
              <wp:wrapSquare wrapText="bothSides" distB="0" distT="0" distL="114300" distR="114300"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4460" cy="320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C8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9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Hernández de Girón OE3-30 y Av. América – Quito, Ecuador     </w:t>
    </w:r>
  </w:p>
  <w:p w:rsidR="00000000" w:rsidDel="00000000" w:rsidP="00000000" w:rsidRDefault="00000000" w:rsidRPr="00000000" w14:paraId="000000CA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            Teléfono:02  2447861 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|</w:t>
    </w:r>
    <w:r w:rsidDel="00000000" w:rsidR="00000000" w:rsidRPr="00000000">
      <w:rPr>
        <w:sz w:val="16"/>
        <w:szCs w:val="16"/>
        <w:rtl w:val="0"/>
      </w:rPr>
      <w:t xml:space="preserve"> Mobile: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 </w:t>
    </w:r>
    <w:r w:rsidDel="00000000" w:rsidR="00000000" w:rsidRPr="00000000">
      <w:rPr>
        <w:sz w:val="16"/>
        <w:szCs w:val="16"/>
        <w:rtl w:val="0"/>
      </w:rPr>
      <w:t xml:space="preserve">098333960 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|</w:t>
    </w:r>
    <w:r w:rsidDel="00000000" w:rsidR="00000000" w:rsidRPr="00000000">
      <w:rPr>
        <w:sz w:val="16"/>
        <w:szCs w:val="16"/>
        <w:rtl w:val="0"/>
      </w:rPr>
      <w:t xml:space="preserve"> E-mail: </w:t>
    </w:r>
    <w:hyperlink r:id="rId2">
      <w:r w:rsidDel="00000000" w:rsidR="00000000" w:rsidRPr="00000000">
        <w:rPr>
          <w:color w:val="0000ff"/>
          <w:sz w:val="16"/>
          <w:szCs w:val="16"/>
          <w:u w:val="single"/>
          <w:rtl w:val="0"/>
        </w:rPr>
        <w:t xml:space="preserve">info@mindsoft.biz</w:t>
      </w:r>
    </w:hyperlink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pageBreakBefore w:val="0"/>
      <w:widowControl w:val="0"/>
      <w:tabs>
        <w:tab w:val="center" w:leader="none" w:pos="4320"/>
        <w:tab w:val="right" w:leader="none" w:pos="8640"/>
      </w:tabs>
      <w:jc w:val="left"/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Documento de ejemplo | Septiembre 2026</w:t>
    </w:r>
    <w:r w:rsidDel="00000000" w:rsidR="00000000" w:rsidRPr="00000000">
      <w:rPr>
        <w:b w:val="1"/>
        <w:bCs w:val="1"/>
        <w:rtl w:val="0"/>
      </w:rPr>
      <w:t xml:space="preserve"/>
    </w:r>
  </w:p>
  <w:p w:rsidR="00000000" w:rsidDel="00000000" w:rsidP="00000000" w:rsidRDefault="00000000" w:rsidRPr="00000000" w14:paraId="000000C5">
    <w:pPr>
      <w:pageBreakBefore w:val="0"/>
      <w:widowControl w:val="0"/>
      <w:tabs>
        <w:tab w:val="center" w:leader="none" w:pos="4320"/>
        <w:tab w:val="right" w:leader="none" w:pos="8640"/>
      </w:tabs>
      <w:jc w:val="left"/>
      <w:rPr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firstLine="0"/>
      <w:jc w:val="left"/>
      <w:rPr/>
    </w:pPr>
    <w:r w:rsidDel="00000000" w:rsidR="00000000" w:rsidRPr="00000000">
      <w:rPr/>
      <w:drawing>
        <wp:inline distB="114300" distT="114300" distL="114300" distR="114300">
          <wp:extent cx="5573475" cy="330200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3475" cy="330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90">
    <w:lvl w:ilvl="0">
      <w:start w:val="1"/>
      <w:numFmt w:val="bullet"/>
      <w:lvlText w:val="•"/>
      <w:lvlJc w:val="left"/>
      <w:pPr>
        <w:ind w:left="600" w:hanging="300"/>
      </w:pPr>
      <w:rPr>
        <w:u w:val="none"/>
      </w:rPr>
    </w:lvl>
    <w:lvl w:ilvl="1">
      <w:start w:val="1"/>
      <w:numFmt w:val="bullet"/>
      <w:lvlText w:val="◦"/>
      <w:lvlJc w:val="left"/>
      <w:pPr>
        <w:ind w:left="1200" w:hanging="300"/>
      </w:pPr>
      <w:rPr>
        <w:u w:val="none"/>
      </w:rPr>
    </w:lvl>
  </w:abstractNum>
  <w:abstractNum w:abstractNumId="91">
    <w:lvl w:ilvl="0">
      <w:start w:val="1"/>
      <w:numFmt w:val="decimal"/>
      <w:lvlText w:val="%1."/>
      <w:lvlJc w:val="left"/>
      <w:pPr>
        <w:ind w:left="600" w:hanging="360"/>
      </w:pPr>
      <w:rPr>
        <w:u w:val="none"/>
      </w:rPr>
    </w:lvl>
  </w:abstractNum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updateFields w:val="true"/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sz w:val="18"/>
        <w:szCs w:val="18"/>
        <w:lang w:val="es-ES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lineRule="auto"/>
      <w:jc w:val="center"/>
    </w:pPr>
    <w:rPr>
      <w:b w:val="1"/>
      <w:bCs w:val="1"/>
      <w:color w:val="001689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ind w:right="9"/>
    </w:pPr>
    <w:rPr>
      <w:b w:val="1"/>
      <w:bCs w:val="1"/>
      <w:color w:val="001689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0" w:before="0" w:line="240" w:lineRule="auto"/>
      <w:ind w:left="0" w:right="240" w:firstLine="0"/>
      <w:jc w:val="both"/>
    </w:pPr>
    <w:rPr>
      <w:rFonts w:ascii="Verdana" w:cs="Verdana" w:eastAsia="Verdana" w:hAnsi="Verdana"/>
      <w:b w:val="1"/>
      <w:bCs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0" w:line="240" w:lineRule="auto"/>
      <w:jc w:val="both"/>
    </w:pPr>
    <w:rPr>
      <w:rFonts w:ascii="Nunito" w:cs="Nunito" w:eastAsia="Nunito" w:hAnsi="Nunito"/>
      <w:b w:val="1"/>
      <w:bCs w:val="1"/>
      <w:sz w:val="18"/>
      <w:szCs w:val="1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0" w:line="240" w:lineRule="auto"/>
      <w:jc w:val="both"/>
    </w:pPr>
    <w:rPr>
      <w:rFonts w:ascii="Verdana" w:cs="Verdana" w:eastAsia="Verdana" w:hAnsi="Verdana"/>
      <w:b w:val="1"/>
      <w:bCs w:val="1"/>
      <w:sz w:val="36"/>
      <w:szCs w:val="3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0" w:line="240" w:lineRule="auto"/>
      <w:ind w:left="709" w:firstLine="0"/>
      <w:jc w:val="both"/>
    </w:pPr>
    <w:rPr>
      <w:rFonts w:ascii="Arial" w:cs="Arial" w:eastAsia="Arial" w:hAnsi="Arial"/>
      <w:b w:val="1"/>
      <w:bCs w:val="1"/>
      <w:color w:val="333399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patchstack.com/database/vulnerability/wordpress/wordpress-6-1-1-unauth-blind-ssrf-vulnerability?_a_id=110" TargetMode="External"/><Relationship Id="rId11" Type="http://schemas.openxmlformats.org/officeDocument/2006/relationships/hyperlink" Target="https://patchstack.com/database/vulnerability/wordpress/wordpress-6-1-1-unauth-blind-ssrf-vulnerability?_a_id=110" TargetMode="External"/><Relationship Id="rId22" Type="http://schemas.openxmlformats.org/officeDocument/2006/relationships/header" Target="header2.xml"/><Relationship Id="rId10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21" Type="http://schemas.openxmlformats.org/officeDocument/2006/relationships/header" Target="header1.xml"/><Relationship Id="rId13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24" Type="http://schemas.openxmlformats.org/officeDocument/2006/relationships/footer" Target="footer2.xml"/><Relationship Id="rId12" Type="http://schemas.openxmlformats.org/officeDocument/2006/relationships/hyperlink" Target="https://patchstack.com/database/vulnerability/elementor/wordpress-elementor-plugin-3-18-0-arbitrary-file-upload-vulnerability?_a_id=110" TargetMode="External"/><Relationship Id="rId23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15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14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17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16" Type="http://schemas.openxmlformats.org/officeDocument/2006/relationships/hyperlink" Target="https://patchstack.com/database/vulnerability/wordpress/wordpress-6-1-1-unauth-blind-ssrf-vulnerability?_a_id=110" TargetMode="External"/><Relationship Id="rId5" Type="http://schemas.openxmlformats.org/officeDocument/2006/relationships/styles" Target="styles.xml"/><Relationship Id="rId19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6" Type="http://schemas.openxmlformats.org/officeDocument/2006/relationships/image" Target="media/image2.png"/><Relationship Id="rId18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7" Type="http://schemas.openxmlformats.org/officeDocument/2006/relationships/image" Target="media/image3.png"/><Relationship Id="rId8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1001" Type="http://schemas.openxmlformats.org/officeDocument/2006/relationships/image" Target="media/mdimg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mind.soft@consultant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