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  <Default Extension="jpeg" ContentType="image/jpeg"/>
  <Default Extension="jpg" ContentType="image/jpeg"/>
  <Default Extension="gif" ContentType="image/gif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spacing w:after="200" w:line="276" w:lineRule="auto"/>
        <w:jc w:val="left"/>
        <w:rPr>
          <w:rFonts w:ascii="Calibri" w:cs="Calibri" w:eastAsia="Calibri" w:hAnsi="Calibri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after="200" w:line="276" w:lineRule="auto"/>
        <w:jc w:val="center"/>
        <w:rPr>
          <w:rFonts w:ascii="Calibri" w:cs="Calibri" w:eastAsia="Calibri" w:hAnsi="Calibri"/>
          <w:sz w:val="22"/>
          <w:szCs w:val="22"/>
        </w:rPr>
      </w:pPr>
      <w:r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2385385" cy="1369388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85385" cy="13693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after="200" w:line="276" w:lineRule="auto"/>
        <w:jc w:val="center"/>
        <w:rPr>
          <w:rFonts w:ascii="Calibri" w:cs="Calibri" w:eastAsia="Calibri" w:hAnsi="Calibri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spacing w:after="200" w:line="276" w:lineRule="auto"/>
        <w:jc w:val="center"/>
        <w:rPr>
          <w:rFonts w:ascii="Calibri" w:cs="Calibri" w:eastAsia="Calibri" w:hAnsi="Calibri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spacing w:after="200" w:line="276" w:lineRule="auto"/>
        <w:jc w:val="center"/>
        <w:rPr>
          <w:rFonts w:ascii="Calibri" w:cs="Calibri" w:eastAsia="Calibri" w:hAnsi="Calibri"/>
          <w:color w:val="001689"/>
          <w:sz w:val="22"/>
          <w:szCs w:val="22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spacing w:after="200" w:line="276" w:lineRule="auto"/>
        <w:jc w:val="left"/>
        <w:rPr>
          <w:rFonts w:ascii="Arial" w:cs="Arial" w:eastAsia="Arial" w:hAnsi="Arial"/>
          <w:b w:val="1"/>
          <w:bCs w:val="1"/>
          <w:sz w:val="26"/>
          <w:szCs w:val="26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spacing w:after="200" w:line="276" w:lineRule="auto"/>
        <w:jc w:val="left"/>
        <w:rPr>
          <w:rFonts w:ascii="Arial" w:cs="Arial" w:eastAsia="Arial" w:hAnsi="Arial"/>
          <w:b w:val="1"/>
          <w:bCs w:val="1"/>
          <w:sz w:val="26"/>
          <w:szCs w:val="26"/>
        </w:rPr>
      </w:pPr>
      <w:r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spacing w:line="360" w:lineRule="auto"/>
        <w:ind w:left="0" w:firstLine="0"/>
        <w:jc w:val="center"/>
        <w:rPr>
          <w:rFonts w:ascii="Arial" w:cs="Arial" w:eastAsia="Arial" w:hAnsi="Arial"/>
          <w:b w:val="1"/>
          <w:bCs w:val="1"/>
          <w:sz w:val="26"/>
          <w:szCs w:val="26"/>
        </w:rPr>
      </w:pPr>
      <w:r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Reporte</w:t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Documento de ejemplo - formato Mindsoft</w:t>
      </w:r>
    </w:p>
    <w:p>
      <w:pPr>
        <w:spacing w:line="360" w:lineRule="auto"/>
        <w:jc w:val="center"/>
        <w:rPr>
          <w:rFonts w:ascii="Arial" w:cs="Arial" w:hAnsi="Arial"/>
          <w:color w:val="666666"/>
          <w:sz w:val="22"/>
          <w:szCs w:val="22"/>
        </w:rPr>
      </w:pPr>
      <w:r>
        <w:rPr>
          <w:rFonts w:ascii="Arial" w:cs="Arial" w:hAnsi="Arial"/>
          <w:color w:val="666666"/>
          <w:sz w:val="22"/>
          <w:szCs w:val="22"/>
          <w:rtl w:val="0"/>
        </w:rPr>
        <w:t xml:space="preserve">Demostracion del generador · mindsoft.biz · Septiembre 2026</w:t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>
        <w:br w:type="page"/>
      </w:r>
      <w:r>
        <w:rPr>
          <w:rtl w:val="0"/>
        </w:rPr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Indice</w:t>
      </w:r>
    </w:p>
    <w:p>
      <w:pPr>
        <w:spacing w:after="120" w:line="264" w:lineRule="auto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sz w:val="20"/>
          <w:szCs w:val="20"/>
        </w:rPr>
        <w:t xml:space="preserve">Abra el documento en Word para armar el indice, o pulse F9 sobre esta linea.</w:t>
      </w:r>
      <w:r>
        <w:fldChar w:fldCharType="end"/>
      </w:r>
    </w:p>
    <w:p>
      <w:pPr>
        <w:spacing w:line="264" w:lineRule="auto"/>
      </w:pPr>
      <w:r>
        <w:br w:type="page"/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Resumen ejecutivo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Este documento existe para mostrar cada elemento que el generador sabe producir. El texto corrido sale en Verdana 10 puntos, justificado, con el interlineado de la plantilla de la casa.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Se puede usar </w:t>
      </w:r>
      <w:r>
        <w:rPr>
          <w:b w:val="1"/>
          <w:bCs w:val="1"/>
          <w:sz w:val="20"/>
          <w:szCs w:val="20"/>
          <w:rtl w:val="0"/>
        </w:rPr>
        <w:t xml:space="preserve">negrita</w:t>
      </w:r>
      <w:r>
        <w:rPr>
          <w:sz w:val="20"/>
          <w:szCs w:val="20"/>
          <w:rtl w:val="0"/>
        </w:rPr>
        <w:t xml:space="preserve">, </w:t>
      </w:r>
      <w:r>
        <w:rPr>
          <w:i w:val="1"/>
          <w:iCs w:val="1"/>
          <w:sz w:val="20"/>
          <w:szCs w:val="20"/>
          <w:rtl w:val="0"/>
        </w:rPr>
        <w:t xml:space="preserve">cursiva</w:t>
      </w:r>
      <w:r>
        <w:rPr>
          <w:sz w:val="20"/>
          <w:szCs w:val="20"/>
          <w:rtl w:val="0"/>
        </w:rPr>
        <w:t xml:space="preserve"> y </w:t>
      </w:r>
      <w:r>
        <w:rPr>
          <w:rFonts w:ascii="Consolas" w:cs="Consolas" w:hAnsi="Consolas"/>
          <w:sz w:val="18"/>
          <w:szCs w:val="18"/>
          <w:rtl w:val="0"/>
        </w:rPr>
        <w:t xml:space="preserve">codigo en linea</w:t>
      </w:r>
      <w:r>
        <w:rPr>
          <w:sz w:val="20"/>
          <w:szCs w:val="20"/>
          <w:rtl w:val="0"/>
        </w:rPr>
        <w:t xml:space="preserve">, y todo eso se traduce a los runs correspondientes del formato.</w:t>
      </w:r>
    </w:p>
    <w:p>
      <w:pPr>
        <w:pageBreakBefore w:val="0"/>
        <w:spacing w:after="60" w:line="264" w:lineRule="auto"/>
      </w:pPr>
      <w:r>
        <w:rPr>
          <w:b w:val="1"/>
          <w:bCs w:val="1"/>
          <w:sz w:val="22"/>
          <w:szCs w:val="22"/>
          <w:rtl w:val="0"/>
        </w:rPr>
        <w:t xml:space="preserve">Un subtitulo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Los subtitulos van en negrita de 11 puntos y no entran al indice, para que el indice liste solo las secciones.</w:t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Listas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vinetas usan la numeracion de la plantilla:</w:t>
      </w:r>
    </w:p>
    <w:p>
      <w:pPr>
        <w:pStyle w:val="Normal"/>
        <w:numPr>
          <w:ilvl w:val="0"/>
          <w:numId w:val="90"/>
        </w:numPr>
        <w:spacing w:after="60" w:line="264" w:lineRule="auto"/>
      </w:pPr>
      <w:r>
        <w:rPr>
          <w:sz w:val="20"/>
          <w:szCs w:val="20"/>
          <w:rtl w:val="0"/>
        </w:rPr>
        <w:t xml:space="preserve">Primer elemento de la lista</w:t>
      </w:r>
    </w:p>
    <w:p>
      <w:pPr>
        <w:pStyle w:val="Normal"/>
        <w:numPr>
          <w:ilvl w:val="0"/>
          <w:numId w:val="90"/>
        </w:numPr>
        <w:spacing w:after="60" w:line="264" w:lineRule="auto"/>
      </w:pPr>
      <w:r>
        <w:rPr>
          <w:sz w:val="20"/>
          <w:szCs w:val="20"/>
          <w:rtl w:val="0"/>
        </w:rPr>
        <w:t xml:space="preserve">Segundo elemento, con </w:t>
      </w:r>
      <w:r>
        <w:rPr>
          <w:b w:val="1"/>
          <w:bCs w:val="1"/>
          <w:sz w:val="20"/>
          <w:szCs w:val="20"/>
          <w:rtl w:val="0"/>
        </w:rPr>
        <w:t xml:space="preserve">algo en negrita</w:t>
      </w:r>
      <w:r>
        <w:rPr>
          <w:sz w:val="20"/>
          <w:szCs w:val="20"/>
          <w:rtl w:val="0"/>
        </w:rPr>
        <w:t xml:space="preserve"> adentro</w:t>
      </w:r>
    </w:p>
    <w:p>
      <w:pPr>
        <w:pStyle w:val="Normal"/>
        <w:numPr>
          <w:ilvl w:val="0"/>
          <w:numId w:val="90"/>
        </w:numPr>
        <w:spacing w:after="60" w:line="264" w:lineRule="auto"/>
      </w:pPr>
      <w:r>
        <w:rPr>
          <w:sz w:val="20"/>
          <w:szCs w:val="20"/>
          <w:rtl w:val="0"/>
        </w:rPr>
        <w:t xml:space="preserve">Tercer elemento que menciona un archivo como </w:t>
      </w:r>
      <w:r>
        <w:rPr>
          <w:rFonts w:ascii="Consolas" w:cs="Consolas" w:hAnsi="Consolas"/>
          <w:sz w:val="18"/>
          <w:szCs w:val="18"/>
          <w:rtl w:val="0"/>
        </w:rPr>
        <w:t xml:space="preserve">config.php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Y las numeradas se ven asi:</w:t>
      </w:r>
    </w:p>
    <w:p>
      <w:pPr>
        <w:pStyle w:val="Normal"/>
        <w:numPr>
          <w:ilvl w:val="0"/>
          <w:numId w:val="91"/>
        </w:numPr>
        <w:spacing w:after="80" w:line="264" w:lineRule="auto"/>
      </w:pPr>
      <w:r>
        <w:rPr>
          <w:sz w:val="20"/>
          <w:szCs w:val="20"/>
          <w:rtl w:val="0"/>
        </w:rPr>
        <w:t xml:space="preserve">Primer paso del procedimiento</w:t>
      </w:r>
    </w:p>
    <w:p>
      <w:pPr>
        <w:pStyle w:val="Normal"/>
        <w:numPr>
          <w:ilvl w:val="0"/>
          <w:numId w:val="91"/>
        </w:numPr>
        <w:spacing w:after="80" w:line="264" w:lineRule="auto"/>
      </w:pPr>
      <w:r>
        <w:rPr>
          <w:sz w:val="20"/>
          <w:szCs w:val="20"/>
          <w:rtl w:val="0"/>
        </w:rPr>
        <w:t xml:space="preserve">Segundo paso</w:t>
      </w:r>
    </w:p>
    <w:p>
      <w:pPr>
        <w:pStyle w:val="Normal"/>
        <w:numPr>
          <w:ilvl w:val="0"/>
          <w:numId w:val="91"/>
        </w:numPr>
        <w:spacing w:after="80" w:line="264" w:lineRule="auto"/>
      </w:pPr>
      <w:r>
        <w:rPr>
          <w:sz w:val="20"/>
          <w:szCs w:val="20"/>
          <w:rtl w:val="0"/>
        </w:rPr>
        <w:t xml:space="preserve">Tercer paso</w:t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Tablas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columnas se reparten solas segun cuanto texto lleva cada una:</w:t>
      </w:r>
    </w:p>
    <w:tbl>
      <w:tblPr>
        <w:tblW w:w="8770" w:type="dxa"/>
        <w:tblLayout w:type="fixed"/>
        <w:tblBorders>
          <w:top w:val="single" w:sz="4" w:color="BFC7DA"/>
          <w:left w:val="single" w:sz="4" w:color="BFC7DA"/>
          <w:bottom w:val="single" w:sz="4" w:color="BFC7DA"/>
          <w:right w:val="single" w:sz="4" w:color="BFC7DA"/>
          <w:insideH w:val="single" w:sz="4" w:color="BFC7DA"/>
          <w:insideV w:val="single" w:sz="4" w:color="BFC7DA"/>
        </w:tblBorders>
      </w:tblPr>
      <w:tblGrid>
        <w:gridCol w:w="2885"/>
        <w:gridCol w:w="1275"/>
        <w:gridCol w:w="4610"/>
      </w:tblGrid>
      <w:tr>
        <w:trPr>
          <w:tblHeader/>
        </w:trPr>
        <w:tc>
          <w:tcPr>
            <w:tcW w:w="2885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Metrica</w:t>
            </w:r>
          </w:p>
        </w:tc>
        <w:tc>
          <w:tcPr>
            <w:tcW w:w="1275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  <w:tc>
          <w:tcPr>
            <w:tcW w:w="4610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Nota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Correos revisados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3.362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Sobre cuatro anos de operacion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Cuentas alcanzadas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687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Excluye cuentas internas de prueba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Proporcion afectada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100 %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</w:pPr>
            <w:r>
              <w:rPr>
                <w:sz w:val="18"/>
                <w:szCs w:val="18"/>
                <w:rtl w:val="0"/>
              </w:rPr>
              <w:t xml:space="preserve">De los correos de devolucion</w:t>
            </w:r>
          </w:p>
        </w:tc>
      </w:tr>
    </w:tbl>
    <w:p>
      <w:pPr>
        <w:pageBreakBefore w:val="0"/>
        <w:spacing w:after="40" w:line="264" w:lineRule="auto"/>
      </w:pPr>
      <w:r>
        <w:rPr>
          <w:sz w:val="8"/>
          <w:szCs w:val="8"/>
          <w:rtl w:val="0"/>
        </w:rPr>
        <w:t xml:space="preserve"/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Imagenes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capturas se escalan al ancho util de la pagina:</w:t>
      </w:r>
    </w:p>
    <w:p>
      <w:pPr>
        <w:pageBreakBefore w:val="0"/>
        <w:spacing w:after="60" w:line="264" w:lineRule="auto"/>
        <w:jc w:val="center"/>
      </w:pPr>
      <w:r>
        <w:rPr/>
        <w:drawing>
          <wp:inline distB="114300" distT="114300" distL="114300" distR="114300">
            <wp:extent cx="5573430" cy="1672029"/>
            <wp:effectExtent b="0" l="0" r="0" t="0"/>
            <wp:docPr id="101" name="imagen1"/>
            <a:graphic>
              <a:graphicData uri="http://schemas.openxmlformats.org/drawingml/2006/picture">
                <pic:pic>
                  <pic:nvPicPr>
                    <pic:cNvPr id="0" name="imagen1"/>
                    <pic:cNvPicPr preferRelativeResize="0"/>
                  </pic:nvPicPr>
                  <pic:blipFill>
                    <a:blip r:embed="rId10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73430" cy="16720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pageBreakBefore w:val="0"/>
        <w:spacing w:after="120" w:line="264" w:lineRule="auto"/>
        <w:jc w:val="center"/>
      </w:pPr>
      <w:r>
        <w:rPr>
          <w:i w:val="1"/>
          <w:iCs w:val="1"/>
          <w:color w:val="666666"/>
          <w:sz w:val="16"/>
          <w:szCs w:val="16"/>
          <w:rtl w:val="0"/>
        </w:rPr>
        <w:t xml:space="preserve">Figura 1. Captura de ejemplo</w:t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Reglas de la casa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Esta seccion trae a proposito los caracteres prohibidos -guiones largos como este- y comillas "tipográficas" junto a otras 'simples', más puntos suspensivos... El generador los corrige solo al construir el documento.</w:t>
      </w:r>
    </w:p>
    <w:p>
      <w:pPr>
        <w:spacing w:line="264" w:lineRule="auto"/>
      </w:pPr>
      <w:r>
        <w:br w:type="page"/>
      </w:r>
    </w:p>
    <w:p>
      <w:pPr>
        <w:pStyle w:val="Heading2"/>
        <w:pageBreakBefore w:val="0"/>
        <w:spacing w:before="240" w:line="276" w:lineRule="auto"/>
        <w:rPr/>
      </w:pPr>
      <w:r>
        <w:rPr>
          <w:rtl w:val="0"/>
        </w:rPr>
        <w:t xml:space="preserve">Despues de un salto de pagina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 linea de tres guiones fuerza un salto de pagina.</w:t>
      </w:r>
    </w:p>
    <w:sectPr>
      <w:headerReference r:id="rId21" w:type="default"/>
      <w:headerReference r:id="rId22" w:type="first"/>
      <w:footerReference r:id="rId23" w:type="default"/>
      <w:footerReference r:id="rId24" w:type="first"/>
      <w:pgSz w:h="16838" w:w="11906" w:orient="portrait"/>
      <w:pgMar w:bottom="1644" w:top="2097" w:left="1700" w:right="142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Arial"/>
  <w:font w:name="Georgia"/>
  <w:font w:name="Calibri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</w: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123325</wp:posOffset>
              </wp:positionH>
              <wp:positionV relativeFrom="paragraph">
                <wp:posOffset>209550</wp:posOffset>
              </wp:positionV>
              <wp:extent cx="124460" cy="320675"/>
              <wp:effectExtent b="0" l="0" r="0" t="0"/>
              <wp:wrapSquare wrapText="bothSides" distB="0" distT="0" distL="114300" distR="114300"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88760" y="3624660"/>
                        <a:ext cx="114480" cy="310680"/>
                      </a:xfrm>
                      <a:prstGeom prst="rect">
                        <a:avLst/>
                      </a:prstGeom>
                      <a:solidFill>
                        <a:srgbClr val="FF4438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123325</wp:posOffset>
              </wp:positionH>
              <wp:positionV relativeFrom="paragraph">
                <wp:posOffset>209550</wp:posOffset>
              </wp:positionV>
              <wp:extent cx="124460" cy="320675"/>
              <wp:effectExtent b="0" l="0" r="0" t="0"/>
              <wp:wrapSquare wrapText="bothSides" distB="0" distT="0" distL="114300" distR="114300"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4460" cy="320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C8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9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Hernández de Girón OE3-30 y Av. América – Quito, Ecuador     </w:t>
    </w:r>
  </w:p>
  <w:p w:rsidR="00000000" w:rsidDel="00000000" w:rsidP="00000000" w:rsidRDefault="00000000" w:rsidRPr="00000000" w14:paraId="000000CA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            Teléfono:02  2447861 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|</w:t>
    </w:r>
    <w:r w:rsidDel="00000000" w:rsidR="00000000" w:rsidRPr="00000000">
      <w:rPr>
        <w:sz w:val="16"/>
        <w:szCs w:val="16"/>
        <w:rtl w:val="0"/>
      </w:rPr>
      <w:t xml:space="preserve"> Mobile: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 </w:t>
    </w:r>
    <w:r w:rsidDel="00000000" w:rsidR="00000000" w:rsidRPr="00000000">
      <w:rPr>
        <w:sz w:val="16"/>
        <w:szCs w:val="16"/>
        <w:rtl w:val="0"/>
      </w:rPr>
      <w:t xml:space="preserve">098333960 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|</w:t>
    </w:r>
    <w:r w:rsidDel="00000000" w:rsidR="00000000" w:rsidRPr="00000000">
      <w:rPr>
        <w:sz w:val="16"/>
        <w:szCs w:val="16"/>
        <w:rtl w:val="0"/>
      </w:rPr>
      <w:t xml:space="preserve"> E-mail: </w:t>
    </w:r>
    <w:hyperlink r:id="rId2">
      <w:r w:rsidDel="00000000" w:rsidR="00000000" w:rsidRPr="00000000">
        <w:rPr>
          <w:color w:val="0000ff"/>
          <w:sz w:val="16"/>
          <w:szCs w:val="16"/>
          <w:u w:val="single"/>
          <w:rtl w:val="0"/>
        </w:rPr>
        <w:t xml:space="preserve">info@mindsoft.biz</w:t>
      </w:r>
    </w:hyperlink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4">
    <w:pPr>
      <w:pageBreakBefore w:val="0"/>
      <w:widowControl w:val="0"/>
      <w:tabs>
        <w:tab w:val="center" w:leader="none" w:pos="4320"/>
        <w:tab w:val="right" w:leader="none" w:pos="8640"/>
      </w:tabs>
      <w:jc w:val="left"/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Documento de ejemplo | Septiembre 2026</w:t>
    </w:r>
    <w:r w:rsidDel="00000000" w:rsidR="00000000" w:rsidRPr="00000000">
      <w:rPr>
        <w:b w:val="1"/>
        <w:bCs w:val="1"/>
        <w:rtl w:val="0"/>
      </w:rPr>
      <w:t xml:space="preserve"/>
    </w:r>
  </w:p>
  <w:p w:rsidR="00000000" w:rsidDel="00000000" w:rsidP="00000000" w:rsidRDefault="00000000" w:rsidRPr="00000000" w14:paraId="000000C5">
    <w:pPr>
      <w:pageBreakBefore w:val="0"/>
      <w:widowControl w:val="0"/>
      <w:tabs>
        <w:tab w:val="center" w:leader="none" w:pos="4320"/>
        <w:tab w:val="right" w:leader="none" w:pos="8640"/>
      </w:tabs>
      <w:jc w:val="left"/>
      <w:rPr>
        <w:b w:val="1"/>
        <w:bCs w:val="1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6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firstLine="0"/>
      <w:jc w:val="left"/>
      <w:rPr/>
    </w:pPr>
    <w:r w:rsidDel="00000000" w:rsidR="00000000" w:rsidRPr="00000000">
      <w:rPr/>
      <w:drawing>
        <wp:inline distB="114300" distT="114300" distL="114300" distR="114300">
          <wp:extent cx="5573475" cy="330200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3475" cy="330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90">
    <w:lvl w:ilvl="0">
      <w:start w:val="1"/>
      <w:numFmt w:val="bullet"/>
      <w:lvlText w:val="•"/>
      <w:lvlJc w:val="left"/>
      <w:pPr>
        <w:ind w:left="600" w:hanging="300"/>
      </w:pPr>
      <w:rPr>
        <w:u w:val="none"/>
      </w:rPr>
    </w:lvl>
    <w:lvl w:ilvl="1">
      <w:start w:val="1"/>
      <w:numFmt w:val="bullet"/>
      <w:lvlText w:val="◦"/>
      <w:lvlJc w:val="left"/>
      <w:pPr>
        <w:ind w:left="1200" w:hanging="300"/>
      </w:pPr>
      <w:rPr>
        <w:u w:val="none"/>
      </w:rPr>
    </w:lvl>
  </w:abstractNum>
  <w:abstractNum w:abstractNumId="91">
    <w:lvl w:ilvl="0">
      <w:start w:val="1"/>
      <w:numFmt w:val="decimal"/>
      <w:lvlText w:val="%1."/>
      <w:lvlJc w:val="left"/>
      <w:pPr>
        <w:ind w:left="600" w:hanging="360"/>
      </w:pPr>
      <w:rPr>
        <w:u w:val="none"/>
      </w:rPr>
    </w:lvl>
  </w:abstractNum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updateFields w:val="true"/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sz w:val="18"/>
        <w:szCs w:val="18"/>
        <w:lang w:val="es-ES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200" w:lineRule="auto"/>
      <w:jc w:val="center"/>
    </w:pPr>
    <w:rPr>
      <w:b w:val="1"/>
      <w:bCs w:val="1"/>
      <w:color w:val="001689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ind w:right="9"/>
    </w:pPr>
    <w:rPr>
      <w:b w:val="1"/>
      <w:bCs w:val="1"/>
      <w:color w:val="001689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0" w:before="0" w:line="240" w:lineRule="auto"/>
      <w:ind w:left="0" w:right="240" w:firstLine="0"/>
      <w:jc w:val="both"/>
    </w:pPr>
    <w:rPr>
      <w:rFonts w:ascii="Verdana" w:cs="Verdana" w:eastAsia="Verdana" w:hAnsi="Verdana"/>
      <w:b w:val="1"/>
      <w:bCs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0" w:line="240" w:lineRule="auto"/>
      <w:jc w:val="both"/>
    </w:pPr>
    <w:rPr>
      <w:rFonts w:ascii="Nunito" w:cs="Nunito" w:eastAsia="Nunito" w:hAnsi="Nunito"/>
      <w:b w:val="1"/>
      <w:bCs w:val="1"/>
      <w:sz w:val="18"/>
      <w:szCs w:val="1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0" w:line="240" w:lineRule="auto"/>
      <w:jc w:val="both"/>
    </w:pPr>
    <w:rPr>
      <w:rFonts w:ascii="Verdana" w:cs="Verdana" w:eastAsia="Verdana" w:hAnsi="Verdana"/>
      <w:b w:val="1"/>
      <w:bCs w:val="1"/>
      <w:sz w:val="36"/>
      <w:szCs w:val="3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0" w:line="240" w:lineRule="auto"/>
      <w:ind w:left="709" w:firstLine="0"/>
      <w:jc w:val="both"/>
    </w:pPr>
    <w:rPr>
      <w:rFonts w:ascii="Arial" w:cs="Arial" w:eastAsia="Arial" w:hAnsi="Arial"/>
      <w:b w:val="1"/>
      <w:bCs w:val="1"/>
      <w:color w:val="333399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patchstack.com/database/vulnerability/wordpress/wordpress-6-1-1-unauth-blind-ssrf-vulnerability?_a_id=110" TargetMode="External"/><Relationship Id="rId11" Type="http://schemas.openxmlformats.org/officeDocument/2006/relationships/hyperlink" Target="https://patchstack.com/database/vulnerability/wordpress/wordpress-6-1-1-unauth-blind-ssrf-vulnerability?_a_id=110" TargetMode="External"/><Relationship Id="rId22" Type="http://schemas.openxmlformats.org/officeDocument/2006/relationships/header" Target="header2.xml"/><Relationship Id="rId10" Type="http://schemas.openxmlformats.org/officeDocument/2006/relationships/hyperlink" Target="https://patchstack.com/database/vulnerability/revslider/wordpress-slider-revolution-plugin-6-6-15-author-arbitrary-file-upload-vulnerability?_a_id=110" TargetMode="External"/><Relationship Id="rId21" Type="http://schemas.openxmlformats.org/officeDocument/2006/relationships/header" Target="header1.xml"/><Relationship Id="rId13" Type="http://schemas.openxmlformats.org/officeDocument/2006/relationships/hyperlink" Target="https://patchstack.com/database/vulnerability/revslider/wordpress-slider-revolution-6-6-12-authenticated-arbitrary-file-upload-vulnerability?_a_id=110" TargetMode="External"/><Relationship Id="rId24" Type="http://schemas.openxmlformats.org/officeDocument/2006/relationships/footer" Target="footer2.xml"/><Relationship Id="rId12" Type="http://schemas.openxmlformats.org/officeDocument/2006/relationships/hyperlink" Target="https://patchstack.com/database/vulnerability/elementor/wordpress-elementor-plugin-3-18-0-arbitrary-file-upload-vulnerability?_a_id=110" TargetMode="External"/><Relationship Id="rId23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atchstack.com/database/vulnerability/revslider/wordpress-slider-revolution-plugin-6-6-14-cross-site-scripting-xss-vulnerability?_a_id=110" TargetMode="External"/><Relationship Id="rId15" Type="http://schemas.openxmlformats.org/officeDocument/2006/relationships/hyperlink" Target="https://patchstack.com/database/vulnerability/revslider/wordpress-slider-revolution-plugin-6-6-15-author-arbitrary-file-upload-vulnerability?_a_id=110" TargetMode="External"/><Relationship Id="rId14" Type="http://schemas.openxmlformats.org/officeDocument/2006/relationships/hyperlink" Target="https://patchstack.com/database/vulnerability/revslider/wordpress-slider-revolution-plugin-6-6-14-cross-site-scripting-xss-vulnerability?_a_id=110" TargetMode="External"/><Relationship Id="rId17" Type="http://schemas.openxmlformats.org/officeDocument/2006/relationships/hyperlink" Target="https://patchstack.com/database/vulnerability/revslider/wordpress-slider-revolution-6-6-12-authenticated-arbitrary-file-upload-vulnerability?_a_id=110" TargetMode="External"/><Relationship Id="rId16" Type="http://schemas.openxmlformats.org/officeDocument/2006/relationships/hyperlink" Target="https://patchstack.com/database/vulnerability/wordpress/wordpress-6-1-1-unauth-blind-ssrf-vulnerability?_a_id=110" TargetMode="External"/><Relationship Id="rId5" Type="http://schemas.openxmlformats.org/officeDocument/2006/relationships/styles" Target="styles.xml"/><Relationship Id="rId19" Type="http://schemas.openxmlformats.org/officeDocument/2006/relationships/hyperlink" Target="https://patchstack.com/database/vulnerability/revslider/wordpress-slider-revolution-plugin-6-6-15-author-arbitrary-file-upload-vulnerability?_a_id=110" TargetMode="External"/><Relationship Id="rId6" Type="http://schemas.openxmlformats.org/officeDocument/2006/relationships/image" Target="media/image2.png"/><Relationship Id="rId18" Type="http://schemas.openxmlformats.org/officeDocument/2006/relationships/hyperlink" Target="https://patchstack.com/database/vulnerability/revslider/wordpress-slider-revolution-plugin-6-6-14-cross-site-scripting-xss-vulnerability?_a_id=110" TargetMode="External"/><Relationship Id="rId7" Type="http://schemas.openxmlformats.org/officeDocument/2006/relationships/image" Target="media/image3.png"/><Relationship Id="rId8" Type="http://schemas.openxmlformats.org/officeDocument/2006/relationships/hyperlink" Target="https://patchstack.com/database/vulnerability/revslider/wordpress-slider-revolution-6-6-12-authenticated-arbitrary-file-upload-vulnerability?_a_id=110" TargetMode="External"/><Relationship Id="rId1001" Type="http://schemas.openxmlformats.org/officeDocument/2006/relationships/image" Target="media/mdimg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mind.soft@consultant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