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pPr>
        <w:rPr>
          <w:rFonts w:cs="Times New Roman"/>
        </w:rPr>
      </w:pPr>
      <w:r>
        <w:t>Домашняя работа</w:t>
      </w:r>
      <w:r w:rsidRPr="007E342D">
        <w:t>:</w:t>
      </w:r>
      <w:r>
        <w:br/>
      </w:r>
      <w:r>
        <w:rPr>
          <w:rFonts w:cs="Times New Roman"/>
          <w:b/>
        </w:rPr>
        <w:br/>
      </w:r>
      <w:r w:rsidR="0087348A" w:rsidRPr="0087348A">
        <w:rPr>
          <w:rFonts w:cs="Times New Roman"/>
          <w:b/>
        </w:rPr>
        <w:t xml:space="preserve">Информационная инфраструктура (ПО ГОСТ Р 53114-2008) </w:t>
      </w:r>
      <w:r w:rsidR="0087348A" w:rsidRPr="0087348A">
        <w:rPr>
          <w:rFonts w:cs="Times New Roman"/>
        </w:rPr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>
      <w:pPr>
        <w:rPr>
          <w:rFonts w:cs="Times New Roman"/>
        </w:rPr>
      </w:pPr>
    </w:p>
    <w:p w:rsidR="0087348A" w:rsidRPr="0087348A" w:rsidRDefault="0087348A" w:rsidP="0087348A">
      <w:pPr>
        <w:rPr>
          <w:rFonts w:cs="Times New Roman"/>
        </w:rPr>
      </w:pPr>
      <w:r w:rsidRPr="0087348A">
        <w:rPr>
          <w:rFonts w:cs="Times New Roman"/>
          <w:b/>
        </w:rPr>
        <w:t>Документ (ПО ГОСТ Р 7.0.8-2013)</w:t>
      </w:r>
      <w:r>
        <w:rPr>
          <w:rFonts w:cs="Times New Roman"/>
        </w:rPr>
        <w:t xml:space="preserve"> </w:t>
      </w:r>
      <w:r w:rsidRPr="0087348A">
        <w:rPr>
          <w:rFonts w:cs="Times New Roman"/>
        </w:rPr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>
      <w:pPr>
        <w:rPr>
          <w:rFonts w:cs="Times New Roman"/>
        </w:rPr>
      </w:pPr>
    </w:p>
    <w:p w:rsidR="0087348A" w:rsidRPr="0087348A" w:rsidRDefault="0087348A" w:rsidP="0087348A">
      <w:pPr>
        <w:rPr>
          <w:rFonts w:cs="Times New Roman"/>
        </w:rPr>
      </w:pPr>
      <w:r w:rsidRPr="0087348A">
        <w:rPr>
          <w:rFonts w:cs="Times New Roman"/>
          <w:b/>
        </w:rPr>
        <w:t>Автоматизированная система (ПО ГОСТ 34.003-90) (AC)</w:t>
      </w:r>
      <w:r w:rsidRPr="0087348A">
        <w:rPr>
          <w:rFonts w:cs="Times New Roman"/>
        </w:rPr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>
      <w:pPr>
        <w:rPr>
          <w:rFonts w:cs="Times New Roman"/>
        </w:rPr>
      </w:pPr>
    </w:p>
    <w:p w:rsidR="00B51D31" w:rsidRDefault="00A1427D">
      <w:pPr>
        <w:rPr>
          <w:rFonts w:eastAsia="Times New Roman" w:cs="Times New Roman"/>
          <w:color w:val="000000"/>
          <w:lang w:eastAsia="ru-RU"/>
        </w:rPr>
      </w:pPr>
      <w:r w:rsidRPr="0087348A">
        <w:rPr>
          <w:rFonts w:cs="Times New Roman"/>
          <w:b/>
        </w:rPr>
        <w:t>Информационные активы (</w:t>
      </w:r>
      <w:proofErr w:type="spellStart"/>
      <w:r w:rsidRPr="0087348A">
        <w:rPr>
          <w:rFonts w:cs="Times New Roman"/>
          <w:b/>
        </w:rPr>
        <w:t>information</w:t>
      </w:r>
      <w:proofErr w:type="spellEnd"/>
      <w:r w:rsidRPr="0087348A">
        <w:rPr>
          <w:rFonts w:cs="Times New Roman"/>
          <w:b/>
        </w:rPr>
        <w:t xml:space="preserve"> </w:t>
      </w:r>
      <w:proofErr w:type="spellStart"/>
      <w:r w:rsidRPr="0087348A">
        <w:rPr>
          <w:rFonts w:cs="Times New Roman"/>
          <w:b/>
        </w:rPr>
        <w:t>asset</w:t>
      </w:r>
      <w:proofErr w:type="spellEnd"/>
      <w:r w:rsidRPr="0087348A">
        <w:rPr>
          <w:rFonts w:cs="Times New Roman"/>
          <w:b/>
        </w:rPr>
        <w:t>)</w:t>
      </w:r>
      <w:r w:rsidR="0087348A" w:rsidRPr="0087348A">
        <w:rPr>
          <w:rFonts w:cs="Times New Roman"/>
          <w:b/>
        </w:rPr>
        <w:t xml:space="preserve"> </w:t>
      </w:r>
      <w:r w:rsidR="0087348A">
        <w:rPr>
          <w:rFonts w:cs="Times New Roman"/>
        </w:rPr>
        <w:t>—</w:t>
      </w:r>
      <w:r w:rsidRPr="0087348A">
        <w:rPr>
          <w:rFonts w:cs="Times New Roman"/>
        </w:rPr>
        <w:t xml:space="preserve"> информационные ресурсы или средства обработки информации организации - Г</w:t>
      </w:r>
      <w:r w:rsidRPr="0087348A">
        <w:rPr>
          <w:rFonts w:eastAsia="Times New Roman" w:cs="Times New Roman"/>
          <w:color w:val="000000"/>
          <w:lang w:eastAsia="ru-RU"/>
        </w:rPr>
        <w:t>ОСТ Р ИСО/ТО 13569-2007</w:t>
      </w:r>
    </w:p>
    <w:p w:rsidR="0087348A" w:rsidRPr="009B700C" w:rsidRDefault="0087348A">
      <w:pPr>
        <w:rPr>
          <w:rFonts w:eastAsia="Times New Roman" w:cs="Times New Roman"/>
          <w:lang w:eastAsia="ru-RU"/>
        </w:rPr>
      </w:pPr>
    </w:p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 xml:space="preserve">Компьютерный вирус можно назвать </w:t>
      </w:r>
      <w:proofErr w:type="spellStart"/>
      <w:r>
        <w:t>саморепродуцирующийся</w:t>
      </w:r>
      <w:proofErr w:type="spellEnd"/>
      <w:r>
        <w:t xml:space="preserve">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 xml:space="preserve">В 20 веке был представлен класс </w:t>
      </w:r>
      <w:proofErr w:type="spellStart"/>
      <w:r>
        <w:t>саморепродуцирующихся</w:t>
      </w:r>
      <w:proofErr w:type="spellEnd"/>
      <w:r>
        <w:t xml:space="preserve">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 xml:space="preserve">что она </w:t>
      </w:r>
      <w:proofErr w:type="spellStart"/>
      <w:r w:rsidR="007477CC">
        <w:t>саморепродуцируются</w:t>
      </w:r>
      <w:proofErr w:type="spellEnd"/>
      <w:r w:rsidR="007477CC">
        <w:t xml:space="preserve">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 xml:space="preserve">утверждению </w:t>
      </w:r>
      <w:proofErr w:type="spellStart"/>
      <w:r w:rsidR="00A03174">
        <w:t>Докутра</w:t>
      </w:r>
      <w:proofErr w:type="spellEnd"/>
      <w:r w:rsidR="00A03174">
        <w:t xml:space="preserve"> </w:t>
      </w:r>
      <w:proofErr w:type="spellStart"/>
      <w:r w:rsidR="00A03174">
        <w:t>Ковена</w:t>
      </w:r>
      <w:proofErr w:type="spellEnd"/>
      <w:r w:rsidR="00A03174">
        <w:t xml:space="preserve">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 xml:space="preserve">Нарушение работы программ или </w:t>
      </w:r>
      <w:proofErr w:type="gramStart"/>
      <w:r>
        <w:t>данных</w:t>
      </w:r>
      <w:proofErr w:type="gramEnd"/>
      <w:r>
        <w:t xml:space="preserve">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</w:t>
      </w:r>
      <w:proofErr w:type="spellStart"/>
      <w:r w:rsidRPr="00F02D71">
        <w:rPr>
          <w:b/>
        </w:rPr>
        <w:t>biometric</w:t>
      </w:r>
      <w:proofErr w:type="spellEnd"/>
      <w:r w:rsidRPr="00F02D71">
        <w:rPr>
          <w:b/>
        </w:rPr>
        <w:t xml:space="preserve"> </w:t>
      </w:r>
      <w:proofErr w:type="spellStart"/>
      <w:r w:rsidRPr="00F02D71">
        <w:rPr>
          <w:b/>
        </w:rPr>
        <w:t>characteristic</w:t>
      </w:r>
      <w:proofErr w:type="spellEnd"/>
      <w:r w:rsidRPr="00F02D71">
        <w:rPr>
          <w:b/>
        </w:rPr>
        <w:t>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Требования к соответствию</w:t>
      </w:r>
    </w:p>
    <w:p w:rsidR="00335EEE" w:rsidRPr="00417917" w:rsidRDefault="00F02D71" w:rsidP="00F02D71">
      <w:pPr>
        <w:tabs>
          <w:tab w:val="left" w:pos="8120"/>
        </w:tabs>
      </w:pPr>
      <w:r>
        <w:t>Комплект для проведе</w:t>
      </w:r>
      <w:r w:rsidR="00652615">
        <w:t xml:space="preserve">ния </w:t>
      </w:r>
      <w:r w:rsidR="00335EEE">
        <w:t xml:space="preserve">испытаний на </w:t>
      </w:r>
      <w:proofErr w:type="gramStart"/>
      <w:r w:rsidR="00335EEE">
        <w:t>соответствие;</w:t>
      </w:r>
      <w:r w:rsidR="00417917">
        <w:rPr>
          <w:lang w:val="en-US"/>
        </w:rPr>
        <w:t>a</w:t>
      </w:r>
      <w:proofErr w:type="gramEnd"/>
    </w:p>
    <w:p w:rsidR="00F02D71" w:rsidRDefault="00F02D71" w:rsidP="00F02D71">
      <w:pPr>
        <w:tabs>
          <w:tab w:val="left" w:pos="8120"/>
        </w:tabs>
      </w:pPr>
      <w:r>
        <w:t>Испытания уровня 1;</w:t>
      </w:r>
    </w:p>
    <w:p w:rsidR="00335EEE" w:rsidRDefault="00335EEE" w:rsidP="00F02D71">
      <w:pPr>
        <w:tabs>
          <w:tab w:val="left" w:pos="8120"/>
        </w:tabs>
      </w:pPr>
    </w:p>
    <w:p w:rsidR="00417917" w:rsidRDefault="00417917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F02D71" w:rsidRDefault="00F02D71" w:rsidP="00F02D71">
      <w:pPr>
        <w:pStyle w:val="1"/>
      </w:pPr>
      <w:r>
        <w:lastRenderedPageBreak/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</w:t>
      </w:r>
      <w:proofErr w:type="gramStart"/>
      <w:r>
        <w:t>том</w:t>
      </w:r>
      <w:proofErr w:type="gramEnd"/>
      <w:r>
        <w:t xml:space="preserve">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proofErr w:type="gramStart"/>
      <w:r w:rsidR="0032171E">
        <w:t xml:space="preserve">разработки, </w:t>
      </w:r>
      <w:r>
        <w:t xml:space="preserve"> производство</w:t>
      </w:r>
      <w:proofErr w:type="gramEnd"/>
      <w:r>
        <w:t xml:space="preserve">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Default="00CD6E97" w:rsidP="00E63002">
      <w:r>
        <w:t>Риски</w:t>
      </w:r>
    </w:p>
    <w:p w:rsidR="00CD6E97" w:rsidRDefault="00CD6E97" w:rsidP="00E63002">
      <w:r>
        <w:t xml:space="preserve">Сравнительная оценка рисков </w:t>
      </w:r>
    </w:p>
    <w:p w:rsidR="008D512A" w:rsidRDefault="0031066B" w:rsidP="00E63002">
      <w:r>
        <w:t>Предпочтительный</w:t>
      </w:r>
      <w:r w:rsidR="008D512A">
        <w:t xml:space="preserve"> риск</w:t>
      </w:r>
    </w:p>
    <w:p w:rsidR="0031066B" w:rsidRPr="0031066B" w:rsidRDefault="0031066B" w:rsidP="00E63002">
      <w:pPr>
        <w:rPr>
          <w:lang w:val="en-US"/>
        </w:rPr>
      </w:pPr>
      <w:r>
        <w:t>Исключение риска</w:t>
      </w:r>
    </w:p>
    <w:p w:rsidR="00F02D71" w:rsidRDefault="00F02D71" w:rsidP="00F02D71">
      <w:pPr>
        <w:tabs>
          <w:tab w:val="left" w:pos="8120"/>
        </w:tabs>
      </w:pPr>
    </w:p>
    <w:p w:rsidR="0031066B" w:rsidRDefault="0031066B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Pr="009E3CEC" w:rsidRDefault="00F02D71" w:rsidP="009E3CEC">
      <w:pPr>
        <w:tabs>
          <w:tab w:val="left" w:pos="8120"/>
        </w:tabs>
        <w:rPr>
          <w:lang w:val="en-US"/>
        </w:rPr>
      </w:pPr>
      <w:bookmarkStart w:id="0" w:name="_GoBack"/>
      <w:bookmarkEnd w:id="0"/>
    </w:p>
    <w:sectPr w:rsidR="00F02D71" w:rsidRPr="009E3CEC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37DD3"/>
    <w:rsid w:val="00063BC6"/>
    <w:rsid w:val="0007232D"/>
    <w:rsid w:val="00114D12"/>
    <w:rsid w:val="0015217A"/>
    <w:rsid w:val="0015734D"/>
    <w:rsid w:val="00172206"/>
    <w:rsid w:val="00202982"/>
    <w:rsid w:val="0021468E"/>
    <w:rsid w:val="00237777"/>
    <w:rsid w:val="0025119C"/>
    <w:rsid w:val="002516CA"/>
    <w:rsid w:val="0025341E"/>
    <w:rsid w:val="00263534"/>
    <w:rsid w:val="00286EDF"/>
    <w:rsid w:val="002B22C6"/>
    <w:rsid w:val="002D41B7"/>
    <w:rsid w:val="0031066B"/>
    <w:rsid w:val="0032171E"/>
    <w:rsid w:val="00334325"/>
    <w:rsid w:val="00335EEE"/>
    <w:rsid w:val="0038474A"/>
    <w:rsid w:val="0038721C"/>
    <w:rsid w:val="003A066F"/>
    <w:rsid w:val="003E2869"/>
    <w:rsid w:val="00417917"/>
    <w:rsid w:val="0043116B"/>
    <w:rsid w:val="00433FB6"/>
    <w:rsid w:val="00460532"/>
    <w:rsid w:val="00465C66"/>
    <w:rsid w:val="00480D6B"/>
    <w:rsid w:val="004B3B6B"/>
    <w:rsid w:val="004C7A40"/>
    <w:rsid w:val="004D2F34"/>
    <w:rsid w:val="004F5CC8"/>
    <w:rsid w:val="00544F5B"/>
    <w:rsid w:val="00560B85"/>
    <w:rsid w:val="00572B18"/>
    <w:rsid w:val="006049FA"/>
    <w:rsid w:val="00607EEC"/>
    <w:rsid w:val="00652615"/>
    <w:rsid w:val="0067500F"/>
    <w:rsid w:val="006E7A8F"/>
    <w:rsid w:val="00712E6A"/>
    <w:rsid w:val="007477CC"/>
    <w:rsid w:val="0077387E"/>
    <w:rsid w:val="00775758"/>
    <w:rsid w:val="007B74E0"/>
    <w:rsid w:val="007E342D"/>
    <w:rsid w:val="00836E45"/>
    <w:rsid w:val="00853480"/>
    <w:rsid w:val="00856336"/>
    <w:rsid w:val="00864045"/>
    <w:rsid w:val="00864DE3"/>
    <w:rsid w:val="0087348A"/>
    <w:rsid w:val="008D512A"/>
    <w:rsid w:val="009B700C"/>
    <w:rsid w:val="009C742E"/>
    <w:rsid w:val="009D201F"/>
    <w:rsid w:val="009E3CEC"/>
    <w:rsid w:val="009E7661"/>
    <w:rsid w:val="00A03174"/>
    <w:rsid w:val="00A061E6"/>
    <w:rsid w:val="00A1427D"/>
    <w:rsid w:val="00A42F56"/>
    <w:rsid w:val="00A563EE"/>
    <w:rsid w:val="00A755D8"/>
    <w:rsid w:val="00AC01F8"/>
    <w:rsid w:val="00B51D31"/>
    <w:rsid w:val="00B76928"/>
    <w:rsid w:val="00BC1AAC"/>
    <w:rsid w:val="00CA17B9"/>
    <w:rsid w:val="00CD6E97"/>
    <w:rsid w:val="00DB113F"/>
    <w:rsid w:val="00E63002"/>
    <w:rsid w:val="00EA14CE"/>
    <w:rsid w:val="00ED5048"/>
    <w:rsid w:val="00F00956"/>
    <w:rsid w:val="00F02D71"/>
    <w:rsid w:val="00F342AA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B5A084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6EDF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69</cp:revision>
  <dcterms:created xsi:type="dcterms:W3CDTF">2018-04-17T10:47:00Z</dcterms:created>
  <dcterms:modified xsi:type="dcterms:W3CDTF">2018-05-03T11:46:00Z</dcterms:modified>
</cp:coreProperties>
</file>