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b/>
          <w:bCs/>
          <w:color w:val="333333"/>
        </w:rPr>
        <w:t>Технический регламент </w:t>
      </w:r>
      <w:r w:rsidRPr="00B96AA9">
        <w:rPr>
          <w:color w:val="333333"/>
        </w:rPr>
        <w:t>представляет собой документ, который принят международным договором РФ, ратифицированным в порядке, установленном законодательством РФ, или федеральным законом, или указом Президента РФ, или постановлением Правительства РФ и устанавливает обязательные для исполнения требования к объектам технического регулирования. Основными целями принятия технических регламентов является: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А) предупреждение действий, вводящих в заблуждение приобретателей;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Б) защита жизни или здоровья граждан, имущества физических или юридических лиц, государственного или муниципального имущества;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В) охрана окружающей среды, жизни или здоровья животных и растений.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b/>
          <w:bCs/>
          <w:color w:val="333333"/>
        </w:rPr>
        <w:t>Технические регламенты устанавливают </w:t>
      </w:r>
      <w:r w:rsidRPr="00B96AA9">
        <w:rPr>
          <w:color w:val="333333"/>
        </w:rPr>
        <w:t>минимально необходимые требования, обеспечивающие следующие виды безо</w:t>
      </w:r>
      <w:bookmarkStart w:id="0" w:name="_GoBack"/>
      <w:bookmarkEnd w:id="0"/>
      <w:r w:rsidRPr="00B96AA9">
        <w:rPr>
          <w:color w:val="333333"/>
        </w:rPr>
        <w:t>пасности: механическую, пожарную, промышленную, термическую, излучений, взрывобезопасность, химическую безопасность, электрическую безопасность, а также единство измерений.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Технический регламент должен содержать достаточно полный перечень продукции, процессов производства, эксплуатации, хранения, перевозки, реализации и утилизации, в отношении которых устанавливаются его требования, и правила идентификации объекта технического регулирования для целей использования технического регламента.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Оценка соответствия осуществляется в формах государственного контроля, аккредитации, испытания, регистрации, подтверждения соответствия, приемки и ввода в эксплуатацию объекта, строительство которого закончено.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Технический регламент должен содержать требования к характеристикам продукции, процессам производства, эксплуатации, хранения, перевозки, реализации и утилизации, но не должен содержать требования к конструкции и исполнению.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Необходимо помнить, что содержащиеся в технических регламентах обязательные требования к продукции, процессам производства, эксплуатации, хранения, перевозки, реализации и утилизации, правилам и формам оценки соответствия, правила идентификации, требования к терминологии, упаковке, маркировке или этикеткам и правилам их нанесения являются исчерпывающими, имеют прямое действие на всей территории Российской Федерации.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 xml:space="preserve">Помимо этого, в технических регламентах с учетом степени риска причинения вреда могут содержаться специальные требования к продукции, процессам производства, эксплуатации, хранения, транспортировки, реализации и утилизации, требования к </w:t>
      </w:r>
      <w:r w:rsidRPr="00B96AA9">
        <w:rPr>
          <w:color w:val="333333"/>
        </w:rPr>
        <w:lastRenderedPageBreak/>
        <w:t>терминологии, упаковке, маркировке или этикеткам и правилам их нанесения, обеспечивающие защиту отдельных категорий граждан (беременных, несовершеннолетних, инвалидов).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b/>
          <w:bCs/>
          <w:color w:val="333333"/>
        </w:rPr>
        <w:t>Технические регламенты определяют </w:t>
      </w:r>
      <w:r w:rsidRPr="00B96AA9">
        <w:rPr>
          <w:color w:val="333333"/>
        </w:rPr>
        <w:t>минимально необходимые ветеринарно-санитарные и фито-санитарные меры в отношении продукции, привезенной из. отдельных стран, в том числе ограничения ввоза, использования, хранения, транспортировки, реализации и утилизации, обеспечивающие биологическую безопасность.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b/>
          <w:bCs/>
          <w:color w:val="333333"/>
        </w:rPr>
        <w:t>Технический регламент может содержать </w:t>
      </w:r>
      <w:r w:rsidRPr="00B96AA9">
        <w:rPr>
          <w:color w:val="333333"/>
        </w:rPr>
        <w:t>специальные требования к товарам, процессам производства, эксплуатации, хранения, перевозки, реализации и утилизации, терминологии, упаковке, маркировке или этикеткам и правилам их нанесения, применяемые в отдельных местах происхождения товаров.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b/>
          <w:bCs/>
          <w:color w:val="333333"/>
        </w:rPr>
        <w:t>Технический регламент не может содержать </w:t>
      </w:r>
      <w:r w:rsidRPr="00B96AA9">
        <w:rPr>
          <w:color w:val="333333"/>
        </w:rPr>
        <w:t>требования к продукции, причиняющей вред жизни или здоровью граждан, накапливаемый при длительном использовании этой продукции и зависящий от других факторов, не позволяющих определить степень допустимого риска.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В целом, на территории </w:t>
      </w:r>
      <w:r w:rsidRPr="00B96AA9">
        <w:rPr>
          <w:b/>
          <w:bCs/>
          <w:color w:val="333333"/>
        </w:rPr>
        <w:t>Российской Федерации </w:t>
      </w:r>
      <w:r w:rsidRPr="00B96AA9">
        <w:rPr>
          <w:color w:val="333333"/>
        </w:rPr>
        <w:t>действуют: общие технические регламенты и специальные технические регламенты.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b/>
          <w:bCs/>
          <w:color w:val="333333"/>
        </w:rPr>
        <w:t>Общие технические регламенты обязательны </w:t>
      </w:r>
      <w:r w:rsidRPr="00B96AA9">
        <w:rPr>
          <w:color w:val="333333"/>
        </w:rPr>
        <w:t>для использования и соблюдения в отношении любых видов продукции, процессов производства, эксплуатации, хранения, транспортировки, реализации и утилизации.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b/>
          <w:bCs/>
          <w:color w:val="333333"/>
        </w:rPr>
        <w:t>В специальных технических регламентах </w:t>
      </w:r>
      <w:r w:rsidRPr="00B96AA9">
        <w:rPr>
          <w:color w:val="333333"/>
        </w:rPr>
        <w:t>учитываются технологические и другие особенности отдельных видов продукции, процессов производства, эксплуатации, хранения, перевозки, реализации и утилизации.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Общие технические регламенты принимаются по следующим видам безопасности: пожарной, биологической, экологической, ядерной и радиационной, а также безопасной эксплуатации и утилизации машин и оборудования, безопасной эксплуатации зданий, строений, сооружений и безопасного использования прилегающих к ним территорий.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0" w:afterAutospacing="0" w:line="360" w:lineRule="auto"/>
        <w:rPr>
          <w:color w:val="333333"/>
        </w:rPr>
      </w:pPr>
      <w:r w:rsidRPr="00B96AA9">
        <w:rPr>
          <w:b/>
          <w:bCs/>
          <w:color w:val="333333"/>
        </w:rPr>
        <w:t>Специальные технические регламенты </w:t>
      </w:r>
      <w:r w:rsidRPr="00B96AA9">
        <w:rPr>
          <w:color w:val="333333"/>
        </w:rPr>
        <w:t>устанавливают требования только к тем .отдельным видам продукции, процессам производства, эксплуатации, хранения, транспортировки, реализации и утилизации, степень риска причинения вреда которыми выше степени риска причинения вреда, учтенной общим техническим регламентом.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lastRenderedPageBreak/>
        <w:t>Государственный контроль и надзор (ГКиН) осуществляется за соблюдением субъектами хозяйственной деятельности обязательных требований технических регламентов. Объектами ГКиН являются продукция, услуги, техническая документация, технологические процессы.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По содержанию контроль и надзор идентичны, просто в отличие от контроля надзор осуществляется в отношении объектов, не находящихся в ведомственном подчинении органам, которые его осуществляют. Это касается всех государственных органов, которым дано право административного надзора в определенной области деятельности, — комитетов, федеральных служб, инспекций в области экологии, противопожарной безопасности, охраны труда, лекарственных веществ, санитарно-эпидемиологического благополучия населения, горного дела и промышленности, воздушных, морских и речных судов, архитектуры и строительства, торговли, ветеринарии и др.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В соответствии с постановлением Правительства РФ от 17 июня 2004 г. № 294 «О Федеральном агентстве по техническому регулированию и метрологии» (п. 6) установлено, что Ростехрегулирование осуществляет лицензирование деятельности по изготовлению и ремонту средств измерений, а также функции по государственному метрологическому контролю и надзору до внесения изменений в законодательные акты РФ; осуществляет контроль и надзор за соблюдением обязательных требований государственных стандартов и технических регламентов до принятия Правительством РФ решения о передаче этих функций другим федеральным органам исполнительной власти. Для осуществления данных функций в федеральных округах созданы и функционируют территориальные органы Ростехрегулирования.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Осуществление ГКиН регулируется правилами (ПР № 50.1.003) и рекомендациями по стандартизации (Р 50.1.005. Р 50.1.006, Р 50.1.013).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В случае выявления нарушений требований технических регламентов составляется акт проверки установленной формы, который является основанием для выдачи предписаний и вынесения постановлений о наложении штрафов.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Основная форма ГКиН — выборочная проверка, в процессе которой осуществляются технический осмотр, идентификация,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 xml:space="preserve">испытания и другие процедуры, обеспечивающие достоверность и, объективность результатов. Так, госнадзор в предприятиях торговли (ПР 50.1.013) осуществляется следующим образом. Госинспектор в присутствии представителей предприятия торговли отбирает образцы товаров и оформляет акт отбора образцов. При отборе образцов </w:t>
      </w:r>
      <w:r w:rsidRPr="00B96AA9">
        <w:rPr>
          <w:color w:val="333333"/>
        </w:rPr>
        <w:lastRenderedPageBreak/>
        <w:t>проводят их технический осмотр, в процессе которого устанавливают наличие предпродажной подготовки проверяемого товара согласно Правилам продажи отдельных видов товаров. Отобранные образцы при необходимости подвергают испытаниям. По результатам проверки составляется акт, который подписывает руководитель проверки и госинспектор. При установлении факта нарушений обязательных требований государственных стандартов госинспектор выдает субъекту хозяйственной деятельности предписание, применяет к нему и должностным лицам штрафы в соответствии с законодательными актами РФ. Информацию о нарушении обязательных требований территориальные органы при необходимости направляют соответствующим органам исполнительной власти, другим органам государственного контроля и надзора, общественным организациям потребителей.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Как отмечалось ранее, проработка макроотраслевых (горизонтальных) технических регламентов выявила возможность объединения данных регламентов и «накрываемых» ими групп специальных (вертикальных) регламентов в единые макроотраслевые блоки. Это позволяет: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1)  обеспечить рациональную организацию множеств требований вынесением инвариантных требований макроотрасли в горизонтальные регламенты (или общие разделы макроотраслевых регламентов);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2)  обеспечить координацию отдельных технических регламентов в рамках данной макроотрасли с целью исключения «щелей», дублирования требований и образования противоречий между ними;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3) укрупнить деление системы технического регулирования с целью оптимизации процессов промежуточных согласований в Правительстве РФ, а также прохождения системы регламентов в Государственной Думе Федерального Собрания РФ.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Пакетный принцип позволяет оптимизировать процесс внесения последующих изменений в техническое законодательство пересмотром укрупненных, а не множества отдельных актов. Это позволит оптимизировать процесс согласования конфликтных позиций между близкими отраслями (например, между молочными и масложировыми производствами), что с организационной и процедурной точки зрения удобнее делать в рамках подготовки объединенных регламентов, нежели в процессе согласования регламентов, вносимых, рассматриваемых и дорабатываемых отдельно друг от друга.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 xml:space="preserve">Согласно п. 2 ст. 9 Закона о техническом регулировании разработчиком технического регламента может быть любое лицо. С юридической точки зрения такая запись избыточна, </w:t>
      </w:r>
      <w:r w:rsidRPr="00B96AA9">
        <w:rPr>
          <w:color w:val="333333"/>
        </w:rPr>
        <w:lastRenderedPageBreak/>
        <w:t>поскольку по Конституции РФ любое лицо (юридическое или физическое) может быть разработчиком любого закона. Однако в данном случае было признано целесообразным сохранить данную запись, с тем чтобы подчеркнуть концептуальную установку реформы на отказ от ведомственного нормотворчества и на максимальное привлечение к разработке нового технического законодательства представителей предпринимательского, независимого экспертного и научного сообщества.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Разработчик проекта технического регламента должен: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•   найти субъект права законодательной инициативы, вносящий данный законопроект;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•   пройти установленную законом процедуру публичного обсуждения проекта.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Далее на проект должны быть получены: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•   заключение соответствующей экспертной комиссии;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•   заключение или отзыв Правительства РФ на законопроект либо пройти в установленном порядке согласования с заинтересованным федеральными органами исполнительной власти в случае принятия технического регламента постановлением Правительства РФ.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И, наконец, проекту предстоит: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•   пройти установленные регламентом чтения в Государственной Думе Федерального Собрания РФ;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•   утверждение Советом Федерации Федерального Собрания РФ;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•   подписание Президентом РФ.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В конечном итоге процедура разработки и принятия технических регламентов предполагает гармоничное согласование позиций и интересов государства, общества, бизнеса, а также носителей экспертного и научного знания. Вместе с тем участие представителей органов государственной власти в разработке инициативных проектов позволяет уже на начальных стадиях выявлять позиции, требующие согласования, и заранее в рабочем порядке снимать непринципиальные противоречия.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Последовательность и приоритеты в разработке специальных технических регламентов целесообразно определять по следующим основным критериям: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 xml:space="preserve">•   отрасли, в которых существующее нормирование и процедуры образуют наибольшие технические и административные барьеры и соответственно в которых введение </w:t>
      </w:r>
      <w:r w:rsidRPr="00B96AA9">
        <w:rPr>
          <w:color w:val="333333"/>
        </w:rPr>
        <w:lastRenderedPageBreak/>
        <w:t>технических регламентов может дать наибольший экономический эффект (как правило, это сферы «быстрого и жесткого» бизнеса, в которых максимально сближена дистанция между производителем и потребителем, например пищевые производства, товары повседневного спроса и т.п.);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•   бюджетообразующие отрасли, в которых введение технических регламентов может также дать значимый экономический эффект;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•   продукция и производственные процессы, в отношении которых отсутствие адекватного нормирования представляет критическую угрозу безопасности (граждан, окружающей среды), национальным интересам и пр.;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•   требования к видам продукции и процессам ее производства, особо значимым в социальном отношении;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B96AA9">
        <w:rPr>
          <w:color w:val="333333"/>
        </w:rPr>
        <w:t>•   ряд отраслей со сложным техническим нормированием, в которых требования могут быть оперативно переведены из действующей нормативной базы в новое техническое законодательство, поскольку данные требования практически полностью определяются техническими параметрами и практически не подвержены экономической и административной конъюнктуре;</w:t>
      </w:r>
    </w:p>
    <w:p w:rsidR="00B96AA9" w:rsidRPr="00B96AA9" w:rsidRDefault="00B96AA9" w:rsidP="00B96AA9">
      <w:pPr>
        <w:pStyle w:val="a4"/>
        <w:shd w:val="clear" w:color="auto" w:fill="FFFFFF"/>
        <w:spacing w:before="0" w:beforeAutospacing="0" w:after="0" w:afterAutospacing="0" w:line="360" w:lineRule="auto"/>
        <w:rPr>
          <w:color w:val="333333"/>
        </w:rPr>
      </w:pPr>
      <w:r w:rsidRPr="00B96AA9">
        <w:rPr>
          <w:color w:val="333333"/>
        </w:rPr>
        <w:t>•   блоки требований, которые нуждаются в оперативной гармонизации с международными нормами в целях устранения барьеров в международной торговле, а также в целях ускоренного вхождения России в мировое экономическое пространство (например, в контексте присоединения к ВТО).</w:t>
      </w:r>
    </w:p>
    <w:p w:rsidR="00974487" w:rsidRPr="00B96AA9" w:rsidRDefault="00974487" w:rsidP="00B96AA9">
      <w:pPr>
        <w:spacing w:line="360" w:lineRule="auto"/>
        <w:rPr>
          <w:rFonts w:ascii="Times New Roman" w:hAnsi="Times New Roman" w:cs="Times New Roman"/>
        </w:rPr>
      </w:pPr>
    </w:p>
    <w:sectPr w:rsidR="00974487" w:rsidRPr="00B96AA9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487" w:rsidRDefault="00974487" w:rsidP="00974487">
      <w:r>
        <w:separator/>
      </w:r>
    </w:p>
  </w:endnote>
  <w:endnote w:type="continuationSeparator" w:id="0">
    <w:p w:rsidR="00974487" w:rsidRDefault="00974487" w:rsidP="00974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487" w:rsidRDefault="00974487" w:rsidP="00974487">
      <w:r>
        <w:separator/>
      </w:r>
    </w:p>
  </w:footnote>
  <w:footnote w:type="continuationSeparator" w:id="0">
    <w:p w:rsidR="00974487" w:rsidRDefault="00974487" w:rsidP="00974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25F94"/>
    <w:multiLevelType w:val="hybridMultilevel"/>
    <w:tmpl w:val="0DA0F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67686"/>
    <w:multiLevelType w:val="hybridMultilevel"/>
    <w:tmpl w:val="63D44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E2765"/>
    <w:multiLevelType w:val="hybridMultilevel"/>
    <w:tmpl w:val="1B669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72"/>
    <w:rsid w:val="00025872"/>
    <w:rsid w:val="000A709E"/>
    <w:rsid w:val="003A066F"/>
    <w:rsid w:val="005C15CE"/>
    <w:rsid w:val="0083747E"/>
    <w:rsid w:val="008B1A11"/>
    <w:rsid w:val="00974487"/>
    <w:rsid w:val="00AE09D3"/>
    <w:rsid w:val="00B1532D"/>
    <w:rsid w:val="00B96AA9"/>
    <w:rsid w:val="00C810E0"/>
    <w:rsid w:val="00C9516C"/>
    <w:rsid w:val="00D14A14"/>
    <w:rsid w:val="00EA115A"/>
    <w:rsid w:val="00EA12D3"/>
    <w:rsid w:val="00F84766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092101"/>
  <w14:defaultImageDpi w14:val="32767"/>
  <w15:chartTrackingRefBased/>
  <w15:docId w15:val="{85E6EE20-C7EA-BE41-8C5E-15304BD3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5C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744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Strong"/>
    <w:basedOn w:val="a0"/>
    <w:uiPriority w:val="22"/>
    <w:qFormat/>
    <w:rsid w:val="00974487"/>
    <w:rPr>
      <w:b/>
      <w:bCs/>
    </w:rPr>
  </w:style>
  <w:style w:type="paragraph" w:styleId="a6">
    <w:name w:val="footnote text"/>
    <w:basedOn w:val="a"/>
    <w:link w:val="a7"/>
    <w:semiHidden/>
    <w:rsid w:val="0097448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semiHidden/>
    <w:rsid w:val="0097448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semiHidden/>
    <w:rsid w:val="00974487"/>
    <w:rPr>
      <w:vertAlign w:val="superscript"/>
    </w:rPr>
  </w:style>
  <w:style w:type="character" w:styleId="a9">
    <w:name w:val="Hyperlink"/>
    <w:basedOn w:val="a0"/>
    <w:uiPriority w:val="99"/>
    <w:semiHidden/>
    <w:unhideWhenUsed/>
    <w:rsid w:val="00B96A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1870</Words>
  <Characters>10662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13</cp:revision>
  <dcterms:created xsi:type="dcterms:W3CDTF">2018-09-10T08:22:00Z</dcterms:created>
  <dcterms:modified xsi:type="dcterms:W3CDTF">2018-10-03T08:30:00Z</dcterms:modified>
</cp:coreProperties>
</file>