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rPr>
          <w:b w:val="on"/>
        </w:rPr>
        <w:br/>
        <w:t>Оглавление</w:t>
      </w:r>
    </w:p>
    <w:p>
      <w:pPr>
        <w:ind w:left="330" w:hanging="330"/>
      </w:pPr>
      <w:hyperlink r:id="rId2">
        <w:r>
          <w:rPr>
            <w:spacing w:val="75"/>
            <w:color w:val="0000FF"/>
          </w:rPr>
          <w:t xml:space="preserve">• </w:t>
        </w:r>
      </w:hyperlink>
      <w:hyperlink r:id="rId3">
        <w:r>
          <w:rPr>
            <w:color w:val="0000FF"/>
            <w:u w:val="single"/>
          </w:rPr>
          <w:t>1. Основные положения</w:t>
        </w:r>
      </w:hyperlink>
    </w:p>
    <w:p>
      <w:pPr>
        <w:ind w:left="330" w:hanging="330"/>
      </w:pPr>
      <w:hyperlink r:id="rId4">
        <w:r>
          <w:rPr>
            <w:spacing w:val="75"/>
            <w:color w:val="0000FF"/>
          </w:rPr>
          <w:t xml:space="preserve">• </w:t>
        </w:r>
      </w:hyperlink>
      <w:hyperlink r:id="rId5">
        <w:r>
          <w:rPr>
            <w:color w:val="0000FF"/>
            <w:u w:val="single"/>
          </w:rPr>
          <w:t>2. Метамодель анкеты</w:t>
        </w:r>
      </w:hyperlink>
    </w:p>
    <w:p>
      <w:pPr>
        <w:ind w:left="660" w:hanging="330"/>
      </w:pPr>
      <w:hyperlink r:id="rId6">
        <w:r>
          <w:rPr>
            <w:spacing w:val="75"/>
            <w:color w:val="0000FF"/>
          </w:rPr>
          <w:t xml:space="preserve">• </w:t>
        </w:r>
      </w:hyperlink>
      <w:hyperlink r:id="rId7">
        <w:r>
          <w:rPr>
            <w:color w:val="0000FF"/>
            <w:u w:val="single"/>
          </w:rPr>
          <w:t>2.1. Уровни иерархии</w:t>
        </w:r>
      </w:hyperlink>
    </w:p>
    <w:p>
      <w:pPr>
        <w:ind w:left="660" w:hanging="330"/>
      </w:pPr>
      <w:hyperlink r:id="rId8">
        <w:r>
          <w:rPr>
            <w:spacing w:val="75"/>
            <w:color w:val="0000FF"/>
          </w:rPr>
          <w:t xml:space="preserve">• </w:t>
        </w:r>
      </w:hyperlink>
      <w:hyperlink r:id="rId9">
        <w:r>
          <w:rPr>
            <w:color w:val="0000FF"/>
            <w:u w:val="single"/>
          </w:rPr>
          <w:t>2.2. Типы разделов анкеты</w:t>
        </w:r>
      </w:hyperlink>
    </w:p>
    <w:p>
      <w:pPr>
        <w:ind w:left="660" w:hanging="330"/>
      </w:pPr>
      <w:hyperlink r:id="rId10">
        <w:r>
          <w:rPr>
            <w:spacing w:val="75"/>
            <w:color w:val="0000FF"/>
          </w:rPr>
          <w:t xml:space="preserve">• </w:t>
        </w:r>
      </w:hyperlink>
      <w:hyperlink r:id="rId11">
        <w:r>
          <w:rPr>
            <w:color w:val="0000FF"/>
            <w:u w:val="single"/>
          </w:rPr>
          <w:t>2.3. Статусная модель анкеты</w:t>
        </w:r>
      </w:hyperlink>
    </w:p>
    <w:p>
      <w:pPr>
        <w:ind w:left="330" w:hanging="330"/>
      </w:pPr>
      <w:hyperlink r:id="rId12">
        <w:r>
          <w:rPr>
            <w:spacing w:val="75"/>
            <w:color w:val="0000FF"/>
          </w:rPr>
          <w:t xml:space="preserve">• </w:t>
        </w:r>
      </w:hyperlink>
      <w:hyperlink r:id="rId13">
        <w:r>
          <w:rPr>
            <w:color w:val="0000FF"/>
            <w:u w:val="single"/>
          </w:rPr>
          <w:t>3. Функциональные требования</w:t>
        </w:r>
      </w:hyperlink>
    </w:p>
    <w:p>
      <w:pPr>
        <w:ind w:left="660" w:hanging="330"/>
      </w:pPr>
      <w:hyperlink r:id="rId14">
        <w:r>
          <w:rPr>
            <w:spacing w:val="75"/>
            <w:color w:val="0000FF"/>
          </w:rPr>
          <w:t xml:space="preserve">• </w:t>
        </w:r>
      </w:hyperlink>
      <w:hyperlink r:id="rId15">
        <w:r>
          <w:rPr>
            <w:color w:val="0000FF"/>
            <w:u w:val="single"/>
          </w:rPr>
          <w:t>3.1. Конфигурация и версионирование</w:t>
        </w:r>
      </w:hyperlink>
    </w:p>
    <w:p>
      <w:pPr>
        <w:ind w:left="660" w:hanging="330"/>
      </w:pPr>
      <w:hyperlink r:id="rId16">
        <w:r>
          <w:rPr>
            <w:spacing w:val="75"/>
            <w:color w:val="0000FF"/>
          </w:rPr>
          <w:t xml:space="preserve">• </w:t>
        </w:r>
      </w:hyperlink>
      <w:hyperlink r:id="rId17">
        <w:r>
          <w:rPr>
            <w:color w:val="0000FF"/>
            <w:u w:val="single"/>
          </w:rPr>
          <w:t>3.2. Архитектурные компоненты</w:t>
        </w:r>
      </w:hyperlink>
    </w:p>
    <w:p>
      <w:pPr>
        <w:ind w:left="660" w:hanging="330"/>
      </w:pPr>
      <w:hyperlink r:id="rId18">
        <w:r>
          <w:rPr>
            <w:spacing w:val="75"/>
            <w:color w:val="0000FF"/>
          </w:rPr>
          <w:t xml:space="preserve">• </w:t>
        </w:r>
      </w:hyperlink>
      <w:hyperlink r:id="rId19">
        <w:r>
          <w:rPr>
            <w:color w:val="0000FF"/>
            <w:u w:val="single"/>
          </w:rPr>
          <w:t>3.3. Типовые работы</w:t>
        </w:r>
      </w:hyperlink>
    </w:p>
    <w:p>
      <w:pPr>
        <w:ind w:left="660" w:hanging="330"/>
      </w:pPr>
      <w:hyperlink r:id="rId20">
        <w:r>
          <w:rPr>
            <w:spacing w:val="75"/>
            <w:color w:val="0000FF"/>
          </w:rPr>
          <w:t xml:space="preserve">• </w:t>
        </w:r>
      </w:hyperlink>
      <w:hyperlink r:id="rId21">
        <w:r>
          <w:rPr>
            <w:color w:val="0000FF"/>
            <w:u w:val="single"/>
          </w:rPr>
          <w:t>3.4. Нетиповые работы</w:t>
        </w:r>
      </w:hyperlink>
    </w:p>
    <w:p>
      <w:pPr>
        <w:ind w:left="660" w:hanging="330"/>
      </w:pPr>
      <w:hyperlink r:id="rId22">
        <w:r>
          <w:rPr>
            <w:spacing w:val="75"/>
            <w:color w:val="0000FF"/>
          </w:rPr>
          <w:t xml:space="preserve">• </w:t>
        </w:r>
      </w:hyperlink>
      <w:hyperlink r:id="rId23">
        <w:r>
          <w:rPr>
            <w:color w:val="0000FF"/>
            <w:u w:val="single"/>
          </w:rPr>
          <w:t>3.5. Расчёт итоговой трудоёмкости</w:t>
        </w:r>
      </w:hyperlink>
    </w:p>
    <w:p>
      <w:pPr>
        <w:ind w:left="660" w:hanging="330"/>
      </w:pPr>
      <w:hyperlink r:id="rId24">
        <w:r>
          <w:rPr>
            <w:spacing w:val="75"/>
            <w:color w:val="0000FF"/>
          </w:rPr>
          <w:t xml:space="preserve">• </w:t>
        </w:r>
      </w:hyperlink>
      <w:hyperlink r:id="rId25">
        <w:r>
          <w:rPr>
            <w:color w:val="0000FF"/>
            <w:u w:val="single"/>
          </w:rPr>
          <w:t>3.6. Привлечение поддерживающих стримов</w:t>
        </w:r>
      </w:hyperlink>
    </w:p>
    <w:p>
      <w:pPr>
        <w:ind w:left="660" w:hanging="330"/>
      </w:pPr>
      <w:hyperlink r:id="rId26">
        <w:r>
          <w:rPr>
            <w:spacing w:val="75"/>
            <w:color w:val="0000FF"/>
          </w:rPr>
          <w:t xml:space="preserve">• </w:t>
        </w:r>
      </w:hyperlink>
      <w:hyperlink r:id="rId27">
        <w:r>
          <w:rPr>
            <w:color w:val="0000FF"/>
            <w:u w:val="single"/>
          </w:rPr>
          <w:t>3.7. Контроль модели и качество данных</w:t>
        </w:r>
      </w:hyperlink>
    </w:p>
    <w:p>
      <w:pPr>
        <w:ind w:left="660" w:hanging="330"/>
      </w:pPr>
      <w:hyperlink r:id="rId28">
        <w:r>
          <w:rPr>
            <w:spacing w:val="75"/>
            <w:color w:val="0000FF"/>
          </w:rPr>
          <w:t xml:space="preserve">• </w:t>
        </w:r>
      </w:hyperlink>
      <w:hyperlink r:id="rId29">
        <w:r>
          <w:rPr>
            <w:color w:val="0000FF"/>
            <w:u w:val="single"/>
          </w:rPr>
          <w:t>3.8. Статусная модель и завершение анкеты</w:t>
        </w:r>
      </w:hyperlink>
    </w:p>
    <w:p>
      <w:pPr>
        <w:ind w:left="660" w:hanging="330"/>
      </w:pPr>
      <w:hyperlink r:id="rId30">
        <w:r>
          <w:rPr>
            <w:spacing w:val="75"/>
            <w:color w:val="0000FF"/>
          </w:rPr>
          <w:t xml:space="preserve">• </w:t>
        </w:r>
      </w:hyperlink>
      <w:hyperlink r:id="rId31">
        <w:r>
          <w:rPr>
            <w:color w:val="0000FF"/>
            <w:u w:val="single"/>
          </w:rPr>
          <w:t>3.9. Список анкет</w:t>
        </w:r>
      </w:hyperlink>
    </w:p>
    <w:p>
      <w:pPr>
        <w:ind w:left="330" w:hanging="330"/>
      </w:pPr>
      <w:hyperlink r:id="rId32">
        <w:r>
          <w:rPr>
            <w:spacing w:val="75"/>
            <w:color w:val="0000FF"/>
          </w:rPr>
          <w:t xml:space="preserve">• </w:t>
        </w:r>
      </w:hyperlink>
      <w:hyperlink r:id="rId33">
        <w:r>
          <w:rPr>
            <w:color w:val="0000FF"/>
            <w:u w:val="single"/>
          </w:rPr>
          <w:t>4. Дизайн и UX</w:t>
        </w:r>
      </w:hyperlink>
    </w:p>
    <w:p>
      <w:pPr>
        <w:ind w:left="330" w:hanging="330"/>
      </w:pPr>
      <w:hyperlink r:id="rId34">
        <w:r>
          <w:rPr>
            <w:spacing w:val="75"/>
            <w:color w:val="0000FF"/>
          </w:rPr>
          <w:t xml:space="preserve">• </w:t>
        </w:r>
      </w:hyperlink>
      <w:hyperlink r:id="rId35">
        <w:r>
          <w:rPr>
            <w:color w:val="0000FF"/>
            <w:u w:val="single"/>
          </w:rPr>
          <w:t>5. Нефункциональные требования</w:t>
        </w:r>
      </w:hyperlink>
    </w:p>
    <w:p>
      <w:pPr>
        <w:ind w:left="330" w:hanging="330"/>
      </w:pPr>
      <w:hyperlink r:id="rId36">
        <w:r>
          <w:rPr>
            <w:spacing w:val="75"/>
            <w:color w:val="0000FF"/>
          </w:rPr>
          <w:t xml:space="preserve">• </w:t>
        </w:r>
      </w:hyperlink>
      <w:hyperlink r:id="rId37">
        <w:r>
          <w:rPr>
            <w:color w:val="0000FF"/>
            <w:u w:val="single"/>
          </w:rPr>
          <w:t>6. Границы первой итерации</w:t>
        </w:r>
      </w:hyperlink>
    </w:p>
    <w:p>
      <w:pPr>
        <w:spacing w:before="0" w:after="0"/>
        <w:ind/>
      </w:pPr>
      <w:r>
        <w:t xml:space="preserve"> </w:t>
      </w:r>
    </w:p>
    <w:p>
      <w:pPr>
        <w:spacing w:before="300" w:after="300"/>
      </w:pPr>
      <w:bookmarkStart w:name="header-1" w:id="1"/>
      <w:bookmarkEnd w:id="1"/>
      <w:r>
        <w:rPr>
          <w:sz w:val="56"/>
          <w:b w:val="on"/>
          <w:shd w:fill="ffffff"/>
          <w:color w:val="232431"/>
        </w:rPr>
        <w:t>1. Основные положения</w:t>
      </w:r>
    </w:p>
    <w:p>
      <w:pPr>
        <w:spacing w:before="0" w:after="0"/>
        <w:ind/>
      </w:pPr>
      <w:r>
        <w:t>Настоящий документ определяет требования к функциональным и нефункциональным характеристикам приложения "Смарт-Анкета 2.0", подлежащим реализации в первой итерации разработки.</w:t>
      </w:r>
    </w:p>
    <w:p>
      <w:pPr>
        <w:spacing w:before="0" w:after="0"/>
        <w:ind/>
      </w:pPr>
      <w:r>
        <w:t>Документ является основанием для постановки задач команде разработки, формирования тестовой стратегии и приёмки результатов итерации.</w:t>
      </w:r>
    </w:p>
    <w:p>
      <w:pPr>
        <w:spacing w:before="300" w:after="300"/>
      </w:pPr>
      <w:bookmarkStart w:name="header-2" w:id="2"/>
      <w:bookmarkEnd w:id="2"/>
      <w:r>
        <w:rPr>
          <w:sz w:val="56"/>
          <w:b w:val="on"/>
        </w:rPr>
        <w:t>2. Метамодель анкеты</w:t>
      </w:r>
    </w:p>
    <w:p>
      <w:pPr>
        <w:spacing w:before="0" w:after="0"/>
        <w:ind/>
      </w:pPr>
      <w:r>
        <w:t>Анкета описывается иерархической конфигурацией. Корневой объект анкеты содержит разделы, разделы — группы элементов, группы — параметры, архитектурные компоненты и работы.</w:t>
      </w:r>
    </w:p>
    <w:p>
      <w:pPr>
        <w:spacing w:before="0" w:after="0"/>
        <w:ind/>
      </w:pPr>
      <w:r>
        <w:t>Структура иерархии и характеристики каждого уровня приведены в таблицах ниже.</w:t>
      </w:r>
    </w:p>
    <w:p>
      <w:pPr>
        <w:spacing w:before="260" w:after="260"/>
      </w:pPr>
      <w:bookmarkStart w:name="header-3" w:id="3"/>
      <w:bookmarkEnd w:id="3"/>
      <w:r>
        <w:rPr>
          <w:sz w:val="48"/>
          <w:b w:val="on"/>
        </w:rPr>
        <w:t>2.1. Уровни иерархии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4048"/>
        <w:gridCol w:w="2500"/>
      </w:tblGrid>
      <w:tr>
        <w:tc>
          <w:tcPr>
            <w:tcW w:w="27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Уровень</w:t>
            </w:r>
          </w:p>
        </w:tc>
        <w:tc>
          <w:tcPr>
            <w:tcW w:w="1243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Описание</w:t>
            </w:r>
          </w:p>
        </w:tc>
        <w:tc>
          <w:tcPr>
            <w:tcW w:w="714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Атрибуты и связи</w:t>
            </w:r>
          </w:p>
        </w:tc>
      </w:tr>
      <w:tr>
        <w:tc>
          <w:tcPr>
            <w:tcW w:w="27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Анкета</w:t>
            </w:r>
          </w:p>
        </w:tc>
        <w:tc>
          <w:tcPr>
            <w:tcW w:w="124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Корневой объект. Содержит метаданные и иерархию разделов. Имеет статус и историю изменений.</w:t>
            </w:r>
          </w:p>
        </w:tc>
        <w:tc>
          <w:tcPr>
            <w:tcW w:w="71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Уникальный идентификатор;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Cсылка на версию конфигурационной схемы;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Cтатус;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Автор;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Даты создания и изменения</w:t>
            </w:r>
          </w:p>
        </w:tc>
      </w:tr>
      <w:tr>
        <w:tc>
          <w:tcPr>
            <w:tcW w:w="27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Раздел</w:t>
            </w:r>
          </w:p>
        </w:tc>
        <w:tc>
          <w:tcPr>
            <w:tcW w:w="124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Логически обособленная часть анкеты. Тип раздела определяет условие отображения и порядок заполнения.</w:t>
            </w:r>
          </w:p>
        </w:tc>
        <w:tc>
          <w:tcPr>
            <w:tcW w:w="71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Тип (1, 2, 3);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Локальный статус подтверждения</w:t>
            </w:r>
          </w:p>
        </w:tc>
      </w:tr>
      <w:tr>
        <w:tc>
          <w:tcPr>
            <w:tcW w:w="27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Группа элементов</w:t>
            </w:r>
          </w:p>
        </w:tc>
        <w:tc>
          <w:tcPr>
            <w:tcW w:w="124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Логическая группировка содержимого раздела по виду элементов. Каждый раздел содержит до трёх групп.</w:t>
            </w:r>
          </w:p>
        </w:tc>
        <w:tc>
          <w:tcPr>
            <w:tcW w:w="71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Вид (параметры, архитектурные компоненты, работы);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Признак активности</w:t>
            </w:r>
          </w:p>
        </w:tc>
      </w:tr>
      <w:tr>
        <w:tc>
          <w:tcPr>
            <w:tcW w:w="27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Параметр</w:t>
            </w:r>
          </w:p>
        </w:tc>
        <w:tc>
          <w:tcPr>
            <w:tcW w:w="124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Характеристика, задаваемая пользователем. Является триггером поиска связанных типовых работ.</w:t>
            </w:r>
          </w:p>
        </w:tc>
        <w:tc>
          <w:tcPr>
            <w:tcW w:w="71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Тип значения (числовой, логический, справочный);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Весовой коэффициент;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Справочник допустимых значений</w:t>
            </w:r>
          </w:p>
        </w:tc>
      </w:tr>
      <w:tr>
        <w:tc>
          <w:tcPr>
            <w:tcW w:w="27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Архитектурный компонент</w:t>
            </w:r>
          </w:p>
        </w:tc>
        <w:tc>
          <w:tcPr>
            <w:tcW w:w="124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Типовой структурный элемент анкеты. Допускается несколько экземпляров одного типа в одной анкете.</w:t>
            </w:r>
          </w:p>
        </w:tc>
        <w:tc>
          <w:tcPr>
            <w:tcW w:w="71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 экземпляра;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Тип компонента;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Набор значений параметров;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Перечень связанных типовых работ</w:t>
            </w:r>
          </w:p>
        </w:tc>
      </w:tr>
      <w:tr>
        <w:tc>
          <w:tcPr>
            <w:tcW w:w="27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Типовая работа</w:t>
            </w:r>
          </w:p>
        </w:tc>
        <w:tc>
          <w:tcPr>
            <w:tcW w:w="124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Единица работы, формируемая автоматически по правилу справочника. Не редактируется пользователем.</w:t>
            </w:r>
          </w:p>
        </w:tc>
        <w:tc>
          <w:tcPr>
            <w:tcW w:w="71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Наименование;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Тип работ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Ссылка на правило в справочнике;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Нормативная оценка</w:t>
            </w:r>
          </w:p>
        </w:tc>
      </w:tr>
      <w:tr>
        <w:tc>
          <w:tcPr>
            <w:tcW w:w="276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Нетиповая работа</w:t>
            </w:r>
          </w:p>
        </w:tc>
        <w:tc>
          <w:tcPr>
            <w:tcW w:w="1243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Единица работы, добавляемая пользователем вручную для активностей вне справочника.</w:t>
            </w:r>
          </w:p>
        </w:tc>
        <w:tc>
          <w:tcPr>
            <w:tcW w:w="714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Идентификатор;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Наименование;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Тип работ;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Базовая оценка;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Коэффициент сложности;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Признак включения в расчёт</w:t>
            </w:r>
          </w:p>
        </w:tc>
      </w:tr>
    </w:tbl>
    <w:p>
      <w:pPr>
        <w:spacing w:after="120"/>
      </w:pPr>
    </w:p>
    <w:p>
      <w:pPr>
        <w:spacing w:before="260" w:after="260"/>
      </w:pPr>
      <w:bookmarkStart w:name="header-4" w:id="4"/>
      <w:bookmarkEnd w:id="4"/>
      <w:r>
        <w:rPr>
          <w:sz w:val="48"/>
          <w:b w:val="on"/>
        </w:rPr>
        <w:t>2.2. Типы разделов анкеты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661"/>
        <w:gridCol w:w="3384"/>
      </w:tblGrid>
      <w:tr>
        <w:tc>
          <w:tcPr>
            <w:tcW w:w="35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Тип раздела</w:t>
            </w:r>
          </w:p>
        </w:tc>
        <w:tc>
          <w:tcPr>
            <w:tcW w:w="817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Условие отображения</w:t>
            </w:r>
          </w:p>
        </w:tc>
        <w:tc>
          <w:tcPr>
            <w:tcW w:w="103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Содержимое</w:t>
            </w:r>
          </w:p>
        </w:tc>
      </w:tr>
      <w:tr>
        <w:tc>
          <w:tcPr>
            <w:tcW w:w="35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Тип 1. Общие сведения</w:t>
            </w:r>
          </w:p>
        </w:tc>
        <w:tc>
          <w:tcPr>
            <w:tcW w:w="8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Отображается всегда</w:t>
            </w:r>
          </w:p>
        </w:tc>
        <w:tc>
          <w:tcPr>
            <w:tcW w:w="103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Общая информация по смарт-анкете и информационному сервису: наименование, описание, контекст инициативы</w:t>
            </w:r>
          </w:p>
        </w:tc>
      </w:tr>
      <w:tr>
        <w:tc>
          <w:tcPr>
            <w:tcW w:w="35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Тип 2. Модельный стрим</w:t>
            </w:r>
          </w:p>
        </w:tc>
        <w:tc>
          <w:tcPr>
            <w:tcW w:w="8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Отображается всегда. Заполняется представителем модельного стрима</w:t>
            </w:r>
          </w:p>
        </w:tc>
        <w:tc>
          <w:tcPr>
            <w:tcW w:w="103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Параметры архитектурных компонентов, формирующие перечень типовых работ; перечень нетиповых работ модельного стрима</w:t>
            </w:r>
          </w:p>
        </w:tc>
      </w:tr>
      <w:tr>
        <w:tc>
          <w:tcPr>
            <w:tcW w:w="357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Тип 3. Платформенные и поддерживающие стримы</w:t>
            </w:r>
          </w:p>
        </w:tc>
        <w:tc>
          <w:tcPr>
            <w:tcW w:w="817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Часть разделов отображается автоматически по перечню типовых работ из раздела типа 2 (при заполнении параметров архитектурных компонентов); часть — при явном привлечении стрима автором</w:t>
            </w:r>
          </w:p>
        </w:tc>
        <w:tc>
          <w:tcPr>
            <w:tcW w:w="1039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Параметры и работы, относящиеся к области ответственности конкретного поддерживающего стрима</w:t>
            </w:r>
          </w:p>
        </w:tc>
      </w:tr>
    </w:tbl>
    <w:p>
      <w:pPr>
        <w:spacing w:after="120"/>
      </w:pPr>
    </w:p>
    <w:p>
      <w:pPr>
        <w:spacing w:before="260" w:after="260"/>
      </w:pPr>
      <w:bookmarkStart w:name="header-5" w:id="5"/>
      <w:bookmarkEnd w:id="5"/>
      <w:r>
        <w:rPr>
          <w:sz w:val="48"/>
          <w:b w:val="on"/>
        </w:rPr>
        <w:t>2.3. Статусная модель анкеты</w:t>
      </w:r>
    </w:p>
    <w:p>
      <w:pPr>
        <w:spacing w:before="0" w:after="0"/>
        <w:ind/>
      </w:pPr>
      <w:r>
        <w:t xml:space="preserve"> 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2832"/>
        <w:gridCol w:w="3120"/>
      </w:tblGrid>
      <w:tr>
        <w:tc>
          <w:tcPr>
            <w:tcW w:w="27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Статус</w:t>
            </w:r>
          </w:p>
        </w:tc>
        <w:tc>
          <w:tcPr>
            <w:tcW w:w="870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Характеристика</w:t>
            </w:r>
          </w:p>
        </w:tc>
        <w:tc>
          <w:tcPr>
            <w:tcW w:w="958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Допустимые переходы</w:t>
            </w:r>
          </w:p>
        </w:tc>
      </w:tr>
      <w:tr>
        <w:tc>
          <w:tcPr>
            <w:tcW w:w="27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Черновик</w:t>
            </w:r>
          </w:p>
        </w:tc>
        <w:tc>
          <w:tcPr>
            <w:tcW w:w="87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Анкета доступна для редактирования автором.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Разделы поддерживающих стримов могут находиться в состоянии "создано", «в работе» и «заполнено»</w:t>
            </w:r>
          </w:p>
        </w:tc>
        <w:tc>
          <w:tcPr>
            <w:tcW w:w="95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>Переход в «Завершено» при подтверждении всех обязательных разделов</w:t>
            </w:r>
          </w:p>
        </w:tc>
      </w:tr>
      <w:tr>
        <w:tc>
          <w:tcPr>
            <w:tcW w:w="27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Завершено</w:t>
            </w:r>
          </w:p>
        </w:tc>
        <w:tc>
          <w:tcPr>
            <w:tcW w:w="8700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Все обязательные разделы подтверждены. 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 xml:space="preserve">Поля анкеты заблокированы для редактирования. Возврат в редактирование не предусмотрен — для дальнейшей работы создаётся копия анкеты (см. ФТ-040) </w:t>
            </w:r>
          </w:p>
        </w:tc>
        <w:tc>
          <w:tcPr>
            <w:tcW w:w="9585" w:type="dxa"/>
          </w:tcPr>
          <w:p>
            <w:pPr>
              <w:spacing w:before="0" w:after="0"/>
              <w:ind/>
            </w:pPr>
            <w:r>
              <w:rPr>
                <w:b w:val="off"/>
              </w:rPr>
              <w:t xml:space="preserve"> Терминальный статус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300" w:after="300"/>
      </w:pPr>
      <w:bookmarkStart w:name="header-6" w:id="6"/>
      <w:bookmarkEnd w:id="6"/>
      <w:r>
        <w:rPr>
          <w:sz w:val="56"/>
          <w:b w:val="on"/>
          <w:color w:val="232431"/>
        </w:rPr>
        <w:t>3</w:t>
      </w:r>
      <w:r>
        <w:rPr>
          <w:sz w:val="56"/>
          <w:b w:val="on"/>
          <w:shd w:fill="ffffff"/>
          <w:color w:val="232431"/>
        </w:rPr>
        <w:t xml:space="preserve">. </w:t>
      </w:r>
      <w:r>
        <w:rPr>
          <w:sz w:val="56"/>
          <w:b w:val="on"/>
          <w:color w:val="232431"/>
        </w:rPr>
        <w:t>Функциональные требования</w:t>
      </w:r>
    </w:p>
    <w:p>
      <w:pPr>
        <w:spacing w:before="260" w:after="260"/>
      </w:pPr>
      <w:bookmarkStart w:name="header-7" w:id="7"/>
      <w:bookmarkEnd w:id="7"/>
      <w:r>
        <w:rPr>
          <w:sz w:val="48"/>
          <w:b w:val="on"/>
        </w:rPr>
        <w:t>3.1. Конфигурация и версионирование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45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ФТ-001</w:t>
            </w:r>
          </w:p>
        </w:tc>
        <w:tc>
          <w:tcPr>
            <w:tcW w:w="2421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Описание структуры анкеты на основе конфигурационной схемы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Структура анкеты должна описываться в конфигурационных файлах на стороне сервера, а не фиксироваться в программном коде.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описываемых элементов</w:t>
            </w:r>
          </w:p>
          <w:p/>
          <w:p>
            <w:pPr>
              <w:numPr>
                <w:ilvl w:val="0"/>
                <w:numId w:val="174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Разделы анкеты и условия их отображения</w:t>
            </w:r>
          </w:p>
          <w:p>
            <w:pPr>
              <w:numPr>
                <w:ilvl w:val="0"/>
                <w:numId w:val="174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Группы элементов внутри разделов</w:t>
            </w:r>
          </w:p>
          <w:p>
            <w:pPr>
              <w:numPr>
                <w:ilvl w:val="0"/>
                <w:numId w:val="174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Архитектурные компоненты и допустимое число их экземпляров</w:t>
            </w:r>
          </w:p>
          <w:p>
            <w:pPr>
              <w:numPr>
                <w:ilvl w:val="0"/>
                <w:numId w:val="174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Параметры компонентов и правила их представления</w:t>
            </w:r>
          </w:p>
          <w:p>
            <w:pPr>
              <w:numPr>
                <w:ilvl w:val="0"/>
                <w:numId w:val="1743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Правила связи параметров со справочником типовых работ</w:t>
            </w:r>
          </w:p>
          <w:p>
            <w:pPr>
              <w:spacing w:before="0" w:after="120"/>
            </w:pP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Технические особенности</w:t>
            </w:r>
          </w:p>
          <w:p/>
          <w:p>
            <w:pPr>
              <w:numPr>
                <w:ilvl w:val="0"/>
                <w:numId w:val="1744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Формат конфигурационных файлов — JSON</w:t>
            </w:r>
          </w:p>
          <w:p>
            <w:pPr>
              <w:numPr>
                <w:ilvl w:val="0"/>
                <w:numId w:val="1744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Конфигурация загружается на стороне сервера и применяется при создании каждой новой анкеты</w:t>
            </w:r>
          </w:p>
          <w:p>
            <w:pPr>
              <w:numPr>
                <w:ilvl w:val="0"/>
                <w:numId w:val="1744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Изменение конфигурации одного стрима не должно затрагивать конфигурации других стримов</w:t>
            </w:r>
          </w:p>
          <w:p>
            <w:pPr>
              <w:spacing w:before="0" w:after="120"/>
            </w:pPr>
          </w:p>
        </w:tc>
      </w:tr>
      <w:tr>
        <w:tc>
          <w:tcPr>
            <w:tcW w:w="145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ФТ-002</w:t>
            </w:r>
          </w:p>
        </w:tc>
        <w:tc>
          <w:tcPr>
            <w:tcW w:w="2421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Хранение параметров и допустимых значений в справочниках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Перечень параметров каждого архитектурного компонента и содержимое всех элементов выбора значений должны храниться в справочниках на стороне сервера.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справочников</w:t>
            </w:r>
          </w:p>
          <w:p/>
          <w:p>
            <w:pPr>
              <w:numPr>
                <w:ilvl w:val="0"/>
                <w:numId w:val="174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Перечень параметров — отдельный справочник для каждого типа архитектурного компонента</w:t>
            </w:r>
          </w:p>
          <w:p>
            <w:pPr>
              <w:numPr>
                <w:ilvl w:val="0"/>
                <w:numId w:val="174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Содержимое выпадающих списков, групп переключателей и групп флажков — соответствующие справочники допустимых значений</w:t>
            </w:r>
          </w:p>
          <w:p>
            <w:pPr>
              <w:numPr>
                <w:ilvl w:val="0"/>
                <w:numId w:val="1745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Все справочники подгружаются в форму анкеты динамически</w:t>
            </w:r>
          </w:p>
          <w:p>
            <w:pPr>
              <w:spacing w:before="0" w:after="120"/>
            </w:pP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Принцип расширяемости</w:t>
            </w:r>
          </w:p>
          <w:p/>
          <w:p>
            <w:pPr>
              <w:numPr>
                <w:ilvl w:val="0"/>
                <w:numId w:val="1746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Добавление нового параметра выполняется добавлением записи в справочник</w:t>
            </w:r>
          </w:p>
          <w:p>
            <w:pPr>
              <w:numPr>
                <w:ilvl w:val="0"/>
                <w:numId w:val="1746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Добавление нового допустимого значения выполняется добавлением записи в соответствующий справочник</w:t>
            </w:r>
          </w:p>
          <w:p>
            <w:pPr>
              <w:numPr>
                <w:ilvl w:val="0"/>
                <w:numId w:val="1746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Модификация программного кода для подобных изменений не требуется</w:t>
            </w:r>
          </w:p>
          <w:p>
            <w:pPr>
              <w:spacing w:before="0" w:after="120"/>
            </w:pPr>
          </w:p>
        </w:tc>
      </w:tr>
      <w:tr>
        <w:tc>
          <w:tcPr>
            <w:tcW w:w="145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ФТ-003</w:t>
            </w:r>
          </w:p>
        </w:tc>
        <w:tc>
          <w:tcPr>
            <w:tcW w:w="2421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Отображение только активных элементов справочников</w:t>
            </w:r>
          </w:p>
          <w:p/>
          <w:p>
            <w:pPr>
              <w:numPr>
                <w:ilvl w:val="0"/>
                <w:numId w:val="1747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В форме анкеты должны отображаться только записи справочников, имеющие активный признак</w:t>
            </w:r>
          </w:p>
          <w:p>
            <w:pPr>
              <w:numPr>
                <w:ilvl w:val="0"/>
                <w:numId w:val="1747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Деактивированные записи должны сохраняться в анкетах, созданных до момента деактивации</w:t>
            </w:r>
          </w:p>
          <w:p>
            <w:pPr>
              <w:numPr>
                <w:ilvl w:val="0"/>
                <w:numId w:val="1747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Деактивированные записи не должны предлагаться для выбора в новых анкетах</w:t>
            </w:r>
          </w:p>
          <w:p>
            <w:pPr>
              <w:spacing w:before="0" w:after="120"/>
            </w:pPr>
          </w:p>
        </w:tc>
      </w:tr>
      <w:tr>
        <w:tc>
          <w:tcPr>
            <w:tcW w:w="145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ФТ-004</w:t>
            </w:r>
          </w:p>
        </w:tc>
        <w:tc>
          <w:tcPr>
            <w:tcW w:w="2421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Валидация конфигурационной схемы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Загружаемая конфигурационная схема должна проходить валидацию по формальным правилам до сохранения и активации.</w:t>
            </w:r>
          </w:p>
          <w:p/>
          <w:p>
            <w:pPr>
              <w:numPr>
                <w:ilvl w:val="0"/>
                <w:numId w:val="1748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При обнаружении ошибки система должна возвращать развёрнутое сообщение с указанием пути к проблемному элементу</w:t>
            </w:r>
          </w:p>
          <w:p>
            <w:pPr>
              <w:numPr>
                <w:ilvl w:val="0"/>
                <w:numId w:val="1748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Невалидная схема не должна заменять текущую активную</w:t>
            </w:r>
          </w:p>
          <w:p>
            <w:pPr>
              <w:numPr>
                <w:ilvl w:val="0"/>
                <w:numId w:val="1748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Результат валидации должен фиксироваться в журнале аудита</w:t>
            </w:r>
          </w:p>
          <w:p>
            <w:pPr>
              <w:spacing w:before="0" w:after="120"/>
            </w:pPr>
          </w:p>
        </w:tc>
      </w:tr>
      <w:tr>
        <w:tc>
          <w:tcPr>
            <w:tcW w:w="145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ФТ-005</w:t>
            </w:r>
          </w:p>
        </w:tc>
        <w:tc>
          <w:tcPr>
            <w:tcW w:w="2421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Активация версии конфигурационной схемы</w:t>
            </w:r>
          </w:p>
          <w:p/>
          <w:p>
            <w:pPr>
              <w:numPr>
                <w:ilvl w:val="0"/>
                <w:numId w:val="1749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В каждый момент времени должна быть активна ровно одна версия конфигурационной схемы</w:t>
            </w:r>
          </w:p>
          <w:p>
            <w:pPr>
              <w:numPr>
                <w:ilvl w:val="0"/>
                <w:numId w:val="1749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При смене активной версии ранее созданные анкеты не должны пересчитываться автоматически</w:t>
            </w:r>
          </w:p>
          <w:p>
            <w:pPr>
              <w:numPr>
                <w:ilvl w:val="0"/>
                <w:numId w:val="1749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Действие активации должно фиксироваться в журнале аудита с указанием пользователя, даты, времени и идентификатора версии</w:t>
            </w:r>
          </w:p>
          <w:p>
            <w:pPr>
              <w:spacing w:before="0" w:after="120"/>
            </w:pPr>
          </w:p>
        </w:tc>
      </w:tr>
      <w:tr>
        <w:tc>
          <w:tcPr>
            <w:tcW w:w="145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ФТ-006</w:t>
            </w:r>
          </w:p>
        </w:tc>
        <w:tc>
          <w:tcPr>
            <w:tcW w:w="2421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Формат номера версии конфигурационной схемы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Каждая версия конфигурационной схемы должна иметь уникальный идентификатор и номер в формате «мажорная.минорная».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Мажорная версия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Фиксирует изменения, затрагивающие логику расчёта трудоёмкости: состав параметров, весовые коэффициенты, структуру зависимостей между параметрами и работами.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Минорная версия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Фиксирует изменения, не затрагивающие расчёт: метки полей, порядок отображения, тексты подсказок, признаки активности справочных значений.</w:t>
            </w:r>
          </w:p>
        </w:tc>
      </w:tr>
      <w:tr>
        <w:tc>
          <w:tcPr>
            <w:tcW w:w="145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ФТ-007</w:t>
            </w:r>
          </w:p>
        </w:tc>
        <w:tc>
          <w:tcPr>
            <w:tcW w:w="2421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Фиксация версии конфигурационной схемы у анкеты</w:t>
            </w:r>
          </w:p>
          <w:p/>
          <w:p>
            <w:pPr>
              <w:numPr>
                <w:ilvl w:val="0"/>
                <w:numId w:val="1750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Каждая заполненная анкета должна хранить ссылку на версию схемы, в соответствии с которой она была создана</w:t>
            </w:r>
          </w:p>
          <w:p>
            <w:pPr>
              <w:numPr>
                <w:ilvl w:val="0"/>
                <w:numId w:val="1750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При открытии существующей анкеты система должна использовать именно ту версию схемы, которая зафиксирована в её атрибутах</w:t>
            </w:r>
          </w:p>
          <w:p>
            <w:pPr>
              <w:numPr>
                <w:ilvl w:val="0"/>
                <w:numId w:val="1750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ff"/>
              </w:rPr>
              <w:t>Изменения конфигурации, выполненные после создания анкеты, не должны влиять на ранее сохранённые анкеты</w:t>
            </w:r>
          </w:p>
          <w:p>
            <w:pPr>
              <w:spacing w:before="0" w:after="120"/>
            </w:pPr>
          </w:p>
          <w:p>
            <w:pPr>
              <w:spacing w:before="0" w:after="0"/>
              <w:ind/>
            </w:pPr>
            <w:r>
              <w:rPr>
                <w:color w:val="595959"/>
                <w:i w:val="on"/>
                <w:b w:val="on"/>
              </w:rPr>
              <w:t xml:space="preserve">Примечание. </w:t>
            </w:r>
            <w:r>
              <w:rPr>
                <w:color w:val="595959"/>
                <w:i w:val="on"/>
                <w:b w:val="off"/>
              </w:rPr>
              <w:t>Просмотр истории версий, откат и пересчёт сохранённых анкет по новой версии схемы реализуются в последующих итерациях.</w:t>
            </w:r>
          </w:p>
        </w:tc>
      </w:tr>
      <w:tr>
        <w:tc>
          <w:tcPr>
            <w:tcW w:w="145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ФТ-008</w:t>
            </w:r>
          </w:p>
        </w:tc>
        <w:tc>
          <w:tcPr>
            <w:tcW w:w="2421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Ручное управление конфигурацией в первой итерации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Редактирование конфигурационных файлов выполняется силами разработчика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Наполнение справочников выполняется силами разработчика или уполномоченными сотрудниками сопровождения через интерфейсы баз данных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Графический административный интерфейс реализуется в последующих итерациях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jc w:val="left"/>
      </w:pPr>
      <w:r>
        <w:drawing>
          <wp:inline distT="0" distR="0" distB="0" distL="0">
            <wp:extent cx="2952750" cy="395287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" w:after="260"/>
        <w:jc w:val="center"/>
      </w:pPr>
      <w:bookmarkStart w:name="header-8" w:id="8"/>
      <w:bookmarkEnd w:id="8"/>
      <w:r>
        <w:rPr>
          <w:sz w:val="48"/>
          <w:b w:val="on"/>
        </w:rPr>
        <w:t>3.2. Архитектурные компоненты</w:t>
      </w:r>
      <w:r>
        <w:drawing>
          <wp:inline distT="0" distR="0" distB="0" distL="0">
            <wp:extent cx="4067175" cy="1371600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ind/>
      </w:pPr>
      <w:r>
        <w:t xml:space="preserve"> 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60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ФТ-009</w:t>
            </w:r>
          </w:p>
        </w:tc>
        <w:tc>
          <w:tcPr>
            <w:tcW w:w="2409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Управление экземплярами архитектурных компонентов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рамках одной анкеты пользователь должен иметь возможность добавить несколько экземпляров одного типа архитектурного компонента (за исключением модельного сервиса в рамках первой итерации), если иное не ограничено конфигурационной схемой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Свойства экземпляра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Уникальный идентификатор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Независимый набор значений параметров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Собственный перечень связанных типовых работ</w:t>
            </w:r>
          </w:p>
        </w:tc>
      </w:tr>
      <w:tr>
        <w:tc>
          <w:tcPr>
            <w:tcW w:w="160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ФТ-010</w:t>
            </w:r>
          </w:p>
        </w:tc>
        <w:tc>
          <w:tcPr>
            <w:tcW w:w="2409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Удаление экземпляра архитектурного компонента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Удаление должно выполняться с явным подтверждением пользователя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удалении все связанные типовые работы должны удаляться автоматически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Итоговая калькуляция должна пересчитываться по факту удаления</w:t>
            </w:r>
          </w:p>
          <w:p>
            <w:pPr>
              <w:spacing w:before="0" w:after="0"/>
              <w:ind/>
            </w:pPr>
            <w:r>
              <w:rPr>
                <w:color w:val="595959"/>
                <w:i w:val="on"/>
                <w:b w:val="on"/>
              </w:rPr>
              <w:t xml:space="preserve">См. также: </w:t>
            </w:r>
            <w:r>
              <w:rPr>
                <w:color w:val="595959"/>
                <w:i w:val="on"/>
                <w:b w:val="off"/>
              </w:rPr>
              <w:t>ФТ-016 (формирование типовых работ), ФТ-026 (итоговая калькуляция)</w:t>
            </w:r>
          </w:p>
        </w:tc>
      </w:tr>
      <w:tr>
        <w:tc>
          <w:tcPr>
            <w:tcW w:w="160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ФТ-011</w:t>
            </w:r>
          </w:p>
        </w:tc>
        <w:tc>
          <w:tcPr>
            <w:tcW w:w="2409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Учёт области использования витрины данных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Для архитектурного компонента «Витрина данных» должна быть предусмотрена возможность указания области её использования внутри одного модельного сервиса.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Витрина связывается с одной или несколькими моделями того же модельного сервиса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Трудоёмкость разработки витрины учитывается в калькуляции единожды независимо от числа связанных моделей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изменении состава связанных моделей итоговая калькуляция пересчитывается</w:t>
            </w:r>
          </w:p>
          <w:p>
            <w:pPr>
              <w:spacing w:before="0" w:after="0"/>
              <w:ind/>
            </w:pPr>
            <w:r>
              <w:rPr>
                <w:color w:val="595959"/>
                <w:i w:val="on"/>
                <w:b w:val="on"/>
              </w:rPr>
              <w:t xml:space="preserve">Примечание. </w:t>
            </w:r>
            <w:r>
              <w:rPr>
                <w:color w:val="595959"/>
                <w:i w:val="on"/>
                <w:b w:val="off"/>
              </w:rPr>
              <w:t>Поддержка общей витрины, обслуживающей модели из разных модельных сервисов, реализуется в последующих итерациях.</w:t>
            </w:r>
          </w:p>
        </w:tc>
      </w:tr>
      <w:tr>
        <w:tc>
          <w:tcPr>
            <w:tcW w:w="160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ФТ-012</w:t>
            </w:r>
          </w:p>
        </w:tc>
        <w:tc>
          <w:tcPr>
            <w:tcW w:w="2409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Матрица типов алгоритмов моделей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разделах, содержащих сведения о моделях, должен быть реализован табличный механизм фиксации каскадов и ансамблей моделей в виде матрицы «тип алгоритма — количество моделей».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колонок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Тип алгоритма — выбор из справочника типов алгоритмов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Количество моделей — целое положительное число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Весовой коэффициент — отображается из справочника, не редактируется (см. ФТ-014)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Строки матрицы добавляются и удаляются динамически без ограничения сверху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Согласованность матрицы контролируется требованием ФТ-013</w:t>
            </w:r>
          </w:p>
        </w:tc>
      </w:tr>
      <w:tr>
        <w:tc>
          <w:tcPr>
            <w:tcW w:w="160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ФТ-013</w:t>
            </w:r>
          </w:p>
        </w:tc>
        <w:tc>
          <w:tcPr>
            <w:tcW w:w="2409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Контроль согласованности матрицы типов алгоритмов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Сумма значений в колонке количества моделей должна совпадать с общим заявленным числом моделей модельного сервиса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несовпадении в интерфейсе отображается предупреждение с указанием контрольной суммы (заявлено / введено)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несовпадении переход анкеты в статус «Завершено» должен быть заблокирован</w:t>
            </w:r>
          </w:p>
        </w:tc>
      </w:tr>
      <w:tr>
        <w:tc>
          <w:tcPr>
            <w:tcW w:w="160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ФТ-014</w:t>
            </w:r>
          </w:p>
        </w:tc>
        <w:tc>
          <w:tcPr>
            <w:tcW w:w="2409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Отображение весового коэффициента типа алгоритма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Весовой коэффициент каждого типа алгоритма отображается рядом с его наименованием в матрице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Значение коэффициента подгружается из справочника типов алгоритмов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Поле коэффициента не доступно для редактирования из карточки анкеты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наведении на значение коэффициента отображается подсказка о его источнике</w:t>
            </w:r>
          </w:p>
        </w:tc>
      </w:tr>
      <w:tr>
        <w:tc>
          <w:tcPr>
            <w:tcW w:w="160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ФТ-015</w:t>
            </w:r>
          </w:p>
        </w:tc>
        <w:tc>
          <w:tcPr>
            <w:tcW w:w="2409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Создание карточек моделей при завершении анкеты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переходе анкеты в статус «Завершено» для каждой модели должна автоматически создаваться соответствующая карточка в системе управления моделями.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атрибутов карточки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Наименование модели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Тип алгоритма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Ссылка на исходную анкету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 при повторном завершении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повторном переводе анкеты в «Завершено» ранее созданные карточки должны обновляться без дублирования.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260" w:after="260"/>
      </w:pPr>
      <w:bookmarkStart w:name="header-9" w:id="9"/>
      <w:bookmarkEnd w:id="9"/>
      <w:r>
        <w:rPr>
          <w:sz w:val="48"/>
          <w:b w:val="on"/>
        </w:rPr>
        <w:t>3.3. Типовые работы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ФТ-016</w:t>
            </w:r>
          </w:p>
        </w:tc>
        <w:tc>
          <w:tcPr>
            <w:tcW w:w="2403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Автоматическое формирование перечня типовых работ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задании или изменении значения параметра архитектурного компонента система должна выполнять поиск в справочнике типовых работ по совокупности условий: тип компонента, наименование параметра, значение параметра.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 перечня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Работы, условие включения которых выполнено, добавляются в перечень автоматически с нормативной оценкой из справочника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Работы, условие включения которых перестало выполняться, исключаются из перечня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удалении параметра или экземпляра компонента все связанные с ними типовые работы удаляются</w:t>
            </w:r>
          </w:p>
          <w:p>
            <w:pPr>
              <w:spacing w:before="0" w:after="0"/>
              <w:ind/>
            </w:pPr>
            <w:r>
              <w:rPr>
                <w:color w:val="595959"/>
                <w:i w:val="on"/>
                <w:b w:val="on"/>
              </w:rPr>
              <w:t xml:space="preserve">См. также: </w:t>
            </w:r>
            <w:r>
              <w:rPr>
                <w:color w:val="595959"/>
                <w:i w:val="on"/>
                <w:b w:val="off"/>
              </w:rPr>
              <w:t>ФТ-026 (пересчёт итоговой калькуляции)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ФТ-017</w:t>
            </w:r>
          </w:p>
        </w:tc>
        <w:tc>
          <w:tcPr>
            <w:tcW w:w="2403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Запрет ручного редактирования типовых работ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Состав и параметры типовых работ должны определяться исключительно справочником типовых работ. Пользователь не должен иметь возможности их изменять.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Запрещённые действия пользователя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Добавление типовой работы вручную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Удаление типовой работы (за исключением каскадного удаления при изменении параметра)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Изменение наименования типовой работы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Изменение нормативной оценки типовой работы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Реализация запрета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Соответствующие поля в интерфейсе отображаются в режиме «только чтение»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Попытки изменения через программный интерфейс отклоняются с возвратом стандартизированной ошибки доступа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ФТ-018</w:t>
            </w:r>
          </w:p>
        </w:tc>
        <w:tc>
          <w:tcPr>
            <w:tcW w:w="2403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Управление нормативными оценками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Нормативные оценки типовых работ устанавливаются централизованно через справочник типовых работ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Изменение нормативной оценки в справочнике не влияет на ранее завершённые анкеты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Влияние изменения на анкеты в статусе «Черновик» определяется версионированием конфигурационной схемы (ФТ-006, ФТ-007)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260" w:after="260"/>
      </w:pPr>
      <w:bookmarkStart w:name="header-10" w:id="10"/>
      <w:bookmarkEnd w:id="10"/>
      <w:r>
        <w:rPr>
          <w:sz w:val="48"/>
          <w:b w:val="on"/>
        </w:rPr>
        <w:t>3.4. Нетиповые работы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ФТ-019</w:t>
            </w:r>
          </w:p>
        </w:tc>
        <w:tc>
          <w:tcPr>
            <w:tcW w:w="240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Добавление нетиповых работ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Пользователь должен иметь возможность добавить неограниченное количество нетиповых работ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Нетиповые работы располагаются в специально выделенной группе раздела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Назначение нетиповых работ — отражение активностей, не охватываемых нормативным справочником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ФТ-020</w:t>
            </w:r>
          </w:p>
        </w:tc>
        <w:tc>
          <w:tcPr>
            <w:tcW w:w="240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Состав атрибутов нетиповой работы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Нетиповая работа должна описываться следующими атрибутами.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Обязательные атрибуты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 xml:space="preserve">• </w:t>
            </w:r>
            <w:r>
              <w:rPr>
                <w:b w:val="on"/>
              </w:rPr>
              <w:t xml:space="preserve">Наименование — </w:t>
            </w:r>
            <w:r>
              <w:rPr>
                <w:b w:val="off"/>
              </w:rPr>
              <w:t>текстовое значение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 xml:space="preserve">• </w:t>
            </w:r>
            <w:r>
              <w:rPr>
                <w:b w:val="on"/>
              </w:rPr>
              <w:t xml:space="preserve">Тип работ — </w:t>
            </w:r>
            <w:r>
              <w:rPr>
                <w:b w:val="off"/>
              </w:rPr>
              <w:t>значение из методологического справочника типов работ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 xml:space="preserve">• </w:t>
            </w:r>
            <w:r>
              <w:rPr>
                <w:b w:val="on"/>
              </w:rPr>
              <w:t xml:space="preserve">Базовая оценка трудоёмкости — </w:t>
            </w:r>
            <w:r>
              <w:rPr>
                <w:b w:val="off"/>
              </w:rPr>
              <w:t>целое положительное число (человеко-дней)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 xml:space="preserve">• </w:t>
            </w:r>
            <w:r>
              <w:rPr>
                <w:b w:val="on"/>
              </w:rPr>
              <w:t xml:space="preserve">Коэффициент сложности — </w:t>
            </w:r>
            <w:r>
              <w:rPr>
                <w:b w:val="off"/>
              </w:rPr>
              <w:t>положительное число; диапазон задаётся справочником (см. ОВ-003)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Системные атрибуты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 xml:space="preserve">• </w:t>
            </w:r>
            <w:r>
              <w:rPr>
                <w:b w:val="on"/>
              </w:rPr>
              <w:t xml:space="preserve">Признак включения в итоговый расчёт — </w:t>
            </w:r>
            <w:r>
              <w:rPr>
                <w:b w:val="off"/>
              </w:rPr>
              <w:t>логический атрибут, по умолчанию активен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 xml:space="preserve">• </w:t>
            </w:r>
            <w:r>
              <w:rPr>
                <w:b w:val="on"/>
              </w:rPr>
              <w:t xml:space="preserve">Итоговая оценка трудоёмкости — </w:t>
            </w:r>
            <w:r>
              <w:rPr>
                <w:b w:val="off"/>
              </w:rPr>
              <w:t>рассчитываемое значение, недоступное для прямого ввода (см. ФТ-021)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ФТ-021</w:t>
            </w:r>
          </w:p>
        </w:tc>
        <w:tc>
          <w:tcPr>
            <w:tcW w:w="240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Расчёт итоговой оценки нетиповой работы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Итоговая оценка трудоёмкости нетиповой работы вычисляется автоматически как произведение базовой оценки и коэффициента сложности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Поле итоговой оценки отображается в интерфейсе и обновляется при изменении базовой оценки или коэффициента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Прямое редактирование итоговой оценки не допускается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ФТ-022</w:t>
            </w:r>
          </w:p>
        </w:tc>
        <w:tc>
          <w:tcPr>
            <w:tcW w:w="240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Признак включения нетиповой работы в расчёт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Каждая нетиповая работа должна иметь логический признак включения в итоговую калькуляцию.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Назначение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Признак позволяет пользователю исключить из расчёта работу, формально присутствующую в перечне, но не выполняемую в рамках конкретного проекта, с сохранением её видимости в перечне.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Значение по умолчанию при добавлении новой нетиповой работы — «активен»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деактивации признака работа сохраняется в перечне, но не учитывается в итоговой калькуляции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Изменение значения признака вызывает незамедлительный пересчёт итоговой калькуляции</w:t>
            </w:r>
          </w:p>
          <w:p>
            <w:pPr>
              <w:spacing w:before="0" w:after="0"/>
              <w:ind/>
            </w:pPr>
            <w:r>
              <w:rPr>
                <w:color w:val="595959"/>
                <w:i w:val="on"/>
                <w:b w:val="on"/>
              </w:rPr>
              <w:t xml:space="preserve">Примечание. </w:t>
            </w:r>
            <w:r>
              <w:rPr>
                <w:color w:val="595959"/>
                <w:i w:val="on"/>
                <w:b w:val="off"/>
              </w:rPr>
              <w:t>Признак применяется только к нетиповым работам. Типовые работы участвуют в калькуляции в полном объёме согласно справочнику.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ФТ-022</w:t>
            </w:r>
          </w:p>
        </w:tc>
        <w:tc>
          <w:tcPr>
            <w:tcW w:w="2404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Валидация обязательных атрибутов нетиповой работы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Сохранение нетиповой работы блокируется при незаполненных обязательных атрибутах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У каждого незаполненного обязательного поля отображается соответствующее сообщение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Диапазон допустимых значений коэффициента сложности определяется методологом и фиксируется на уровне справочника</w:t>
            </w:r>
          </w:p>
          <w:p>
            <w:pPr>
              <w:spacing w:before="0" w:after="0"/>
              <w:ind/>
            </w:pPr>
            <w:r>
              <w:rPr>
                <w:color w:val="595959"/>
                <w:i w:val="on"/>
                <w:b w:val="on"/>
              </w:rPr>
              <w:t xml:space="preserve">См. также: </w:t>
            </w:r>
            <w:r>
              <w:rPr>
                <w:color w:val="595959"/>
                <w:i w:val="on"/>
                <w:b w:val="off"/>
              </w:rPr>
              <w:t>ФТ-020 (состав атрибутов), ОВ-003 (диапазон коэффициента сложности)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260" w:after="260"/>
      </w:pPr>
      <w:bookmarkStart w:name="header-11" w:id="11"/>
      <w:bookmarkEnd w:id="11"/>
      <w:r>
        <w:rPr>
          <w:sz w:val="48"/>
          <w:b w:val="on"/>
        </w:rPr>
        <w:t>3.5. Расчёт итоговой трудоёмкости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ФТ-024</w:t>
            </w:r>
          </w:p>
        </w:tc>
        <w:tc>
          <w:tcPr>
            <w:tcW w:w="2412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Мультипликативная модель расчёта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Расчёт итоговой трудоёмкости должен строиться на единой мультипликативной модели без индивидуальных формул для каждого стрима.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Последовательность расчёта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Параметры каждой группы элементов образуют локальный коэффициент путём перемножения соответствующих весовых значений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Локальные коэффициенты групп перемножаются между собой, давая итоговый коэффициент раздела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Итоговая оценка трудоёмкости каждой типовой работы — произведение нормативной оценки и итогового коэффициента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Свойство модели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Перемещение параметра между группами или компонентами не требует переписывания формулы — весовой коэффициент параметра следует за ним.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ФТ-025</w:t>
            </w:r>
          </w:p>
        </w:tc>
        <w:tc>
          <w:tcPr>
            <w:tcW w:w="2412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Приоритетный режим расчёта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дополнение к мультипликативной модели должен поддерживаться приоритетный режим расчёта, в котором применяется первый сработавший коэффициент в порядке, заданном в справочнике.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Режим расчёта задаётся в конфигурационной схеме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Значение по умолчанию — мультипликативный режим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Документация по обоим режимам с числовыми примерами предоставляется методологом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ФТ-026</w:t>
            </w:r>
          </w:p>
        </w:tc>
        <w:tc>
          <w:tcPr>
            <w:tcW w:w="2412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Расчёт итоговой калькуляции анкеты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Итоговая оценка трудоёмкости по анкете должна рассчитываться автоматически как сумма двух составляющих.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Составляющие итоговой калькуляции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Сумма итоговых оценок всех типовых работ анкеты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Сумма итоговых оценок нетиповых работ, имеющих активный признак включения в расчёт (см. ФТ-022)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Значение пересчитывается при любом изменении состава или атрибутов работ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Источником истины при расхождении значений в интерфейсе и на сервере является серверный расчёт</w:t>
            </w:r>
          </w:p>
        </w:tc>
      </w:tr>
      <w:tr>
        <w:tc>
          <w:tcPr>
            <w:tcW w:w="163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ФТ-027</w:t>
            </w:r>
          </w:p>
        </w:tc>
        <w:tc>
          <w:tcPr>
            <w:tcW w:w="2412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Отображение итоговой калькуляции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Итоговая калькуляция отображается на экране редактирования анкеты с разбивкой на сумму по типовым работам, сумму по нетиповым работам и совокупное значение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наличии нескольких точек отображения итоговой калькуляции на одном экране значения должны быть идентичны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Окончательный формат представления итоговой калькуляции уточняется методологом (см. ОВ-001)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260" w:after="260"/>
      </w:pPr>
      <w:bookmarkStart w:name="header-12" w:id="12"/>
      <w:bookmarkEnd w:id="12"/>
      <w:r>
        <w:rPr>
          <w:sz w:val="48"/>
          <w:b w:val="on"/>
        </w:rPr>
        <w:t>3.6. Привлечение поддерживающих стримов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62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ФТ-028</w:t>
            </w:r>
          </w:p>
        </w:tc>
        <w:tc>
          <w:tcPr>
            <w:tcW w:w="2415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Мультивыбор поддерживающих стримов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 разделе модельного стрима реализуется мультиселект для выбора поддерживающих стримов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Список доступных стримов подгружается из справочника поддерживающих стримов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Допускается выбор произвольного числа стримов, включая отсутствие выбора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 мультиселекте реализован поиск по наименованию стрима</w:t>
            </w:r>
          </w:p>
        </w:tc>
      </w:tr>
      <w:tr>
        <w:tc>
          <w:tcPr>
            <w:tcW w:w="162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ФТ-029</w:t>
            </w:r>
          </w:p>
        </w:tc>
        <w:tc>
          <w:tcPr>
            <w:tcW w:w="2415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Автоматическое создание разделов поддерживающих стримов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сохранении выбора в анкете автоматически создаются разделы соответствующих стримов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Разделы предзаполняются перечнями типовых работ, относящихся к области ответственности стрима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Удаление стрима из выбора вызывает удаление соответствующего раздела с подтверждением пользователя при наличии заполненных данных</w:t>
            </w:r>
          </w:p>
        </w:tc>
      </w:tr>
      <w:tr>
        <w:tc>
          <w:tcPr>
            <w:tcW w:w="162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ФТ-030</w:t>
            </w:r>
          </w:p>
        </w:tc>
        <w:tc>
          <w:tcPr>
            <w:tcW w:w="2415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Автоматическое оповещение привлечённых стримов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сохранении выбора поддерживающих стримов представители привлечённых стримов должны получать автоматическое уведомление.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Канал доставки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первой итерации — корпоративная электронная почта (см. ОВ-005 по составу каналов в последующих итерациях).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уведомления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Ссылка на анкету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Наименование автора анкеты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Опциональный комментарий автора (см. ФТ-031)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Защита от дублирования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Повторное привлечение того же стрима в течение одного часа не должно порождать повторного уведомления.</w:t>
            </w:r>
          </w:p>
        </w:tc>
      </w:tr>
      <w:tr>
        <w:tc>
          <w:tcPr>
            <w:tcW w:w="162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ФТ-031</w:t>
            </w:r>
          </w:p>
        </w:tc>
        <w:tc>
          <w:tcPr>
            <w:tcW w:w="2415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Комментарий при привлечении стрима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Автор анкеты может задать опциональный текстовый комментарий, сопровождающий привлечение стримов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Максимальная длина комментария — 2000 символов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Комментарий включается в текст уведомления (ФТ-030)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Комментарий отображается представителю стрима при открытии его раздела</w:t>
            </w:r>
          </w:p>
        </w:tc>
      </w:tr>
      <w:tr>
        <w:tc>
          <w:tcPr>
            <w:tcW w:w="162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ФТ-032</w:t>
            </w:r>
          </w:p>
        </w:tc>
        <w:tc>
          <w:tcPr>
            <w:tcW w:w="24150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Индикация состояния разделов поддерживающих стримов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Для каждой анкеты на стартовом экране автора отображается состояние заполнения по каждому привлечённому стриму в виде цветовых маркеров.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Значения индикатора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Красный — раздел стрима требует заполнения или ещё не подтверждён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Зелёный — раздел стрима заполнен и подтверждён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Доступность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Цветовое решение дублируется подписями и формой маркера для пользователей с нарушениями цветовосприятия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Состояние маркеров обновляется без перезагрузки страницы или при возврате на стартовый экран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260" w:after="260"/>
      </w:pPr>
      <w:bookmarkStart w:name="header-13" w:id="13"/>
      <w:bookmarkEnd w:id="13"/>
      <w:r>
        <w:rPr>
          <w:sz w:val="48"/>
          <w:b w:val="on"/>
        </w:rPr>
        <w:t>3.7. Контроль модели и качество данных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ФТ-033</w:t>
            </w:r>
          </w:p>
        </w:tc>
        <w:tc>
          <w:tcPr>
            <w:tcW w:w="238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Указание типа рекалибровки модели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разделе модельного стрима должно быть предусмотрено поле «Тип рекалибровки».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Допустимые значения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Полная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Частичная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Калибровка порогов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Каждому значению соответствует коэффициент в справочнике коэффициентов рекалибровки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изменении типа итоговая калькуляция пересчитывается (см. ФТ-026)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Поле обязательно, если в опроснике контроля данных активирован признак «Рекалибровка» (см. ФТ-034)</w:t>
            </w:r>
          </w:p>
        </w:tc>
      </w:tr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ФТ-034</w:t>
            </w:r>
          </w:p>
        </w:tc>
        <w:tc>
          <w:tcPr>
            <w:tcW w:w="238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Опросник контроля данных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разделе модельного стрима должен быть реализован опросник контроля данных.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признаков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Рекалибровка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Другой канал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Переработка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Новый тип модели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Разные контуры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Структура логов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Контроль каскада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Свойства полей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Каждый признак представлен логическим полем (флажком)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Все признаки опционально заполняемые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 каждому признаку прилагается текстовая подсказка, доступная при наведении</w:t>
            </w:r>
          </w:p>
        </w:tc>
      </w:tr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ФТ-035</w:t>
            </w:r>
          </w:p>
        </w:tc>
        <w:tc>
          <w:tcPr>
            <w:tcW w:w="238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Указание вида мониторинга модели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 разделе модельного стрима предусмотрено комбинированное поле «Вид мониторинга»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Допускается выбор значения из справочника видов мониторинга или ввод произвольного текста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Поле опциональное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Максимальная длина произвольного текста — 500 символов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260" w:after="260"/>
      </w:pPr>
      <w:bookmarkStart w:name="header-14" w:id="14"/>
      <w:bookmarkEnd w:id="14"/>
      <w:r>
        <w:rPr>
          <w:sz w:val="48"/>
          <w:b w:val="on"/>
        </w:rPr>
        <w:t>3.8. Статусная модель и завершение анкеты</w:t>
      </w:r>
    </w:p>
    <w:p>
      <w:pPr>
        <w:spacing w:before="0" w:after="0"/>
        <w:ind/>
        <w:jc w:val="center"/>
      </w:pPr>
      <w:r>
        <w:t xml:space="preserve"> </w:t>
      </w:r>
      <w:r>
        <w:drawing>
          <wp:inline distT="0" distR="0" distB="0" distL="0">
            <wp:extent cx="4371975" cy="1866900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74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ФТ-036</w:t>
            </w:r>
          </w:p>
        </w:tc>
        <w:tc>
          <w:tcPr>
            <w:tcW w:w="238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Жизненный цикл анкеты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Анкета имеет два основных статуса: «Черновик» и «Завершено»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Переходы между статусами соответствуют таблице статусной модели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Изменение статуса фиксируется в журнале аудита</w:t>
            </w:r>
          </w:p>
        </w:tc>
      </w:tr>
      <w:tr>
        <w:tc>
          <w:tcPr>
            <w:tcW w:w="174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ФТ-037</w:t>
            </w:r>
          </w:p>
        </w:tc>
        <w:tc>
          <w:tcPr>
            <w:tcW w:w="238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Подтверждение раздела поддерживающего стрима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Каждый раздел поддерживающего стрима должен содержать действие подтверждения заполнения, доступное его представителю.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 при подтверждении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выполнении действия открывается модальное окно с предварительным просмотром заполненных данных и итоговой оценкой по разделу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Подтверждение требует явного действия пользователя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После подтверждения раздел переходит в локальное состояние «Готово»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Поля подтверждённого раздела блокируются для редактирования</w:t>
            </w:r>
          </w:p>
        </w:tc>
      </w:tr>
      <w:tr>
        <w:tc>
          <w:tcPr>
            <w:tcW w:w="174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ФТ-038</w:t>
            </w:r>
          </w:p>
        </w:tc>
        <w:tc>
          <w:tcPr>
            <w:tcW w:w="238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Блокировка перехода анкеты в статус «Завершено»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Переход анкеты в статус «Завершено» возможен исключительно при подтверждении всех обязательных разделов.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Реализация блокировки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наличии неподтверждённых обязательных разделов действие перевода в интерфейсе недоступно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Рядом с заблокированным действием отображается подсказка о причине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Попытка перевода через программный интерфейс отклоняется с возвратом стандартизированной ошибки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Ответ программного интерфейса содержит перечень неподтверждённых разделов</w:t>
            </w:r>
          </w:p>
        </w:tc>
      </w:tr>
      <w:tr>
        <w:tc>
          <w:tcPr>
            <w:tcW w:w="174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ФТ-039</w:t>
            </w:r>
          </w:p>
        </w:tc>
        <w:tc>
          <w:tcPr>
            <w:tcW w:w="238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Защита полей анкеты в статусе «Завершено»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После перевода анкеты в «Завершено» все её поля становятся недоступными для редактирования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Поля в интерфейсе отображаются в режиме «только чтение»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Попытки изменения через программный интерфейс отклоняются с возвратом стандартизированной ошибки</w:t>
            </w:r>
          </w:p>
        </w:tc>
      </w:tr>
      <w:tr>
        <w:tc>
          <w:tcPr>
            <w:tcW w:w="1740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ФТ-040</w:t>
            </w:r>
          </w:p>
        </w:tc>
        <w:tc>
          <w:tcPr>
            <w:tcW w:w="2389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Создание копии завершённой анкеты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Из анкеты в статусе «Завершено» должна быть предусмотрена возможность создания её редактируемой копии для продолжения работы с данными.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Условия выполнения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Действие доступно только для анкет в статусе «Завершено»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Действие доступно пользователям стрима исходной анкеты в соответствии с моделью видимости (см. раздел 3.9)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Перед созданием копии система запрашивает подтверждение пользователя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копируемых данных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Все значения параметров, экземпляры архитектурных компонентов и нетиповые работы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Состав привлечённых стримов и заполненные ими разделы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Ссылка на ту же версию конфигурационной схемы, что и в исходной анкете.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Состояние копии после создания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Копия создаётся в статусе «Черновик» с новым уникальным идентификатором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Автором копии указывается пользователь, выполнивший действие; в копии сохраняется ссылка на исходную анкету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Локальный статус подтверждения всех разделов поддерживающих стримов в копии сбрасывается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Карточки моделей в системе управления моделями повторно не создаются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сохранении состава привлечённых стримов в копии повторное оповещение этих стримов не отправляется</w:t>
            </w:r>
          </w:p>
        </w:tc>
      </w:tr>
    </w:tbl>
    <w:p>
      <w:pPr>
        <w:spacing w:after="120"/>
      </w:pPr>
    </w:p>
    <w:p>
      <w:pPr>
        <w:spacing w:before="260" w:after="260"/>
      </w:pPr>
      <w:bookmarkStart w:name="header-15" w:id="15"/>
      <w:bookmarkEnd w:id="15"/>
      <w:r>
        <w:rPr>
          <w:sz w:val="48"/>
          <w:b w:val="on"/>
        </w:rPr>
        <w:t>3.9. Список анкет</w:t>
      </w:r>
    </w:p>
    <w:tbl>
      <w:tblPr>
        <w:tblW w:w="5000" w:type="pct"/>
        <w:tblBorders>
          <w:top w:val="single" w:color="888888"/>
          <w:left w:val="single" w:color="888888"/>
          <w:bottom w:val="single" w:color="888888"/>
          <w:right w:val="single" w:color="888888"/>
          <w:insideH w:val="single" w:color="888888"/>
          <w:insideV w:val="single" w:color="888888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5000"/>
      </w:tblGrid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ФТ-041</w:t>
            </w:r>
          </w:p>
        </w:tc>
        <w:tc>
          <w:tcPr>
            <w:tcW w:w="2290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Отображение списка анкет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Список анкет является стартовым экраном системы и обеспечивает пользователю обзор анкет, входящих в зону его видимости, с быстрым переходом к редактированию или просмотру каждой.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отображаемых колонок</w:t>
            </w:r>
          </w:p>
          <w:p/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ID анкеты </w:t>
            </w:r>
          </w:p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>Наименование анкеты</w:t>
            </w:r>
          </w:p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>Департамент заказчика</w:t>
            </w:r>
          </w:p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>Стрим-исполнитель</w:t>
            </w:r>
          </w:p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>Версия анкеты</w:t>
            </w:r>
          </w:p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>Статус (</w:t>
            </w:r>
            <w:r>
              <w:rPr>
                <w:b w:val="off"/>
              </w:rPr>
              <w:t>«Черновик» или «Завершено)</w:t>
            </w:r>
          </w:p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Итоговая оценка трудоёмкости — </w:t>
            </w:r>
            <w:r>
              <w:rPr>
                <w:b w:val="off"/>
              </w:rPr>
              <w:t>значение итоговой калькуляции</w:t>
            </w:r>
          </w:p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>Дата создания</w:t>
            </w:r>
          </w:p>
          <w:p>
            <w:pPr>
              <w:numPr>
                <w:ilvl w:val="2"/>
                <w:numId w:val="1751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Дата последнего изменения — </w:t>
            </w:r>
            <w:r>
              <w:rPr>
                <w:b w:val="off"/>
              </w:rPr>
              <w:t>дата последнего изменения анкеты или её разделов</w:t>
            </w:r>
          </w:p>
          <w:p>
            <w:pPr>
              <w:spacing w:before="0" w:after="120"/>
            </w:pP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Состояние пустого списка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При отсутствии доступных анкет отображается сообщение об отсутствии анкет и предложение создать новую.</w:t>
            </w:r>
          </w:p>
        </w:tc>
      </w:tr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ФТ-042</w:t>
            </w:r>
          </w:p>
        </w:tc>
        <w:tc>
          <w:tcPr>
            <w:tcW w:w="2290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Видимость анкет в списке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В первой итерации применяется модель совместной видимости в пределах стрима.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Правило видимости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Автор анкеты видит все анкеты своего стрима, включая анкеты, созданные другими членами стрима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Представитель стрима видит все анкеты, в которых привлечён его стрим, независимо от автора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Анкеты других стримов в списке не отображаются</w:t>
            </w:r>
          </w:p>
        </w:tc>
      </w:tr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ФТ-043</w:t>
            </w:r>
          </w:p>
        </w:tc>
        <w:tc>
          <w:tcPr>
            <w:tcW w:w="2290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Фильтрация списка анкет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Список анкет должен поддерживать фильтрацию по всем отображаемым колонкам.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Состав фильтров</w:t>
            </w:r>
          </w:p>
          <w:p/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ID анкеты - </w:t>
            </w:r>
            <w:r>
              <w:rPr>
                <w:b w:val="off"/>
              </w:rPr>
              <w:t>поиск по подстроке без учёта регистра и/или выбор из списка</w:t>
            </w:r>
          </w:p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Наименование анкеты - </w:t>
            </w:r>
            <w:r>
              <w:rPr>
                <w:b w:val="off"/>
              </w:rPr>
              <w:t>поиск по подстроке без учёта регистра и/или выбор из списка</w:t>
            </w:r>
          </w:p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Департамент заказчика - </w:t>
            </w:r>
            <w:r>
              <w:rPr>
                <w:b w:val="off"/>
              </w:rPr>
              <w:t>выбор одного или нескольких значений из списка, доступных пользователю</w:t>
            </w:r>
          </w:p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Стрим-исполнитель - </w:t>
            </w:r>
            <w:r>
              <w:rPr>
                <w:b w:val="off"/>
              </w:rPr>
              <w:t>выбор одного или нескольких значений из списка, доступных пользователю</w:t>
            </w:r>
          </w:p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Версия анкеты </w:t>
            </w:r>
            <w:r>
              <w:rPr>
                <w:b w:val="off"/>
              </w:rPr>
              <w:t>- поиск по подстроке без учёта регистра и/или выбор из списка</w:t>
            </w:r>
          </w:p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Статус - </w:t>
            </w:r>
            <w:r>
              <w:rPr>
                <w:b w:val="off"/>
              </w:rPr>
              <w:t>выбор значений «Черновик» и (или) «Завершено»</w:t>
            </w:r>
          </w:p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Итоговая оценка трудоёмкости — </w:t>
            </w:r>
            <w:r>
              <w:rPr>
                <w:b w:val="off"/>
              </w:rPr>
              <w:t>диапазон значений (от — до), обе границы опциональные</w:t>
            </w:r>
          </w:p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 xml:space="preserve">Дата создания - </w:t>
            </w:r>
            <w:r>
              <w:rPr>
                <w:b w:val="off"/>
              </w:rPr>
              <w:t>диапазон дат с возможностью указания начальной и конечной даты, обе границы опциональные</w:t>
            </w:r>
          </w:p>
          <w:p>
            <w:pPr>
              <w:numPr>
                <w:ilvl w:val="2"/>
                <w:numId w:val="1752"/>
              </w:numPr>
              <w:spacing w:after="60"/>
              <w:ind/>
            </w:pPr>
            <w:r>
              <w:rPr>
                <w:b w:val="off"/>
              </w:rPr>
            </w:r>
            <w:r>
              <w:rPr>
                <w:b w:val="on"/>
              </w:rPr>
              <w:t>Дата последнего изменения —</w:t>
            </w:r>
            <w:r>
              <w:rPr>
                <w:b w:val="off"/>
              </w:rPr>
              <w:t>аналогично периоду создания</w:t>
            </w:r>
          </w:p>
          <w:p>
            <w:pPr>
              <w:spacing w:before="0" w:after="120"/>
            </w:pP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 фильтров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Несколько одновременно установленных фильтров применяются по логике «И»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Текущие значения фильтров отображаются в виде набора удаляемых тегов над списком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Доступна операция полного сброса фильтров одним действием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Состав значений фильтра подгружается только из анкет, входящих в зону видимости пользователя</w:t>
            </w:r>
          </w:p>
        </w:tc>
      </w:tr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ФТ-044</w:t>
            </w:r>
          </w:p>
        </w:tc>
        <w:tc>
          <w:tcPr>
            <w:tcW w:w="2290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Сортировка списка анкет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Список анкет должен поддерживать сортировку по любой отображаемой колонке.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Сортировка осуществляется кликом по заголовку колонки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Поддерживаются направления: по возрастанию и по убыванию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Активная колонка сортировки и направление отображаются индикатором у заголовка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Сортировка по умолчанию — по дате последнего изменения, по убыванию</w:t>
            </w:r>
          </w:p>
        </w:tc>
      </w:tr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ФТ-045</w:t>
            </w:r>
          </w:p>
        </w:tc>
        <w:tc>
          <w:tcPr>
            <w:tcW w:w="2290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Создание новой анкеты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Со страницы списка анкет должно быть доступно действие создания новой анкеты.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Действие доступно пользователям, имеющим право создавать анкеты в своём модельномстриме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При нажатии создаётся новая анкета в статусе «Черновик» с автором, равным текущему пользователю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Новая анкета создаётся по активной версии конфигурационной схемы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После создания пользователь автоматически переходит к экрану редактирования анкеты</w:t>
            </w:r>
          </w:p>
        </w:tc>
      </w:tr>
      <w:tr>
        <w:tc>
          <w:tcPr>
            <w:tcW w:w="1695" w:type="dxa"/>
          </w:tcPr>
          <w:p>
            <w:pPr>
              <w:spacing w:before="0" w:after="0"/>
              <w:ind/>
              <w:jc w:val="center"/>
            </w:pPr>
            <w:r>
              <w:rPr>
                <w:b w:val="on"/>
              </w:rPr>
              <w:t>ФТ-046</w:t>
            </w:r>
          </w:p>
        </w:tc>
        <w:tc>
          <w:tcPr>
            <w:tcW w:w="22905" w:type="dxa"/>
          </w:tcPr>
          <w:p>
            <w:pPr>
              <w:spacing w:before="0" w:after="0"/>
              <w:ind/>
            </w:pPr>
            <w:r>
              <w:rPr>
                <w:b w:val="on"/>
              </w:rPr>
              <w:t>Действия со строкой списка</w:t>
            </w:r>
          </w:p>
          <w:p>
            <w:pPr>
              <w:spacing w:before="0" w:after="0"/>
              <w:ind/>
            </w:pPr>
            <w:r>
              <w:rPr>
                <w:b w:val="off"/>
              </w:rPr>
              <w:t>Каждая строка списка анкет должна предоставлять набор действий, доступных пользователю с учётом его роли и статуса анкеты.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Доступные действия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 xml:space="preserve">• </w:t>
            </w:r>
            <w:r>
              <w:rPr>
                <w:b w:val="on"/>
              </w:rPr>
              <w:t xml:space="preserve">Открыть — </w:t>
            </w:r>
            <w:r>
              <w:rPr>
                <w:b w:val="off"/>
              </w:rPr>
              <w:t>переход к экрану анкеты — в режиме редактирования для статуса «Черновик» или в режиме просмотра для статуса «Завершено»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 xml:space="preserve">• </w:t>
            </w:r>
            <w:r>
              <w:rPr>
                <w:b w:val="on"/>
              </w:rPr>
              <w:t xml:space="preserve">Создать копию — </w:t>
            </w:r>
            <w:r>
              <w:rPr>
                <w:b w:val="off"/>
              </w:rPr>
              <w:t>доступно для анкет в статусе «Завершено»</w:t>
            </w:r>
          </w:p>
          <w:p>
            <w:pPr>
              <w:spacing w:before="0" w:after="0"/>
              <w:ind/>
            </w:pPr>
            <w:r>
              <w:rPr>
                <w:i w:val="on"/>
                <w:b w:val="on"/>
              </w:rPr>
              <w:t>Поведение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Действие открытия выполняется кликом по наименованию анкеты или по соответствующему пункту контекстного меню строки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Прочие действия доступны через контекстное меню строки</w:t>
            </w:r>
          </w:p>
          <w:p>
            <w:pPr>
              <w:spacing w:before="0" w:after="0"/>
              <w:ind w:left="660"/>
            </w:pPr>
            <w:r>
              <w:rPr>
                <w:b w:val="off"/>
              </w:rPr>
              <w:t>• Действия, недоступные пользователю в текущем контексте, в меню не отображаются</w:t>
            </w:r>
          </w:p>
        </w:tc>
      </w:tr>
    </w:tbl>
    <w:p>
      <w:pPr>
        <w:spacing w:after="120"/>
      </w:pP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p>
      <w:pPr>
        <w:spacing w:before="0" w:after="0"/>
        <w:ind/>
      </w:pPr>
      <w:r>
        <w:t xml:space="preserve"> </w:t>
      </w:r>
    </w:p>
    <w:p>
      <w:pPr>
        <w:spacing w:before="300" w:after="300"/>
      </w:pPr>
      <w:bookmarkStart w:name="header-16" w:id="16"/>
      <w:bookmarkEnd w:id="16"/>
      <w:r>
        <w:rPr>
          <w:sz w:val="56"/>
          <w:b w:val="on"/>
          <w:color w:val="232431"/>
        </w:rPr>
        <w:t>4. Дизайн и UX</w:t>
      </w:r>
    </w:p>
    <w:p>
      <w:pPr>
        <w:spacing w:before="0" w:after="0"/>
        <w:ind/>
      </w:pPr>
      <w:hyperlink r:id="rId41">
        <w:r>
          <w:rPr>
            <w:color w:val="0000FF"/>
            <w:u w:val="single"/>
          </w:rPr>
          <w:t xml:space="preserve">https://www.figma.com/design/lfitFi4oi9GgCAnFFOiWfV/SUM_SMART_ANKETA--Copy-?node-id=4235-58370&amp;p=f&amp;t=xSnUSmoR9SO1EeA2-0 </w:t>
        </w:r>
      </w:hyperlink>
    </w:p>
    <w:p>
      <w:pPr>
        <w:spacing w:before="0" w:after="0"/>
        <w:ind/>
      </w:pPr>
      <w:r>
        <w:t xml:space="preserve">Параметры с UX.xlsx </w:t>
      </w:r>
    </w:p>
    <w:p>
      <w:pPr>
        <w:spacing w:before="300" w:after="300"/>
      </w:pPr>
      <w:bookmarkStart w:name="header-17" w:id="17"/>
      <w:bookmarkEnd w:id="17"/>
      <w:r>
        <w:rPr>
          <w:sz w:val="56"/>
          <w:b w:val="on"/>
        </w:rPr>
        <w:t>5</w:t>
      </w:r>
      <w:r>
        <w:rPr>
          <w:sz w:val="56"/>
          <w:b w:val="on"/>
          <w:color w:val="232431"/>
        </w:rPr>
        <w:t>. Нефункциональные требования</w:t>
      </w:r>
    </w:p>
    <w:p>
      <w:pPr>
        <w:spacing w:before="0" w:after="0"/>
        <w:ind/>
      </w:pPr>
      <w:r>
        <w:t>Будут добавлены</w:t>
      </w:r>
    </w:p>
    <w:p>
      <w:pPr>
        <w:spacing w:before="300" w:after="300"/>
      </w:pPr>
      <w:bookmarkStart w:name="header-18" w:id="18"/>
      <w:bookmarkEnd w:id="18"/>
      <w:r>
        <w:rPr>
          <w:sz w:val="56"/>
          <w:b w:val="on"/>
        </w:rPr>
        <w:t>6</w:t>
      </w:r>
      <w:r>
        <w:rPr>
          <w:sz w:val="56"/>
          <w:b w:val="on"/>
          <w:shd w:fill="ffffff"/>
          <w:color w:val="232431"/>
        </w:rPr>
        <w:t>. Границы первой итерации</w:t>
      </w:r>
    </w:p>
    <w:p>
      <w:pPr>
        <w:spacing w:before="0" w:after="0"/>
        <w:ind/>
      </w:pPr>
      <w:r>
        <w:rPr>
          <w:shd w:fill="ffffff"/>
          <w:color w:val="232431"/>
        </w:rPr>
        <w:t>Входит: Описанная выше механика подтягивания, ручное добавление нетиповых задач.</w:t>
      </w:r>
    </w:p>
    <w:p>
      <w:pPr>
        <w:spacing w:before="0" w:after="0"/>
        <w:ind/>
      </w:pPr>
      <w:r>
        <w:rPr>
          <w:shd w:fill="ffffff"/>
          <w:color w:val="232431"/>
        </w:rPr>
        <w:t>Не входит: Финальный состав архитектурных компонентов и их параметров, а также методологическая корректность связей. Это является задачей аналитического моделирования, которая будет идти параллельно. Предусмотреть, что добавление новых параметров в будущем не должно требовать переписывания всей механики.</w:t>
      </w:r>
    </w:p>
    <w:p>
      <w:pPr>
        <w:spacing w:before="0" w:after="0"/>
        <w:ind/>
      </w:pPr>
      <w:r>
        <w:t xml:space="preserve"> 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#header-5" TargetMode="External" Type="http://schemas.openxmlformats.org/officeDocument/2006/relationships/hyperlink"/><Relationship Id="rId11" Target="#header-5" TargetMode="External" Type="http://schemas.openxmlformats.org/officeDocument/2006/relationships/hyperlink"/><Relationship Id="rId12" Target="#header-6" TargetMode="External" Type="http://schemas.openxmlformats.org/officeDocument/2006/relationships/hyperlink"/><Relationship Id="rId13" Target="#header-6" TargetMode="External" Type="http://schemas.openxmlformats.org/officeDocument/2006/relationships/hyperlink"/><Relationship Id="rId14" Target="#header-7" TargetMode="External" Type="http://schemas.openxmlformats.org/officeDocument/2006/relationships/hyperlink"/><Relationship Id="rId15" Target="#header-7" TargetMode="External" Type="http://schemas.openxmlformats.org/officeDocument/2006/relationships/hyperlink"/><Relationship Id="rId16" Target="#header-8" TargetMode="External" Type="http://schemas.openxmlformats.org/officeDocument/2006/relationships/hyperlink"/><Relationship Id="rId17" Target="#header-8" TargetMode="External" Type="http://schemas.openxmlformats.org/officeDocument/2006/relationships/hyperlink"/><Relationship Id="rId18" Target="#header-9" TargetMode="External" Type="http://schemas.openxmlformats.org/officeDocument/2006/relationships/hyperlink"/><Relationship Id="rId19" Target="#header-9" TargetMode="External" Type="http://schemas.openxmlformats.org/officeDocument/2006/relationships/hyperlink"/><Relationship Id="rId2" Target="#header-1" TargetMode="External" Type="http://schemas.openxmlformats.org/officeDocument/2006/relationships/hyperlink"/><Relationship Id="rId20" Target="#header-10" TargetMode="External" Type="http://schemas.openxmlformats.org/officeDocument/2006/relationships/hyperlink"/><Relationship Id="rId21" Target="#header-10" TargetMode="External" Type="http://schemas.openxmlformats.org/officeDocument/2006/relationships/hyperlink"/><Relationship Id="rId22" Target="#header-11" TargetMode="External" Type="http://schemas.openxmlformats.org/officeDocument/2006/relationships/hyperlink"/><Relationship Id="rId23" Target="#header-11" TargetMode="External" Type="http://schemas.openxmlformats.org/officeDocument/2006/relationships/hyperlink"/><Relationship Id="rId24" Target="#header-12" TargetMode="External" Type="http://schemas.openxmlformats.org/officeDocument/2006/relationships/hyperlink"/><Relationship Id="rId25" Target="#header-12" TargetMode="External" Type="http://schemas.openxmlformats.org/officeDocument/2006/relationships/hyperlink"/><Relationship Id="rId26" Target="#header-13" TargetMode="External" Type="http://schemas.openxmlformats.org/officeDocument/2006/relationships/hyperlink"/><Relationship Id="rId27" Target="#header-13" TargetMode="External" Type="http://schemas.openxmlformats.org/officeDocument/2006/relationships/hyperlink"/><Relationship Id="rId28" Target="#header-14" TargetMode="External" Type="http://schemas.openxmlformats.org/officeDocument/2006/relationships/hyperlink"/><Relationship Id="rId29" Target="#header-14" TargetMode="External" Type="http://schemas.openxmlformats.org/officeDocument/2006/relationships/hyperlink"/><Relationship Id="rId3" Target="#header-1" TargetMode="External" Type="http://schemas.openxmlformats.org/officeDocument/2006/relationships/hyperlink"/><Relationship Id="rId30" Target="#header-15" TargetMode="External" Type="http://schemas.openxmlformats.org/officeDocument/2006/relationships/hyperlink"/><Relationship Id="rId31" Target="#header-15" TargetMode="External" Type="http://schemas.openxmlformats.org/officeDocument/2006/relationships/hyperlink"/><Relationship Id="rId32" Target="#header-16" TargetMode="External" Type="http://schemas.openxmlformats.org/officeDocument/2006/relationships/hyperlink"/><Relationship Id="rId33" Target="#header-16" TargetMode="External" Type="http://schemas.openxmlformats.org/officeDocument/2006/relationships/hyperlink"/><Relationship Id="rId34" Target="#header-17" TargetMode="External" Type="http://schemas.openxmlformats.org/officeDocument/2006/relationships/hyperlink"/><Relationship Id="rId35" Target="#header-17" TargetMode="External" Type="http://schemas.openxmlformats.org/officeDocument/2006/relationships/hyperlink"/><Relationship Id="rId36" Target="#header-18" TargetMode="External" Type="http://schemas.openxmlformats.org/officeDocument/2006/relationships/hyperlink"/><Relationship Id="rId37" Target="#header-18" TargetMode="External" Type="http://schemas.openxmlformats.org/officeDocument/2006/relationships/hyperlink"/><Relationship Id="rId38" Target="media/image1.png" Type="http://schemas.openxmlformats.org/officeDocument/2006/relationships/image"/><Relationship Id="rId39" Target="media/image2.png" Type="http://schemas.openxmlformats.org/officeDocument/2006/relationships/image"/><Relationship Id="rId4" Target="#header-2" TargetMode="External" Type="http://schemas.openxmlformats.org/officeDocument/2006/relationships/hyperlink"/><Relationship Id="rId40" Target="media/image3.png" Type="http://schemas.openxmlformats.org/officeDocument/2006/relationships/image"/><Relationship Id="rId41" Target="https://www.figma.com/design/lfitFi4oi9GgCAnFFOiWfV/SUM_SMART_ANKETA--Copy-?node-id=4235-58370&amp;p=f&amp;t=xSnUSmoR9SO1EeA2-0" TargetMode="External" Type="http://schemas.openxmlformats.org/officeDocument/2006/relationships/hyperlink"/><Relationship Id="rId5" Target="#header-2" TargetMode="External" Type="http://schemas.openxmlformats.org/officeDocument/2006/relationships/hyperlink"/><Relationship Id="rId6" Target="#header-3" TargetMode="External" Type="http://schemas.openxmlformats.org/officeDocument/2006/relationships/hyperlink"/><Relationship Id="rId7" Target="#header-3" TargetMode="External" Type="http://schemas.openxmlformats.org/officeDocument/2006/relationships/hyperlink"/><Relationship Id="rId8" Target="#header-4" TargetMode="External" Type="http://schemas.openxmlformats.org/officeDocument/2006/relationships/hyperlink"/><Relationship Id="rId9" Target="#header-4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2026-05-26T12:12:12Z</dcterms:created>
  <dc:creator>Apache POI</dc:creator>
</cp:coreProperties>
</file>