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180" w:after="180"/>
      </w:pPr>
      <w:bookmarkStart w:name="header-1" w:id="1"/>
      <w:bookmarkEnd w:id="1"/>
      <w:r>
        <w:rPr>
          <w:sz w:val="32"/>
          <w:b w:val="on"/>
        </w:rPr>
        <w:t>Бизнес-контекст</w:t>
      </w:r>
    </w:p>
    <w:p>
      <w:pPr>
        <w:spacing w:before="160" w:after="160"/>
      </w:pPr>
      <w:bookmarkStart w:name="header-2" w:id="2"/>
      <w:bookmarkEnd w:id="2"/>
      <w:r>
        <w:rPr>
          <w:sz w:val="28"/>
          <w:b w:val="on"/>
        </w:rPr>
        <w:t>Глоссарий</w:t>
      </w:r>
    </w:p>
    <w:tbl>
      <w:tblPr>
        <w:tblW w:w="4722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61"/>
        <w:gridCol w:w="3721"/>
      </w:tblGrid>
      <w:tr>
        <w:tc>
          <w:tcPr>
            <w:tcW w:w="2400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Термин</w:t>
            </w:r>
          </w:p>
        </w:tc>
        <w:tc>
          <w:tcPr>
            <w:tcW w:w="12105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Описание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Комит</w:t>
            </w:r>
          </w:p>
        </w:tc>
        <w:tc>
          <w:tcPr>
            <w:tcW w:w="12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Файл формата JSON, состоящий из метаинформации и записей об изменениях данных внутри витрин DAPP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Мердж</w:t>
            </w:r>
          </w:p>
        </w:tc>
        <w:tc>
          <w:tcPr>
            <w:tcW w:w="12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Процесс добавления комита в основную модель данных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Очередь комитов</w:t>
            </w:r>
          </w:p>
        </w:tc>
        <w:tc>
          <w:tcPr>
            <w:tcW w:w="12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Механизм сортировки комитов в пользовательском интерфейсе на базе метаинформации комитов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Current Service</w:t>
            </w:r>
          </w:p>
        </w:tc>
        <w:tc>
          <w:tcPr>
            <w:tcW w:w="12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Сервис, инициирующий мердж комита с текущей моделью данных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Parcing Service</w:t>
            </w:r>
          </w:p>
        </w:tc>
        <w:tc>
          <w:tcPr>
            <w:tcW w:w="12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Сервис, осуществляющий парсинг комита, прошедшего мердж, в реляционную БД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Validation Service</w:t>
            </w:r>
          </w:p>
        </w:tc>
        <w:tc>
          <w:tcPr>
            <w:tcW w:w="1210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Сервис, проверяющий комиты на соответствие проверкам валидации перед их загрузкой в БД</w:t>
            </w:r>
          </w:p>
        </w:tc>
      </w:tr>
    </w:tbl>
    <w:p>
      <w:pPr>
        <w:spacing w:after="120"/>
      </w:pPr>
    </w:p>
    <w:p>
      <w:pPr>
        <w:spacing w:before="160" w:after="160"/>
      </w:pPr>
      <w:bookmarkStart w:name="header-3" w:id="3"/>
      <w:bookmarkEnd w:id="3"/>
      <w:r>
        <w:rPr>
          <w:sz w:val="28"/>
          <w:b w:val="on"/>
        </w:rPr>
        <w:t>Описание функциональности</w:t>
      </w:r>
    </w:p>
    <w:p>
      <w:pPr>
        <w:spacing w:before="0" w:after="0"/>
        <w:ind/>
      </w:pPr>
      <w:r>
        <w:t>Работа с очередями и комитами - это последовательность действий пользователя и системы по загрузке и обновлению данных. Пользователь на своей стороне подготавливает комит, предварительно проверяет его на актуальность информации, соответствие схеме и тип данных, после чего загружает в систему, ждет отклика от системы и инициирует слияние(merge). Система на своей стороне получает комит, валидирует его, отправляет в базу данных на хранение и затем мерджит с основной схемой данных.</w:t>
      </w:r>
    </w:p>
    <w:p>
      <w:pPr>
        <w:spacing w:before="0" w:after="0"/>
        <w:ind/>
      </w:pPr>
      <w:r>
        <w:t>На этапе MVP очередь коммитов в системе не предусмотрена. Файлы обновлений в формате S2T должны загружаться и обрабатываться по одному.</w:t>
      </w:r>
    </w:p>
    <w:p>
      <w:pPr>
        <w:spacing w:before="0" w:after="0"/>
        <w:ind/>
      </w:pPr>
      <w:r>
        <w:t xml:space="preserve"> </w:t>
      </w:r>
    </w:p>
    <w:p>
      <w:pPr>
        <w:spacing w:before="180" w:after="180"/>
      </w:pPr>
      <w:bookmarkStart w:name="header-4" w:id="4"/>
      <w:bookmarkEnd w:id="4"/>
      <w:r>
        <w:rPr>
          <w:sz w:val="32"/>
          <w:b w:val="on"/>
        </w:rPr>
        <w:t>Пользовательский путь</w:t>
      </w:r>
    </w:p>
    <w:p>
      <w:pPr>
        <w:spacing w:before="160" w:after="160"/>
        <w:jc w:val="center"/>
      </w:pPr>
      <w:bookmarkStart w:name="header-5" w:id="5"/>
      <w:bookmarkEnd w:id="5"/>
      <w:r>
        <w:rPr>
          <w:sz w:val="28"/>
          <w:b w:val="on"/>
        </w:rPr>
        <w:t>Схема пользовательского пути</w:t>
      </w:r>
      <w:r>
        <w:drawing>
          <wp:inline distT="0" distR="0" distB="0" distL="0">
            <wp:extent cx="4381500" cy="695325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after="160"/>
      </w:pPr>
      <w:bookmarkStart w:name="header-6" w:id="6"/>
      <w:bookmarkEnd w:id="6"/>
      <w:r>
        <w:rPr>
          <w:sz w:val="28"/>
          <w:b w:val="on"/>
        </w:rPr>
        <w:t>Описание пользовательского пути</w:t>
      </w:r>
    </w:p>
    <w:p>
      <w:pPr>
        <w:spacing w:after="120" w:before="0"/>
        <w:ind w:left="330" w:hanging="330"/>
      </w:pPr>
      <w:r>
        <w:t>1.</w:t>
      </w:r>
      <w:r>
        <w:rPr>
          <w:spacing w:val="150"/>
        </w:rPr>
        <w:t xml:space="preserve"> </w:t>
      </w:r>
      <w:r>
        <w:t xml:space="preserve">Пользователь авторизуется в системе Data Lineage согласно ролевой модели. Требования к ролевой модели описаны тут: </w:t>
      </w:r>
      <w:hyperlink r:id="rId3">
        <w:r>
          <w:rPr>
            <w:color w:val="0000FF"/>
            <w:u w:val="single"/>
          </w:rPr>
          <w:t xml:space="preserve">1. Авторизация и ролевая модель - Знания - Сфера </w:t>
        </w:r>
      </w:hyperlink>
    </w:p>
    <w:p>
      <w:pPr>
        <w:spacing w:after="120" w:before="0"/>
        <w:ind w:left="330" w:hanging="330"/>
      </w:pPr>
      <w:r>
        <w:t>2.</w:t>
      </w:r>
      <w:r>
        <w:rPr>
          <w:spacing w:val="150"/>
        </w:rPr>
        <w:t xml:space="preserve"> </w:t>
      </w:r>
      <w:r>
        <w:t>Пользователь загружает комит через UI. Для этого необходимо:</w:t>
      </w:r>
    </w:p>
    <w:p>
      <w:pPr>
        <w:spacing w:after="120" w:before="0"/>
        <w:ind w:left="660" w:hanging="330"/>
      </w:pPr>
      <w:r>
        <w:t>•</w:t>
      </w:r>
      <w:r>
        <w:rPr>
          <w:spacing w:val="150"/>
        </w:rPr>
        <w:t xml:space="preserve"> </w:t>
      </w:r>
      <w:r>
        <w:t>Выбрать локальный файл</w:t>
      </w:r>
    </w:p>
    <w:p>
      <w:pPr>
        <w:spacing w:after="120" w:before="0"/>
        <w:ind w:left="660" w:hanging="330"/>
      </w:pPr>
      <w:r>
        <w:t>•</w:t>
      </w:r>
      <w:r>
        <w:rPr>
          <w:spacing w:val="150"/>
        </w:rPr>
        <w:t xml:space="preserve"> </w:t>
      </w:r>
      <w:r>
        <w:t>Добавить файл в систему через экранную форму загрузки файла</w:t>
      </w:r>
    </w:p>
    <w:p>
      <w:pPr>
        <w:spacing w:after="120" w:before="0"/>
        <w:ind w:left="330" w:hanging="330"/>
      </w:pPr>
      <w:r>
        <w:t>3.</w:t>
      </w:r>
      <w:r>
        <w:rPr>
          <w:spacing w:val="150"/>
        </w:rPr>
        <w:t xml:space="preserve"> </w:t>
      </w:r>
      <w:r>
        <w:t>Пользователь подтверждает загрузку комита</w:t>
      </w:r>
    </w:p>
    <w:p>
      <w:pPr>
        <w:spacing w:after="120" w:before="0"/>
        <w:ind w:left="660" w:hanging="330"/>
      </w:pPr>
      <w:r>
        <w:t>•</w:t>
      </w:r>
      <w:r>
        <w:rPr>
          <w:spacing w:val="150"/>
        </w:rPr>
        <w:t xml:space="preserve"> </w:t>
      </w:r>
      <w:r>
        <w:t>Если проверки валидации на уровне фронта, система должна выдать информационное сообщение об ошибке валидации файла</w:t>
      </w:r>
    </w:p>
    <w:p>
      <w:pPr>
        <w:spacing w:after="120" w:before="0"/>
        <w:ind w:left="660" w:hanging="330"/>
      </w:pPr>
      <w:r>
        <w:t>•</w:t>
      </w:r>
      <w:r>
        <w:rPr>
          <w:spacing w:val="150"/>
        </w:rPr>
        <w:t xml:space="preserve"> </w:t>
      </w:r>
      <w:r>
        <w:t>Если конвертация S2T-&gt;JSON не пройдена, то система должна выдать информационное сообщение об ошибке конвертации файла</w:t>
      </w:r>
    </w:p>
    <w:p>
      <w:pPr>
        <w:spacing w:after="120" w:before="0"/>
        <w:ind w:left="660" w:hanging="330"/>
      </w:pPr>
      <w:r>
        <w:t>•</w:t>
      </w:r>
      <w:r>
        <w:rPr>
          <w:spacing w:val="150"/>
        </w:rPr>
        <w:t xml:space="preserve"> </w:t>
      </w:r>
      <w:r>
        <w:t xml:space="preserve">Если проверки валидации на уровне бэк сервиса не пройдены, система должна выдать информационное сообщение об ошибке валидации файла. Требования к валидации описаны здесь: </w:t>
      </w:r>
      <w:hyperlink r:id="rId4">
        <w:r>
          <w:rPr>
            <w:color w:val="0000FF"/>
            <w:u w:val="single"/>
          </w:rPr>
          <w:t xml:space="preserve">1.1. Требования к валидации JSONhttps://sfera.inno.local/knowledge/pages?id=1758354 </w:t>
        </w:r>
      </w:hyperlink>
    </w:p>
    <w:p>
      <w:pPr>
        <w:spacing w:after="120" w:before="0"/>
        <w:ind w:left="330" w:hanging="330"/>
      </w:pPr>
      <w:r>
        <w:t>4.</w:t>
      </w:r>
      <w:r>
        <w:rPr>
          <w:spacing w:val="150"/>
        </w:rPr>
        <w:t xml:space="preserve"> </w:t>
      </w:r>
      <w:r>
        <w:t>Система запрашивает через диалог UI у пользователя наименование и описание файла (наименование обязательно для заполнения). Для S2T с витринами дополнительно запрашиваются наименование и описание процесса.</w:t>
      </w:r>
    </w:p>
    <w:p>
      <w:pPr>
        <w:spacing w:after="120" w:before="0"/>
        <w:ind w:left="330" w:hanging="330"/>
      </w:pPr>
      <w:r>
        <w:t>5.</w:t>
      </w:r>
      <w:r>
        <w:rPr>
          <w:spacing w:val="150"/>
        </w:rPr>
        <w:t xml:space="preserve"> </w:t>
      </w:r>
      <w:r>
        <w:t>Система сохраняет файл JSON в БД.</w:t>
      </w:r>
    </w:p>
    <w:p>
      <w:pPr>
        <w:spacing w:after="120" w:before="0"/>
        <w:ind w:left="330" w:hanging="330"/>
      </w:pPr>
      <w:r>
        <w:t>6.</w:t>
      </w:r>
      <w:r>
        <w:rPr>
          <w:spacing w:val="150"/>
        </w:rPr>
        <w:t xml:space="preserve"> </w:t>
      </w:r>
      <w:r>
        <w:t xml:space="preserve">При необходимости пользователь редактирует содержимое и сохраняет отредактированную версию с предварительной валидацией файла в БД . Требования к валидации описаны здесь: </w:t>
      </w:r>
      <w:hyperlink r:id="rId5">
        <w:r>
          <w:rPr>
            <w:color w:val="0000FF"/>
            <w:u w:val="single"/>
          </w:rPr>
          <w:t xml:space="preserve">1.1. Требования к валидации JSONhttps://sfera.inno.local/knowledge/pages?id=1758354 </w:t>
        </w:r>
      </w:hyperlink>
    </w:p>
    <w:p>
      <w:pPr>
        <w:spacing w:after="120" w:before="0"/>
        <w:ind w:left="330" w:hanging="330"/>
      </w:pPr>
      <w:r>
        <w:t>7.</w:t>
      </w:r>
      <w:r>
        <w:rPr>
          <w:spacing w:val="150"/>
        </w:rPr>
        <w:t xml:space="preserve"> </w:t>
      </w:r>
      <w:r>
        <w:t xml:space="preserve">Пользователь инициирует слияние (merge) файла комита с файлом основной модели данных. Процесс слияния (merge) файлов описан тут: </w:t>
      </w:r>
      <w:hyperlink r:id="rId6">
        <w:r>
          <w:rPr>
            <w:color w:val="0000FF"/>
            <w:u w:val="single"/>
          </w:rPr>
          <w:t xml:space="preserve">3 Алгоритм применения файла коммита (merging)https://sfera.inno.local/knowledge/pages?id=1762843 </w:t>
        </w:r>
      </w:hyperlink>
    </w:p>
    <w:p>
      <w:pPr>
        <w:spacing w:before="0" w:after="0"/>
        <w:ind/>
      </w:pPr>
      <w:r>
        <w:t xml:space="preserve"> </w:t>
      </w:r>
    </w:p>
    <w:sectPr>
      <w:pgSz w:w="11900" w:h="168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https://sfera.inno.local/knowledge/pages?id=1669455" TargetMode="External" Type="http://schemas.openxmlformats.org/officeDocument/2006/relationships/hyperlink"/><Relationship Id="rId4" Target="https://sfera.inno.local/knowledge/pages?id=1758354" TargetMode="External" Type="http://schemas.openxmlformats.org/officeDocument/2006/relationships/hyperlink"/><Relationship Id="rId5" Target="https://sfera.inno.local/knowledge/pages?id=1758354" TargetMode="External" Type="http://schemas.openxmlformats.org/officeDocument/2006/relationships/hyperlink"/><Relationship Id="rId6" Target="https://sfera.inno.local/knowledge/pages?id=1762843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2026-01-21T15:51:06Z</dcterms:created>
  <dc:creator>Apache POI</dc:creator>
</cp:coreProperties>
</file>