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 w:after="200"/>
      </w:pPr>
      <w:bookmarkStart w:name="header-1" w:id="1"/>
      <w:bookmarkEnd w:id="1"/>
      <w:r>
        <w:rPr>
          <w:sz w:val="36"/>
          <w:b w:val="on"/>
        </w:rPr>
        <w:t>Соответствие полей JSON полям отчёта S2T (Source To Target)</w:t>
      </w:r>
    </w:p>
    <w:p>
      <w:r>
        <w:rPr>
          <w:b w:val="on"/>
        </w:rPr>
        <w:t/>
      </w:r>
      <w:r>
        <w:t>S2T витрины</w:t>
      </w:r>
    </w:p>
    <w:p>
      <w:pPr>
        <w:spacing w:before="0" w:after="0"/>
        <w:ind/>
      </w:pPr>
      <w:r>
        <w:t xml:space="preserve"> </w:t>
      </w:r>
    </w:p>
    <w:tbl>
      <w:tblPr>
        <w:tblW w:w="5000" w:type="pct"/>
        <w:tblBorders>
          <w:top w:val="single" w:color="694fff"/>
          <w:left w:val="single" w:color="694fff"/>
          <w:bottom w:val="single" w:color="694fff"/>
          <w:right w:val="single" w:color="694fff"/>
          <w:insideH w:val="single" w:color="694fff"/>
          <w:insideV w:val="single" w:color="694fff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5000"/>
      </w:tblGrid>
      <w:tr>
        <w:tc>
          <w:tcPr>
            <w:shd w:color="auto" w:val="clear" w:fill="f4f2ff"/>
          </w:tcPr>
          <w:p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drawing>
                <wp:inline distT="0" distR="0" distB="0" distL="0">
                  <wp:extent cx="114300" cy="114300"/>
                  <wp:docPr id="0" name="Drawing 0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 w:val="on"/>
              </w:rPr>
              <w:t>Информация</w:t>
            </w:r>
          </w:p>
          <w:p>
            <w:pPr>
              <w:spacing w:before="0" w:after="0"/>
              <w:ind w:left="490"/>
            </w:pPr>
            <w:r>
              <w:rPr>
                <w:b w:val="off"/>
              </w:rPr>
              <w:t xml:space="preserve">В раздел Target отчёта S2T требуется поместить данные одной выбранной пользователем витрины. </w:t>
            </w:r>
          </w:p>
          <w:p>
            <w:pPr>
              <w:spacing w:before="0" w:after="150"/>
              <w:ind w:left="490"/>
            </w:pPr>
            <w:r>
              <w:rPr>
                <w:b w:val="off"/>
              </w:rPr>
              <w:t xml:space="preserve">В раздел Source отчёта S2T требуется записать данные всех источников выбранной пользователем витрины за исключением временных таблиц. </w:t>
            </w:r>
          </w:p>
        </w:tc>
      </w:tr>
    </w:tbl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>Таблица 1. "Заполнение полей JSON коммита из файла S2T витрин, лист Mapping"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Поле JSON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Тип JSON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  <w:jc w:val="center"/>
            </w:pPr>
            <w:r>
              <w:rPr>
                <w:b w:val="off"/>
              </w:rPr>
              <w:t>Описание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Столбец таблицы S2T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Комментарий / Алгоритм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desc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Данные Spark-приложения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process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Наименование процесса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данными пользователя при загрузке/редактировании коммита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description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Описание процесса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Заполняется данными пользователя при загрузке/редактировании коммита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Описание таблиц, которые использовались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Уникальное имя сущности в БД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"Схема"(D) +"/"+ "Таблица"(C)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Target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"Схема"(T) +"/"+ "Таблица"(U)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В массив сущностей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добавляются все уникальные таблицы источники из Source и все уникальные целевые таблицы Target (целевая таблица должна быть одна в файле) . Уникальный ключ таблицы это наименование схемы плюс наименование таблицы.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modified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boolean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Флаг изменения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true - витрина 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false - витрина источник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 false для всех сущностей Source (колонки A-M)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= true для всех сущностей Target (колонки S-AF)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type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= table, view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 table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namespace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схемы (БД)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"Схема"(D)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"Схема"(T)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таблицы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"Таблица"(C)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"Таблица"(U)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description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color w:val="4b2cf6"/>
                <w:b w:val="off"/>
              </w:rPr>
              <w:t>Описание таблицы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"Описание таблицы" (F)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"Описание таблицы" (X)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attrSeq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Используемые атрибуты из данной БД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name</w:t>
            </w:r>
          </w:p>
        </w:tc>
        <w:tc>
          <w:tcPr>
            <w:tcW w:w="720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атрибута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"Код атрибута"(G)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"Код атрибута"(V)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type</w:t>
            </w:r>
          </w:p>
        </w:tc>
        <w:tc>
          <w:tcPr>
            <w:tcW w:w="720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timestamp/decimal/string/integer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данных атрибута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"Тип данных"(I)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"Тип данных"(Z)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comment</w:t>
            </w:r>
          </w:p>
        </w:tc>
        <w:tc>
          <w:tcPr>
            <w:tcW w:w="720" w:type="dxa"/>
            <w:hMerge w:val="continue"/>
          </w:tcPr>
          <w:p/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Комментарий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"Краткое описание атрибута"(H)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"Краткое описание атрибута"(W)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mappings</w:t>
            </w:r>
          </w:p>
        </w:tc>
        <w:tc>
          <w:tcPr>
            <w:tcW w:w="840" w:type="dxa"/>
            <w:hMerge w:val="continue"/>
          </w:tcPr>
          <w:p/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Информация о маппинге таблиц по схеме "источник" - "таргет"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Порядковый номер витрины "таргет"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=1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entityId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витрины "таргет" в DAPP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Target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"Схема"(T) +"/"+ "Таблица"(U)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Таблица Target (целевая таблица должна быть одна в файле)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deps</w:t>
            </w:r>
          </w:p>
        </w:tc>
        <w:tc>
          <w:tcPr>
            <w:tcW w:w="540" w:type="dxa"/>
            <w:hMerge w:val="continue"/>
          </w:tcPr>
          <w:p/>
        </w:tc>
        <w:tc>
          <w:tcPr>
            <w:tcW w:w="720" w:type="dxa"/>
            <w:hMerge w:val="continue"/>
          </w:tcPr>
          <w:p/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Маппинг по схеме атрибут "источник" - атрибут "таргет"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ff"/>
              </w:rPr>
              <w:t>entityId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витрины "источник" в DAPP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"Схема"(D) +"/"+ "Таблица"(C)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Массив </w:t>
            </w:r>
            <w:r>
              <w:rPr>
                <w:b w:val="on"/>
              </w:rPr>
              <w:t xml:space="preserve">deps </w:t>
            </w:r>
            <w:r>
              <w:rPr>
                <w:b w:val="off"/>
              </w:rPr>
              <w:t xml:space="preserve">заполняется объектами всех таблиц источников раздела Source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attrMaps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Связка атрибут "источник" - атрибут "таргет"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src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источника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Source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"Код атрибута"(G)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dst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таргета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Target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"Код атрибута"(V)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atrDeps</w:t>
            </w:r>
          </w:p>
        </w:tc>
        <w:tc>
          <w:tcPr>
            <w:tcW w:w="1485" w:type="dxa"/>
            <w:hMerge w:val="continue"/>
          </w:tcPr>
          <w:p/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object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Атрибуты "источники", которые используются в скрипте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Массив </w:t>
            </w:r>
            <w:r>
              <w:rPr>
                <w:b w:val="on"/>
              </w:rPr>
              <w:t xml:space="preserve">atrDeps </w:t>
            </w:r>
            <w:r>
              <w:rPr>
                <w:b w:val="off"/>
              </w:rPr>
              <w:t>не заполняется из S2T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attr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Имя атрибута (атрибута) источника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</w:tr>
      <w:tr>
        <w:tc>
          <w:tcPr>
            <w:tcW w:w="12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8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2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14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linkTypes</w:t>
            </w:r>
          </w:p>
        </w:tc>
        <w:tc>
          <w:tcPr>
            <w:tcW w:w="24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483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Для какой функции используется данный атрибут</w:t>
            </w:r>
          </w:p>
        </w:tc>
        <w:tc>
          <w:tcPr>
            <w:tcW w:w="465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  <w:tc>
          <w:tcPr>
            <w:tcW w:w="606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-</w:t>
            </w:r>
          </w:p>
        </w:tc>
      </w:tr>
    </w:tbl>
    <w:p>
      <w:pPr>
        <w:spacing w:after="120"/>
      </w:pPr>
    </w:p>
    <w:p>
      <w:pPr>
        <w:spacing w:before="200" w:after="200"/>
      </w:pPr>
      <w:bookmarkStart w:name="header-2" w:id="2"/>
      <w:bookmarkEnd w:id="2"/>
      <w:r>
        <w:rPr>
          <w:sz w:val="36"/>
          <w:b w:val="on"/>
        </w:rPr>
        <w:t>Алгоритм формирования отчёта</w:t>
      </w:r>
    </w:p>
    <w:p>
      <w:pPr>
        <w:spacing w:after="120" w:before="0"/>
        <w:ind w:left="660" w:hanging="330"/>
      </w:pPr>
      <w:r>
        <w:t>1.</w:t>
      </w:r>
      <w:r>
        <w:rPr>
          <w:spacing w:val="150"/>
        </w:rPr>
        <w:t xml:space="preserve"> </w:t>
      </w:r>
      <w:r>
        <w:t xml:space="preserve">По шаблону отчёта </w:t>
      </w:r>
      <w:r>
        <w:rPr>
          <w:b w:val="on"/>
        </w:rPr>
        <w:t xml:space="preserve">S2T </w:t>
      </w:r>
      <w:r>
        <w:t>требуется создать новый незаполненный данными excell файл.</w:t>
      </w:r>
    </w:p>
    <w:p>
      <w:pPr>
        <w:spacing w:after="120" w:before="0"/>
        <w:ind w:left="660" w:hanging="330"/>
      </w:pPr>
      <w:r>
        <w:t>2.</w:t>
      </w:r>
      <w:r>
        <w:rPr>
          <w:spacing w:val="150"/>
        </w:rPr>
        <w:t xml:space="preserve"> </w:t>
      </w:r>
      <w:r>
        <w:t xml:space="preserve">На листе </w:t>
      </w:r>
      <w:r>
        <w:rPr>
          <w:b w:val="on"/>
        </w:rPr>
        <w:t xml:space="preserve">Mapping </w:t>
      </w:r>
      <w:r>
        <w:t xml:space="preserve">требуется заполнить раздел </w:t>
      </w:r>
      <w:r>
        <w:rPr>
          <w:b w:val="on"/>
        </w:rPr>
        <w:t xml:space="preserve">Source </w:t>
      </w:r>
      <w:r>
        <w:t xml:space="preserve">данными атрибутов всех </w:t>
      </w:r>
      <w:r>
        <w:rPr>
          <w:u w:val="single"/>
        </w:rPr>
        <w:t xml:space="preserve">нетемповых </w:t>
      </w:r>
      <w:r>
        <w:t xml:space="preserve">источников из массива </w:t>
      </w:r>
      <w:r>
        <w:rPr>
          <w:b w:val="on"/>
        </w:rPr>
        <w:t xml:space="preserve">mappings </w:t>
      </w:r>
      <w:r>
        <w:rPr>
          <w:u w:val="single"/>
        </w:rPr>
        <w:t xml:space="preserve">для выбранной пользователем витрины </w:t>
      </w:r>
      <w:r>
        <w:t xml:space="preserve">в привязке к атрибутам витрины записанных в разделе разделе </w:t>
      </w:r>
      <w:r>
        <w:rPr>
          <w:b w:val="on"/>
        </w:rPr>
        <w:t>Target.</w:t>
      </w:r>
    </w:p>
    <w:p>
      <w:pPr>
        <w:spacing w:after="120" w:before="0"/>
        <w:ind w:left="660" w:hanging="330"/>
      </w:pPr>
      <w:r>
        <w:t>2.</w:t>
      </w:r>
      <w:r>
        <w:rPr>
          <w:spacing w:val="150"/>
        </w:rPr>
        <w:t xml:space="preserve"> </w:t>
      </w:r>
      <w:r>
        <w:t xml:space="preserve">Темповой таблицей источника считается любая таблица в имени которой присутствуют лексемы "temp_" или "_temp". Разделы </w:t>
      </w:r>
      <w:r>
        <w:rPr>
          <w:b w:val="on"/>
        </w:rPr>
        <w:t xml:space="preserve">Source </w:t>
      </w:r>
      <w:r>
        <w:t xml:space="preserve">и </w:t>
      </w:r>
      <w:r>
        <w:rPr>
          <w:b w:val="on"/>
        </w:rPr>
        <w:t xml:space="preserve">Target </w:t>
      </w:r>
      <w:r>
        <w:t xml:space="preserve">листа отчёта </w:t>
      </w:r>
      <w:r>
        <w:rPr>
          <w:b w:val="on"/>
        </w:rPr>
        <w:t xml:space="preserve">Mapping </w:t>
      </w:r>
      <w:r>
        <w:t>заполняются согласно маппингу в разделе "</w:t>
      </w:r>
      <w:r>
        <w:rPr>
          <w:b w:val="on"/>
        </w:rPr>
        <w:t>Соответствие полей JSON полям отчёта S2T (Source To Target)"</w:t>
      </w:r>
      <w:r>
        <w:t xml:space="preserve"> (см. раздел выше)</w:t>
      </w:r>
    </w:p>
    <w:p>
      <w:pPr>
        <w:spacing w:before="180" w:after="180"/>
      </w:pPr>
      <w:bookmarkStart w:name="header-3" w:id="3"/>
      <w:bookmarkEnd w:id="3"/>
      <w:r>
        <w:rPr>
          <w:sz w:val="32"/>
          <w:b w:val="on"/>
        </w:rPr>
        <w:t>Пример отчёта S2T</w:t>
      </w:r>
    </w:p>
    <w:p>
      <w:pPr>
        <w:spacing w:before="0" w:after="0"/>
        <w:ind/>
      </w:pPr>
      <w:r>
        <w:t xml:space="preserve">prod_dm_dadm_pvr.pd_mb_behaviour_online.xlsx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2026-01-21T15:56:58Z</dcterms:created>
  <dc:creator>Apache POI</dc:creator>
</cp:coreProperties>
</file>