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6B4F5170" w:rsidR="007C2215" w:rsidRPr="00AB0C06" w:rsidRDefault="0006196C" w:rsidP="00922A15">
      <w:pPr>
        <w:pStyle w:val="Ttulo1"/>
        <w:ind w:left="0" w:firstLine="0"/>
      </w:pPr>
      <w:bookmarkStart w:id="0" w:name="_Toc176526998"/>
      <w:r>
        <w:t xml:space="preserve">                      </w:t>
      </w:r>
      <w:bookmarkEnd w:id="0"/>
      <w:r w:rsidR="00922A15">
        <w:t xml:space="preserve">              </w:t>
      </w:r>
      <w:proofErr w:type="spellStart"/>
      <w:r w:rsidR="00922A15">
        <w:t>Uasyncio</w:t>
      </w:r>
      <w:proofErr w:type="spellEnd"/>
    </w:p>
    <w:p w14:paraId="32AD3B49" w14:textId="22AB4D32" w:rsidR="00A96BF0" w:rsidRDefault="00A96BF0" w:rsidP="00A96BF0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Este manual se presenta con la intención de servir como guía para cualquier usuario que prescinda de algún conocimiento necesario para un uso pleno de la aplicación móvil </w:t>
      </w:r>
      <w:proofErr w:type="gramStart"/>
      <w:r>
        <w:rPr>
          <w:rFonts w:eastAsia="Times New Roman" w:cs="Arial"/>
          <w:color w:val="000000"/>
          <w:kern w:val="0"/>
          <w:lang w:eastAsia="es-ES"/>
          <w14:ligatures w14:val="none"/>
        </w:rPr>
        <w:t>Look</w:t>
      </w:r>
      <w:proofErr w:type="gramEnd"/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Up. Mediante este documento los usuarios podrán informarse sobre las distintas posibilidades que ofrece el proyecto de forma detallada.</w:t>
      </w:r>
    </w:p>
    <w:p w14:paraId="4FB3A460" w14:textId="77777777" w:rsidR="00A96BF0" w:rsidRDefault="00A96BF0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Se iniciará por la redacción del proceso de instalación y desinstalación, especificando también los requisitos necesarios para poder usar </w:t>
      </w:r>
      <w:proofErr w:type="gramStart"/>
      <w:r>
        <w:rPr>
          <w:rFonts w:eastAsia="Times New Roman" w:cs="Arial"/>
          <w:color w:val="000000"/>
          <w:kern w:val="0"/>
          <w:lang w:eastAsia="es-ES"/>
          <w14:ligatures w14:val="none"/>
        </w:rPr>
        <w:t>Look</w:t>
      </w:r>
      <w:proofErr w:type="gramEnd"/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Up de forma satisfactoria.</w:t>
      </w:r>
    </w:p>
    <w:p w14:paraId="51E63264" w14:textId="43EC1E63" w:rsidR="00A96BF0" w:rsidRDefault="00A96BF0" w:rsidP="00A33B31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Asimismo, se indagará exhaustivamente en cada una de las pantallas de la aplicación. Aportando un recopilatorio de cada comportamiento que pueda derivar de cualquier interacción del usuario con los diferentes elementos de </w:t>
      </w:r>
      <w:proofErr w:type="gramStart"/>
      <w:r>
        <w:rPr>
          <w:rFonts w:eastAsia="Times New Roman" w:cs="Arial"/>
          <w:color w:val="000000"/>
          <w:kern w:val="0"/>
          <w:lang w:eastAsia="es-ES"/>
          <w14:ligatures w14:val="none"/>
        </w:rPr>
        <w:t>Look</w:t>
      </w:r>
      <w:proofErr w:type="gramEnd"/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Up.</w:t>
      </w:r>
    </w:p>
    <w:p w14:paraId="09E9ACE9" w14:textId="77777777" w:rsidR="00A33B31" w:rsidRDefault="00A96BF0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Resumiendo lo planteado, este manual </w:t>
      </w:r>
      <w:r w:rsidR="00A33B31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tiene como propósito servir de guía o referencia sobre </w:t>
      </w:r>
      <w:proofErr w:type="gramStart"/>
      <w:r w:rsidR="00A33B31">
        <w:rPr>
          <w:rFonts w:eastAsia="Times New Roman" w:cs="Arial"/>
          <w:color w:val="000000"/>
          <w:kern w:val="0"/>
          <w:lang w:eastAsia="es-ES"/>
          <w14:ligatures w14:val="none"/>
        </w:rPr>
        <w:t>Look</w:t>
      </w:r>
      <w:proofErr w:type="gramEnd"/>
      <w:r w:rsidR="00A33B31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Up para cualquier usuario que quiera usarla.</w:t>
      </w:r>
    </w:p>
    <w:p w14:paraId="3967EB2B" w14:textId="77777777" w:rsidR="007B3574" w:rsidRDefault="007B3574" w:rsidP="007B357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75D6D2" wp14:editId="3AB9359A">
            <wp:extent cx="1940400" cy="4320000"/>
            <wp:effectExtent l="0" t="0" r="0" b="0"/>
            <wp:docPr id="1340361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43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B1FA4" w14:textId="69E20FDB" w:rsidR="007B3574" w:rsidRDefault="007B3574" w:rsidP="007B3574">
      <w:pPr>
        <w:pStyle w:val="Descripcin"/>
      </w:pPr>
      <w:bookmarkStart w:id="1" w:name="_Toc176680753"/>
      <w:r w:rsidRPr="007B3574">
        <w:rPr>
          <w:b/>
          <w:bCs/>
        </w:rPr>
        <w:t xml:space="preserve">Figura </w:t>
      </w:r>
      <w:r w:rsidRPr="007B3574">
        <w:rPr>
          <w:b/>
          <w:bCs/>
        </w:rPr>
        <w:fldChar w:fldCharType="begin"/>
      </w:r>
      <w:r w:rsidRPr="007B3574">
        <w:rPr>
          <w:b/>
          <w:bCs/>
        </w:rPr>
        <w:instrText xml:space="preserve"> SEQ Figura \* ARABIC </w:instrText>
      </w:r>
      <w:r w:rsidRPr="007B3574">
        <w:rPr>
          <w:b/>
          <w:bCs/>
        </w:rPr>
        <w:fldChar w:fldCharType="separate"/>
      </w:r>
      <w:r w:rsidR="00982950">
        <w:rPr>
          <w:b/>
          <w:bCs/>
          <w:noProof/>
        </w:rPr>
        <w:t>1</w:t>
      </w:r>
      <w:r w:rsidRPr="007B3574">
        <w:rPr>
          <w:b/>
          <w:bCs/>
        </w:rPr>
        <w:fldChar w:fldCharType="end"/>
      </w:r>
      <w:r w:rsidRPr="007B3574">
        <w:rPr>
          <w:b/>
          <w:bCs/>
        </w:rPr>
        <w:t>:</w:t>
      </w:r>
      <w:r>
        <w:t xml:space="preserve"> Ajustes</w:t>
      </w:r>
      <w:bookmarkEnd w:id="1"/>
    </w:p>
    <w:p w14:paraId="580B0C02" w14:textId="77777777" w:rsidR="00ED7D6D" w:rsidRDefault="008F6D93" w:rsidP="00ED7D6D">
      <w:pPr>
        <w:pStyle w:val="Prrafodelista"/>
        <w:numPr>
          <w:ilvl w:val="0"/>
          <w:numId w:val="6"/>
        </w:numPr>
      </w:pPr>
      <w:r>
        <w:t>Acceder a “Sobre el teléfono”</w:t>
      </w:r>
      <w:r w:rsidR="007B3574">
        <w:t>.</w:t>
      </w:r>
      <w:r w:rsidR="00AF2A7D" w:rsidRPr="00431AB8">
        <w:t xml:space="preserve"> </w:t>
      </w:r>
    </w:p>
    <w:p w14:paraId="1160F19F" w14:textId="77777777" w:rsidR="00ED7D6D" w:rsidRDefault="00ED7D6D" w:rsidP="00ED7D6D">
      <w:pPr>
        <w:pStyle w:val="Prrafodelista"/>
        <w:numPr>
          <w:ilvl w:val="0"/>
          <w:numId w:val="6"/>
        </w:numPr>
        <w:sectPr w:rsidR="00ED7D6D" w:rsidSect="00714513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94E48EF" w14:textId="77777777" w:rsidR="00ED7D6D" w:rsidRPr="00ED7D6D" w:rsidRDefault="00ED7D6D" w:rsidP="00ED7D6D">
      <w:pPr>
        <w:pStyle w:val="Ttulo1"/>
        <w:numPr>
          <w:ilvl w:val="0"/>
          <w:numId w:val="0"/>
        </w:numPr>
      </w:pPr>
      <w:bookmarkStart w:id="2" w:name="_Toc176527058"/>
      <w:bookmarkStart w:id="3" w:name="_Toc176663699"/>
      <w:r w:rsidRPr="00ED7D6D">
        <w:lastRenderedPageBreak/>
        <w:t>Bibliografía</w:t>
      </w:r>
      <w:bookmarkEnd w:id="2"/>
      <w:bookmarkEnd w:id="3"/>
    </w:p>
    <w:p w14:paraId="6B50CB3E" w14:textId="4C758ED4" w:rsidR="00ED7D6D" w:rsidRPr="00ED7D6D" w:rsidRDefault="00ED7D6D" w:rsidP="00ED7D6D">
      <w:pPr>
        <w:pStyle w:val="Prrafodelista"/>
        <w:numPr>
          <w:ilvl w:val="0"/>
          <w:numId w:val="10"/>
        </w:numPr>
        <w:ind w:left="720" w:hanging="720"/>
      </w:pPr>
      <w:r w:rsidRPr="00ED7D6D">
        <w:t xml:space="preserve">Valenzuela Vila, M. del M. (2010). El nacimiento de la astronomía antigua: Estabilizaciones y desestabilizaciones culturales. </w:t>
      </w:r>
      <w:proofErr w:type="spellStart"/>
      <w:r w:rsidRPr="00ED7D6D">
        <w:t>Gazeta</w:t>
      </w:r>
      <w:proofErr w:type="spellEnd"/>
      <w:r w:rsidRPr="00ED7D6D">
        <w:t xml:space="preserve"> de Antropología, 26(2), Artículo 25. </w:t>
      </w:r>
      <w:hyperlink r:id="rId12" w:history="1">
        <w:r w:rsidRPr="00ED7D6D">
          <w:rPr>
            <w:rStyle w:val="Hipervnculo"/>
          </w:rPr>
          <w:t>https://digibug.ugr.es/handle/10481/6768</w:t>
        </w:r>
      </w:hyperlink>
    </w:p>
    <w:p w14:paraId="6AD49C6D" w14:textId="27550042" w:rsidR="00ED7D6D" w:rsidRPr="00431AB8" w:rsidRDefault="00ED7D6D" w:rsidP="00922A15">
      <w:pPr>
        <w:pStyle w:val="Prrafodelista"/>
        <w:numPr>
          <w:ilvl w:val="0"/>
          <w:numId w:val="10"/>
        </w:numPr>
        <w:ind w:left="720" w:hanging="720"/>
      </w:pPr>
      <w:r w:rsidRPr="00ED7D6D">
        <w:t xml:space="preserve">Espinosa Santos, V. (2010). Difusión y divulgación de la investigación científica. IDESIA </w:t>
      </w:r>
    </w:p>
    <w:sectPr w:rsidR="00ED7D6D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3F8F3" w14:textId="77777777" w:rsidR="00051EF5" w:rsidRDefault="00051EF5" w:rsidP="00C12E13">
      <w:pPr>
        <w:spacing w:after="0" w:line="240" w:lineRule="auto"/>
      </w:pPr>
      <w:r>
        <w:separator/>
      </w:r>
    </w:p>
  </w:endnote>
  <w:endnote w:type="continuationSeparator" w:id="0">
    <w:p w14:paraId="7E5981CD" w14:textId="77777777" w:rsidR="00051EF5" w:rsidRDefault="00051EF5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1ADFC" w14:textId="77777777" w:rsidR="00051EF5" w:rsidRDefault="00051EF5" w:rsidP="00C12E13">
      <w:pPr>
        <w:spacing w:after="0" w:line="240" w:lineRule="auto"/>
      </w:pPr>
      <w:r>
        <w:separator/>
      </w:r>
    </w:p>
  </w:footnote>
  <w:footnote w:type="continuationSeparator" w:id="0">
    <w:p w14:paraId="746CD68F" w14:textId="77777777" w:rsidR="00051EF5" w:rsidRDefault="00051EF5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29FDAC35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922A15">
      <w:rPr>
        <w:smallCaps/>
        <w:noProof/>
      </w:rPr>
      <w:t>Uasyncio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5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B4318"/>
    <w:multiLevelType w:val="multilevel"/>
    <w:tmpl w:val="7C147DAA"/>
    <w:lvl w:ilvl="0">
      <w:start w:val="1"/>
      <w:numFmt w:val="decimal"/>
      <w:pStyle w:val="Ttulo1"/>
      <w:lvlText w:val="Práctica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8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7"/>
  </w:num>
  <w:num w:numId="2" w16cid:durableId="1375542255">
    <w:abstractNumId w:val="4"/>
  </w:num>
  <w:num w:numId="3" w16cid:durableId="431628037">
    <w:abstractNumId w:val="2"/>
  </w:num>
  <w:num w:numId="4" w16cid:durableId="451676209">
    <w:abstractNumId w:val="5"/>
  </w:num>
  <w:num w:numId="5" w16cid:durableId="287273823">
    <w:abstractNumId w:val="3"/>
  </w:num>
  <w:num w:numId="6" w16cid:durableId="1854029371">
    <w:abstractNumId w:val="1"/>
  </w:num>
  <w:num w:numId="7" w16cid:durableId="1254628075">
    <w:abstractNumId w:val="0"/>
  </w:num>
  <w:num w:numId="8" w16cid:durableId="1323046676">
    <w:abstractNumId w:val="8"/>
  </w:num>
  <w:num w:numId="9" w16cid:durableId="5818385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665A"/>
    <w:rsid w:val="0002611A"/>
    <w:rsid w:val="00041C69"/>
    <w:rsid w:val="00051EF5"/>
    <w:rsid w:val="00053AF1"/>
    <w:rsid w:val="0005726D"/>
    <w:rsid w:val="00060D68"/>
    <w:rsid w:val="0006196C"/>
    <w:rsid w:val="00063B24"/>
    <w:rsid w:val="000724AF"/>
    <w:rsid w:val="00083D9C"/>
    <w:rsid w:val="00092CEC"/>
    <w:rsid w:val="000A0EDF"/>
    <w:rsid w:val="000C01CD"/>
    <w:rsid w:val="000C79C9"/>
    <w:rsid w:val="000D4314"/>
    <w:rsid w:val="000D6F2E"/>
    <w:rsid w:val="000E26AB"/>
    <w:rsid w:val="000E3968"/>
    <w:rsid w:val="000E71D3"/>
    <w:rsid w:val="000F3DF6"/>
    <w:rsid w:val="00110987"/>
    <w:rsid w:val="00110FC8"/>
    <w:rsid w:val="001149D5"/>
    <w:rsid w:val="00130197"/>
    <w:rsid w:val="00156A62"/>
    <w:rsid w:val="0016404A"/>
    <w:rsid w:val="0017592A"/>
    <w:rsid w:val="00175D34"/>
    <w:rsid w:val="00190965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4627F"/>
    <w:rsid w:val="00264E6C"/>
    <w:rsid w:val="00270F15"/>
    <w:rsid w:val="00271B5D"/>
    <w:rsid w:val="00291C30"/>
    <w:rsid w:val="002C2048"/>
    <w:rsid w:val="002C356E"/>
    <w:rsid w:val="002E7315"/>
    <w:rsid w:val="002F4067"/>
    <w:rsid w:val="002F53F7"/>
    <w:rsid w:val="00302C89"/>
    <w:rsid w:val="00334B33"/>
    <w:rsid w:val="00336626"/>
    <w:rsid w:val="00354ED9"/>
    <w:rsid w:val="00371620"/>
    <w:rsid w:val="00381521"/>
    <w:rsid w:val="00385C46"/>
    <w:rsid w:val="003A0FAC"/>
    <w:rsid w:val="003A5950"/>
    <w:rsid w:val="003B7CC7"/>
    <w:rsid w:val="003C129F"/>
    <w:rsid w:val="003C1679"/>
    <w:rsid w:val="003D5477"/>
    <w:rsid w:val="003D60EF"/>
    <w:rsid w:val="003D6FBB"/>
    <w:rsid w:val="003F5453"/>
    <w:rsid w:val="00400EFB"/>
    <w:rsid w:val="00421E98"/>
    <w:rsid w:val="00424604"/>
    <w:rsid w:val="00431AB8"/>
    <w:rsid w:val="00431C6E"/>
    <w:rsid w:val="00441603"/>
    <w:rsid w:val="00446373"/>
    <w:rsid w:val="004710CD"/>
    <w:rsid w:val="00474C03"/>
    <w:rsid w:val="004802B1"/>
    <w:rsid w:val="00481DEE"/>
    <w:rsid w:val="004822F6"/>
    <w:rsid w:val="004942E6"/>
    <w:rsid w:val="0049678B"/>
    <w:rsid w:val="004A093B"/>
    <w:rsid w:val="004A77B0"/>
    <w:rsid w:val="004B402C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1297F"/>
    <w:rsid w:val="0051299A"/>
    <w:rsid w:val="00515C08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66B5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E1AC1"/>
    <w:rsid w:val="005E670F"/>
    <w:rsid w:val="005E6B06"/>
    <w:rsid w:val="005F0904"/>
    <w:rsid w:val="00600870"/>
    <w:rsid w:val="006529B5"/>
    <w:rsid w:val="00653954"/>
    <w:rsid w:val="00654664"/>
    <w:rsid w:val="006569D9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40B39"/>
    <w:rsid w:val="00844931"/>
    <w:rsid w:val="0085491B"/>
    <w:rsid w:val="00854DDD"/>
    <w:rsid w:val="008561E3"/>
    <w:rsid w:val="00872581"/>
    <w:rsid w:val="008772D4"/>
    <w:rsid w:val="00883182"/>
    <w:rsid w:val="008840E5"/>
    <w:rsid w:val="008845A3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6D93"/>
    <w:rsid w:val="008F7C31"/>
    <w:rsid w:val="009141D7"/>
    <w:rsid w:val="009166F9"/>
    <w:rsid w:val="00920488"/>
    <w:rsid w:val="00922999"/>
    <w:rsid w:val="00922A15"/>
    <w:rsid w:val="009306D0"/>
    <w:rsid w:val="009342F0"/>
    <w:rsid w:val="00946F57"/>
    <w:rsid w:val="00950A89"/>
    <w:rsid w:val="00966D43"/>
    <w:rsid w:val="00977E1F"/>
    <w:rsid w:val="00982950"/>
    <w:rsid w:val="00986C1B"/>
    <w:rsid w:val="00990C51"/>
    <w:rsid w:val="00991557"/>
    <w:rsid w:val="00995487"/>
    <w:rsid w:val="009A518E"/>
    <w:rsid w:val="009B76D2"/>
    <w:rsid w:val="009B7946"/>
    <w:rsid w:val="009D2D55"/>
    <w:rsid w:val="009D4418"/>
    <w:rsid w:val="009E03C9"/>
    <w:rsid w:val="00A00078"/>
    <w:rsid w:val="00A03C1E"/>
    <w:rsid w:val="00A128AC"/>
    <w:rsid w:val="00A31646"/>
    <w:rsid w:val="00A33B31"/>
    <w:rsid w:val="00A35676"/>
    <w:rsid w:val="00A40547"/>
    <w:rsid w:val="00A43586"/>
    <w:rsid w:val="00A507FA"/>
    <w:rsid w:val="00A771A8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C047B"/>
    <w:rsid w:val="00AC42B6"/>
    <w:rsid w:val="00AC4F32"/>
    <w:rsid w:val="00AD496D"/>
    <w:rsid w:val="00AF2A7D"/>
    <w:rsid w:val="00AF6C25"/>
    <w:rsid w:val="00B03658"/>
    <w:rsid w:val="00B45904"/>
    <w:rsid w:val="00B56112"/>
    <w:rsid w:val="00B57378"/>
    <w:rsid w:val="00B5756A"/>
    <w:rsid w:val="00B651F9"/>
    <w:rsid w:val="00B661F2"/>
    <w:rsid w:val="00B671E6"/>
    <w:rsid w:val="00B73F81"/>
    <w:rsid w:val="00BC0109"/>
    <w:rsid w:val="00BC0FA8"/>
    <w:rsid w:val="00BC6A3E"/>
    <w:rsid w:val="00BF35E8"/>
    <w:rsid w:val="00BF576D"/>
    <w:rsid w:val="00BF6AA5"/>
    <w:rsid w:val="00C069C8"/>
    <w:rsid w:val="00C10BEC"/>
    <w:rsid w:val="00C12E13"/>
    <w:rsid w:val="00C1526B"/>
    <w:rsid w:val="00C20D26"/>
    <w:rsid w:val="00C604F9"/>
    <w:rsid w:val="00C62572"/>
    <w:rsid w:val="00C65724"/>
    <w:rsid w:val="00C6709D"/>
    <w:rsid w:val="00C73FB0"/>
    <w:rsid w:val="00C76D63"/>
    <w:rsid w:val="00CB57BD"/>
    <w:rsid w:val="00CD7115"/>
    <w:rsid w:val="00CE25F1"/>
    <w:rsid w:val="00CE3C59"/>
    <w:rsid w:val="00CF36C0"/>
    <w:rsid w:val="00D2261B"/>
    <w:rsid w:val="00D26F67"/>
    <w:rsid w:val="00D338F2"/>
    <w:rsid w:val="00D403B1"/>
    <w:rsid w:val="00D47A90"/>
    <w:rsid w:val="00D579A0"/>
    <w:rsid w:val="00D85111"/>
    <w:rsid w:val="00D9404C"/>
    <w:rsid w:val="00DA6DCD"/>
    <w:rsid w:val="00DB5987"/>
    <w:rsid w:val="00DD5D1D"/>
    <w:rsid w:val="00DE04A7"/>
    <w:rsid w:val="00DE0EA4"/>
    <w:rsid w:val="00DE4EAC"/>
    <w:rsid w:val="00DF4F96"/>
    <w:rsid w:val="00DF58C3"/>
    <w:rsid w:val="00E003D1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71BAD"/>
    <w:rsid w:val="00EA1D69"/>
    <w:rsid w:val="00EB2ABF"/>
    <w:rsid w:val="00EC077B"/>
    <w:rsid w:val="00EC7F8A"/>
    <w:rsid w:val="00ED1F1A"/>
    <w:rsid w:val="00ED7D6D"/>
    <w:rsid w:val="00EF0027"/>
    <w:rsid w:val="00EF3E34"/>
    <w:rsid w:val="00EF413E"/>
    <w:rsid w:val="00F020E4"/>
    <w:rsid w:val="00F1590B"/>
    <w:rsid w:val="00F46075"/>
    <w:rsid w:val="00F515DF"/>
    <w:rsid w:val="00F52265"/>
    <w:rsid w:val="00F67BC7"/>
    <w:rsid w:val="00F74D71"/>
    <w:rsid w:val="00F77BAC"/>
    <w:rsid w:val="00F814B1"/>
    <w:rsid w:val="00F95348"/>
    <w:rsid w:val="00FB2414"/>
    <w:rsid w:val="00FC0D05"/>
    <w:rsid w:val="00FC3141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gibug.ugr.es/handle/10481/6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8851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75</cp:revision>
  <cp:lastPrinted>2024-09-08T07:48:00Z</cp:lastPrinted>
  <dcterms:created xsi:type="dcterms:W3CDTF">2024-03-04T14:36:00Z</dcterms:created>
  <dcterms:modified xsi:type="dcterms:W3CDTF">2024-11-06T12:18:00Z</dcterms:modified>
</cp:coreProperties>
</file>