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Arial" w:hAnsi="Arial"/>
          <w:b/>
          <w:i w:val="0"/>
          <w:color w:val="184C78"/>
          <w:sz w:val="32"/>
        </w:rPr>
        <w:t>FINANCIAL PROPOSAL &amp; GRANULAR COST BREAKDOWN</w:t>
      </w:r>
    </w:p>
    <w:p>
      <w:pPr>
        <w:spacing w:after="240"/>
      </w:pPr>
      <w:r>
        <w:rPr>
          <w:rFonts w:ascii="Arial" w:hAnsi="Arial"/>
          <w:b w:val="0"/>
          <w:i w:val="0"/>
          <w:color w:val="333333"/>
          <w:sz w:val="22"/>
        </w:rPr>
        <w:t>Studio Aturi's financial framework avoids flat lump-sum metrics to ensure complete financial transparency. Fees are structured strictly around project lifecycle milestones across our core advisory, strategy, and design pillars. Currency Configuration: All costs are quoted in [Insert Currency, e.g., KES / USD / AED].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184C78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Phase &amp; Core Deliverables</w:t>
            </w:r>
          </w:p>
        </w:tc>
        <w:tc>
          <w:tcPr>
            <w:tcW w:type="dxa" w:w="3888"/>
            <w:shd w:val="clear" w:color="auto" w:fill="184C78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Strategic Operational Scope</w:t>
            </w:r>
          </w:p>
        </w:tc>
        <w:tc>
          <w:tcPr>
            <w:tcW w:type="dxa" w:w="1152"/>
            <w:shd w:val="clear" w:color="auto" w:fill="184C78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Timeline</w:t>
            </w:r>
          </w:p>
        </w:tc>
        <w:tc>
          <w:tcPr>
            <w:tcW w:type="dxa" w:w="1728"/>
            <w:shd w:val="clear" w:color="auto" w:fill="184C78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Net Amount (Excl. Tax)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Phase 1: Brand Audit, Discovery &amp; Insights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Stakeholder perception mapping, brand diagnostics, consumer insights, deep discovery, and competitive positioning framework.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Weeks 1-4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[Insert Amount]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Phase 2: Brand Strategy &amp; Value Proposition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Core brand architecture, value proposition design, brand persona, positioning pivot matrix, and messaging framework.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Weeks 5-8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[Insert Amount]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Phase 3: Visual Identity, Naming &amp; Packaging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Naming architecture (if required), logo system design, typography, packaging SKU layout design, brand manual guidelines, and asset creation.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Weeks 9-12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[Insert Amount]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Phase 4: Brand Rollout &amp; Launch Strategy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Internal culture change alignment, launch communication assets, creative direction oversight, and project management implementation support.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Weeks 13-16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[Insert Amount]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84C78"/>
                <w:sz w:val="20"/>
              </w:rPr>
              <w:t>SUBTOTAL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84C78"/>
                <w:sz w:val="20"/>
              </w:rPr>
              <w:t>Cumulative Net Fee for Phases 1 through 4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84C78"/>
                <w:sz w:val="20"/>
              </w:rPr>
              <w:t>-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84C78"/>
                <w:sz w:val="20"/>
              </w:rPr>
              <w:t>[Insert Total]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i w:val="0"/>
          <w:color w:val="464646"/>
          <w:sz w:val="26"/>
        </w:rPr>
        <w:t>Commercial Terms &amp; Payment Milestones</w:t>
      </w:r>
    </w:p>
    <w:p>
      <w:r>
        <w:rPr>
          <w:rFonts w:ascii="Arial" w:hAnsi="Arial"/>
          <w:b w:val="0"/>
          <w:i w:val="0"/>
          <w:color w:val="505050"/>
          <w:sz w:val="21"/>
        </w:rPr>
        <w:t>• Tax Applicability: All listed costs are exclusive of Value Added Tax (VAT) or region-specific commercial levies.</w:t>
        <w:br/>
        <w:t>• Milestone Schedule: Invoicing is systematically linked to phase approvals (e.g., 25% mobilization deposit, 25% upon completion of Phase 1, 25% upon Phase 2, 25% upon sign-off of Phase 3/4).</w:t>
        <w:br/>
        <w:t>• Out-of-Pocket Expenses: Localized travel, regional consumer focus-group logistics outside of Nairobi, or premium typography/font licensing fees are billed transparently at cost with prior client approval.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