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Taller 1. Revisión de los datos antes de la red</w:t>
      </w:r>
    </w:p>
    <w:p>
      <w:r>
        <w:t>Inteligencia Computacional. Datasets del taller: Iris y banknote.</w:t>
      </w:r>
    </w:p>
    <w:p>
      <w:r>
        <w:t xml:space="preserve">Antes de entrenar el perceptrón y el Adaline hay que mirar con qué datos se va a trabajar. Para cada dataset se hace lo mismo: se mira el dato crudo, se corrige por pasos, y después de cada paso se entrenan todos los modelos de Classification Learner para ver si mejoran. Los scripts </w:t>
      </w:r>
      <w:r>
        <w:rPr>
          <w:rFonts w:ascii="Consolas" w:hAnsi="Consolas"/>
          <w:color w:val="A03030"/>
          <w:sz w:val="18"/>
        </w:rPr>
        <w:t>R1_revision_iris.mlx</w:t>
      </w:r>
      <w:r>
        <w:t xml:space="preserve"> y </w:t>
      </w:r>
      <w:r>
        <w:rPr>
          <w:rFonts w:ascii="Consolas" w:hAnsi="Consolas"/>
          <w:color w:val="A03030"/>
          <w:sz w:val="18"/>
        </w:rPr>
        <w:t>R2_revision_banknote.mlx</w:t>
      </w:r>
      <w:r>
        <w:t xml:space="preserve"> dejan en el workspace una tabla por paso: </w:t>
      </w:r>
      <w:r>
        <w:rPr>
          <w:rFonts w:ascii="Consolas" w:hAnsi="Consolas"/>
          <w:color w:val="A03030"/>
          <w:sz w:val="18"/>
        </w:rPr>
        <w:t>T0_crudo</w:t>
      </w:r>
      <w:r>
        <w:t xml:space="preserve">, </w:t>
      </w:r>
      <w:r>
        <w:rPr>
          <w:rFonts w:ascii="Consolas" w:hAnsi="Consolas"/>
          <w:color w:val="A03030"/>
          <w:sz w:val="18"/>
        </w:rPr>
        <w:t>T1_outliers</w:t>
      </w:r>
      <w:r>
        <w:t xml:space="preserve">, </w:t>
      </w:r>
      <w:r>
        <w:rPr>
          <w:rFonts w:ascii="Consolas" w:hAnsi="Consolas"/>
          <w:color w:val="A03030"/>
          <w:sz w:val="18"/>
        </w:rPr>
        <w:t>T2_balanceado</w:t>
      </w:r>
      <w:r>
        <w:t xml:space="preserve">, </w:t>
      </w:r>
      <w:r>
        <w:rPr>
          <w:rFonts w:ascii="Consolas" w:hAnsi="Consolas"/>
          <w:color w:val="A03030"/>
          <w:sz w:val="18"/>
        </w:rPr>
        <w:t>T3_estandarizado</w:t>
      </w:r>
      <w:r>
        <w:t xml:space="preserve"> y </w:t>
      </w:r>
      <w:r>
        <w:rPr>
          <w:rFonts w:ascii="Consolas" w:hAnsi="Consolas"/>
          <w:color w:val="A03030"/>
          <w:sz w:val="18"/>
        </w:rPr>
        <w:t>T4_normalizado</w:t>
      </w:r>
      <w:r>
        <w:t>.</w:t>
      </w:r>
    </w:p>
    <w:p>
      <w:pPr>
        <w:pStyle w:val="Heading2"/>
      </w:pPr>
      <w:r>
        <w:t>1. Iris</w:t>
      </w:r>
    </w:p>
    <w:p>
      <w:r>
        <w:t>150 flores, cuatro medidas en centímetros (largo y ancho del sépalo, largo y ancho del pétalo) y la especie: setosa, versicolor o virginica.</w:t>
      </w:r>
    </w:p>
    <w:p>
      <w:pPr>
        <w:pStyle w:val="Heading3"/>
      </w:pPr>
      <w:r>
        <w:t>1.1 Dato crudo</w:t>
      </w:r>
    </w:p>
    <w:p>
      <w:pPr>
        <w:jc w:val="center"/>
      </w:pPr>
      <w:r>
        <w:drawing>
          <wp:inline xmlns:a="http://schemas.openxmlformats.org/drawingml/2006/main" xmlns:pic="http://schemas.openxmlformats.org/drawingml/2006/picture">
            <wp:extent cx="5760720" cy="4417573"/>
            <wp:docPr id="1" name="Picture 1"/>
            <wp:cNvGraphicFramePr>
              <a:graphicFrameLocks noChangeAspect="1"/>
            </wp:cNvGraphicFramePr>
            <a:graphic>
              <a:graphicData uri="http://schemas.openxmlformats.org/drawingml/2006/picture">
                <pic:pic>
                  <pic:nvPicPr>
                    <pic:cNvPr id="0" name="rev_iris_histogramas.png"/>
                    <pic:cNvPicPr/>
                  </pic:nvPicPr>
                  <pic:blipFill>
                    <a:blip r:embed="rId9"/>
                    <a:stretch>
                      <a:fillRect/>
                    </a:stretch>
                  </pic:blipFill>
                  <pic:spPr>
                    <a:xfrm>
                      <a:off x="0" y="0"/>
                      <a:ext cx="5760720" cy="4417573"/>
                    </a:xfrm>
                    <a:prstGeom prst="rect"/>
                  </pic:spPr>
                </pic:pic>
              </a:graphicData>
            </a:graphic>
          </wp:inline>
        </w:drawing>
      </w:r>
    </w:p>
    <w:p>
      <w:pPr>
        <w:jc w:val="center"/>
      </w:pPr>
      <w:r>
        <w:rPr>
          <w:i/>
          <w:sz w:val="18"/>
        </w:rPr>
        <w:t>Las medidas del pétalo separan setosa de las otras dos sin ayuda. Las del sépalo se pisan más.</w:t>
      </w:r>
    </w:p>
    <w:p>
      <w:pPr>
        <w:jc w:val="center"/>
      </w:pPr>
      <w:r>
        <w:drawing>
          <wp:inline xmlns:a="http://schemas.openxmlformats.org/drawingml/2006/main" xmlns:pic="http://schemas.openxmlformats.org/drawingml/2006/picture">
            <wp:extent cx="5760720" cy="3639699"/>
            <wp:docPr id="2" name="Picture 2"/>
            <wp:cNvGraphicFramePr>
              <a:graphicFrameLocks noChangeAspect="1"/>
            </wp:cNvGraphicFramePr>
            <a:graphic>
              <a:graphicData uri="http://schemas.openxmlformats.org/drawingml/2006/picture">
                <pic:pic>
                  <pic:nvPicPr>
                    <pic:cNvPr id="0" name="rev_iris_boxplot_crudo.png"/>
                    <pic:cNvPicPr/>
                  </pic:nvPicPr>
                  <pic:blipFill>
                    <a:blip r:embed="rId10"/>
                    <a:stretch>
                      <a:fillRect/>
                    </a:stretch>
                  </pic:blipFill>
                  <pic:spPr>
                    <a:xfrm>
                      <a:off x="0" y="0"/>
                      <a:ext cx="5760720" cy="3639699"/>
                    </a:xfrm>
                    <a:prstGeom prst="rect"/>
                  </pic:spPr>
                </pic:pic>
              </a:graphicData>
            </a:graphic>
          </wp:inline>
        </w:drawing>
      </w:r>
    </w:p>
    <w:p>
      <w:pPr>
        <w:jc w:val="center"/>
      </w:pPr>
      <w:r>
        <w:rPr>
          <w:i/>
          <w:sz w:val="18"/>
        </w:rPr>
        <w:t>Las cuatro están en centímetros y en rangos parecidos, entre 0 y 8. No hay una que domine a las demás por escala.</w:t>
      </w:r>
    </w:p>
    <w:p>
      <w:pPr>
        <w:jc w:val="center"/>
      </w:pPr>
      <w:r>
        <w:drawing>
          <wp:inline xmlns:a="http://schemas.openxmlformats.org/drawingml/2006/main" xmlns:pic="http://schemas.openxmlformats.org/drawingml/2006/picture">
            <wp:extent cx="5760720" cy="4348526"/>
            <wp:docPr id="3" name="Picture 3"/>
            <wp:cNvGraphicFramePr>
              <a:graphicFrameLocks noChangeAspect="1"/>
            </wp:cNvGraphicFramePr>
            <a:graphic>
              <a:graphicData uri="http://schemas.openxmlformats.org/drawingml/2006/picture">
                <pic:pic>
                  <pic:nvPicPr>
                    <pic:cNvPr id="0" name="rev_iris_balance.png"/>
                    <pic:cNvPicPr/>
                  </pic:nvPicPr>
                  <pic:blipFill>
                    <a:blip r:embed="rId11"/>
                    <a:stretch>
                      <a:fillRect/>
                    </a:stretch>
                  </pic:blipFill>
                  <pic:spPr>
                    <a:xfrm>
                      <a:off x="0" y="0"/>
                      <a:ext cx="5760720" cy="4348526"/>
                    </a:xfrm>
                    <a:prstGeom prst="rect"/>
                  </pic:spPr>
                </pic:pic>
              </a:graphicData>
            </a:graphic>
          </wp:inline>
        </w:drawing>
      </w:r>
    </w:p>
    <w:p>
      <w:pPr>
        <w:jc w:val="center"/>
      </w:pPr>
      <w:r>
        <w:rPr>
          <w:i/>
          <w:sz w:val="18"/>
        </w:rPr>
        <w:t>50 de cada clase. Ya viene balanceado.</w:t>
      </w:r>
    </w:p>
    <w:p>
      <w:pPr>
        <w:jc w:val="center"/>
      </w:pPr>
      <w:r>
        <w:drawing>
          <wp:inline xmlns:a="http://schemas.openxmlformats.org/drawingml/2006/main" xmlns:pic="http://schemas.openxmlformats.org/drawingml/2006/picture">
            <wp:extent cx="5760720" cy="4772962"/>
            <wp:docPr id="4" name="Picture 4"/>
            <wp:cNvGraphicFramePr>
              <a:graphicFrameLocks noChangeAspect="1"/>
            </wp:cNvGraphicFramePr>
            <a:graphic>
              <a:graphicData uri="http://schemas.openxmlformats.org/drawingml/2006/picture">
                <pic:pic>
                  <pic:nvPicPr>
                    <pic:cNvPr id="0" name="rev_iris_dispersion.png"/>
                    <pic:cNvPicPr/>
                  </pic:nvPicPr>
                  <pic:blipFill>
                    <a:blip r:embed="rId12"/>
                    <a:stretch>
                      <a:fillRect/>
                    </a:stretch>
                  </pic:blipFill>
                  <pic:spPr>
                    <a:xfrm>
                      <a:off x="0" y="0"/>
                      <a:ext cx="5760720" cy="4772962"/>
                    </a:xfrm>
                    <a:prstGeom prst="rect"/>
                  </pic:spPr>
                </pic:pic>
              </a:graphicData>
            </a:graphic>
          </wp:inline>
        </w:drawing>
      </w:r>
    </w:p>
    <w:p>
      <w:pPr>
        <w:jc w:val="center"/>
      </w:pPr>
      <w:r>
        <w:rPr>
          <w:i/>
          <w:sz w:val="18"/>
        </w:rPr>
        <w:t>Largo contra ancho del pétalo. Setosa queda sola abajo a la izquierda; versicolor y virginica se traslapan en la frontera.</w:t>
      </w:r>
    </w:p>
    <w:p>
      <w:r>
        <w:t>Modelos con el dato crudo:</w:t>
      </w:r>
    </w:p>
    <w:p>
      <w:pPr>
        <w:jc w:val="center"/>
      </w:pPr>
      <w:r>
        <w:rPr>
          <w:i/>
          <w:sz w:val="18"/>
        </w:rPr>
        <w:t>Classification Learner con T0_crudo, validación cruzada de 5 pliegues.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
              <w:rPr>
                <w:b/>
                <w:sz w:val="17"/>
              </w:rPr>
              <w:t>Mejor modelo</w:t>
            </w:r>
          </w:p>
        </w:tc>
        <w:tc>
          <w:tcPr>
            <w:tcW w:type="dxa" w:w="4320"/>
          </w:tcPr>
          <w:p>
            <w:r/>
            <w:r>
              <w:rPr>
                <w:b/>
                <w:sz w:val="17"/>
              </w:rPr>
              <w:t>Exactitud</w:t>
            </w:r>
          </w:p>
        </w:tc>
      </w:tr>
      <w:tr>
        <w:tc>
          <w:tcPr>
            <w:tcW w:type="dxa" w:w="4320"/>
          </w:tcPr>
          <w:p>
            <w:r/>
            <w:r>
              <w:rPr>
                <w:sz w:val="17"/>
              </w:rPr>
              <w:t>Linear Discriminant y Quadratic Discriminant</w:t>
            </w:r>
          </w:p>
        </w:tc>
        <w:tc>
          <w:tcPr>
            <w:tcW w:type="dxa" w:w="4320"/>
          </w:tcPr>
          <w:p>
            <w:r/>
            <w:r>
              <w:rPr>
                <w:sz w:val="17"/>
              </w:rPr>
              <w:t>98,0 %</w:t>
            </w:r>
          </w:p>
        </w:tc>
      </w:tr>
    </w:tbl>
    <w:p/>
    <w:p>
      <w:r>
        <w:t>Con el dato tal como viene ya se llega al 98 %. Es un dataset fácil: setosa se separa sola y el error está en las 3 flores de la frontera entre versicolor y virginica.</w:t>
      </w:r>
    </w:p>
    <w:p>
      <w:pPr>
        <w:pStyle w:val="Heading3"/>
      </w:pPr>
      <w:r>
        <w:t>1.2 Corrigiendo outliers</w:t>
      </w:r>
    </w:p>
    <w:p>
      <w:r>
        <w:t>Regla del 1,5 por rango intercuartil, recortando al borde en vez de borrar la fila. Solo el ancho del sépalo tenía unos pocos valores fuera.</w:t>
      </w:r>
    </w:p>
    <w:p>
      <w:pPr>
        <w:jc w:val="center"/>
      </w:pPr>
      <w:r>
        <w:drawing>
          <wp:inline xmlns:a="http://schemas.openxmlformats.org/drawingml/2006/main" xmlns:pic="http://schemas.openxmlformats.org/drawingml/2006/picture">
            <wp:extent cx="5760720" cy="3639699"/>
            <wp:docPr id="5" name="Picture 5"/>
            <wp:cNvGraphicFramePr>
              <a:graphicFrameLocks noChangeAspect="1"/>
            </wp:cNvGraphicFramePr>
            <a:graphic>
              <a:graphicData uri="http://schemas.openxmlformats.org/drawingml/2006/picture">
                <pic:pic>
                  <pic:nvPicPr>
                    <pic:cNvPr id="0" name="rev_iris_boxplot_outliers.png"/>
                    <pic:cNvPicPr/>
                  </pic:nvPicPr>
                  <pic:blipFill>
                    <a:blip r:embed="rId13"/>
                    <a:stretch>
                      <a:fillRect/>
                    </a:stretch>
                  </pic:blipFill>
                  <pic:spPr>
                    <a:xfrm>
                      <a:off x="0" y="0"/>
                      <a:ext cx="5760720" cy="3639699"/>
                    </a:xfrm>
                    <a:prstGeom prst="rect"/>
                  </pic:spPr>
                </pic:pic>
              </a:graphicData>
            </a:graphic>
          </wp:inline>
        </w:drawing>
      </w:r>
    </w:p>
    <w:p>
      <w:pPr>
        <w:jc w:val="center"/>
      </w:pPr>
      <w:r>
        <w:rPr>
          <w:i/>
          <w:sz w:val="18"/>
        </w:rPr>
        <w:t>Casi igual al crudo. En Iris este paso no cambia nada.</w:t>
      </w:r>
    </w:p>
    <w:p>
      <w:pPr>
        <w:jc w:val="center"/>
      </w:pPr>
      <w:r>
        <w:rPr>
          <w:i/>
          <w:sz w:val="18"/>
        </w:rPr>
        <w:t>Classification Learner con T1_outliers.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
              <w:rPr>
                <w:b/>
                <w:sz w:val="17"/>
              </w:rPr>
              <w:t>Mejor modelo</w:t>
            </w:r>
          </w:p>
        </w:tc>
        <w:tc>
          <w:tcPr>
            <w:tcW w:type="dxa" w:w="2880"/>
          </w:tcPr>
          <w:p>
            <w:r/>
            <w:r>
              <w:rPr>
                <w:b/>
                <w:sz w:val="17"/>
              </w:rPr>
              <w:t>Exactitud</w:t>
            </w:r>
          </w:p>
        </w:tc>
        <w:tc>
          <w:tcPr>
            <w:tcW w:type="dxa" w:w="2880"/>
          </w:tcPr>
          <w:p>
            <w:r/>
            <w:r>
              <w:rPr>
                <w:b/>
                <w:sz w:val="17"/>
              </w:rPr>
              <w:t>Cambió respecto al paso anterior</w:t>
            </w:r>
          </w:p>
        </w:tc>
      </w:tr>
      <w:tr>
        <w:tc>
          <w:tcPr>
            <w:tcW w:type="dxa" w:w="2880"/>
          </w:tcPr>
          <w:p>
            <w:r/>
            <w:r>
              <w:rPr>
                <w:sz w:val="17"/>
              </w:rPr>
              <w:t>Linear Discriminant</w:t>
            </w:r>
          </w:p>
        </w:tc>
        <w:tc>
          <w:tcPr>
            <w:tcW w:type="dxa" w:w="2880"/>
          </w:tcPr>
          <w:p>
            <w:r/>
            <w:r>
              <w:rPr>
                <w:sz w:val="17"/>
              </w:rPr>
              <w:t>98,0 %</w:t>
            </w:r>
          </w:p>
        </w:tc>
        <w:tc>
          <w:tcPr>
            <w:tcW w:type="dxa" w:w="2880"/>
          </w:tcPr>
          <w:p>
            <w:r/>
            <w:r>
              <w:rPr>
                <w:sz w:val="17"/>
              </w:rPr>
              <w:t>no</w:t>
            </w:r>
          </w:p>
        </w:tc>
      </w:tr>
    </w:tbl>
    <w:p/>
    <w:p>
      <w:r>
        <w:t>Recortar 4 valores del ancho del sépalo no mueve al mejor modelo. Los árboles bajaron de 96,7 a 96,0 y el SVM cúbico de 95,3 a 92,7, pero son diferencias de una o dos flores.</w:t>
      </w:r>
    </w:p>
    <w:p>
      <w:pPr>
        <w:pStyle w:val="Heading3"/>
      </w:pPr>
      <w:r>
        <w:t>1.3 Balanceando las clases</w:t>
      </w:r>
    </w:p>
    <w:p>
      <w:r>
        <w:t xml:space="preserve">No hay nada que balancear, son 50, 50 y 50. La tabla </w:t>
      </w:r>
      <w:r>
        <w:rPr>
          <w:rFonts w:ascii="Consolas" w:hAnsi="Consolas"/>
          <w:color w:val="A03030"/>
          <w:sz w:val="18"/>
        </w:rPr>
        <w:t>T2_balanceado</w:t>
      </w:r>
      <w:r>
        <w:t xml:space="preserve"> es la misma que </w:t>
      </w:r>
      <w:r>
        <w:rPr>
          <w:rFonts w:ascii="Consolas" w:hAnsi="Consolas"/>
          <w:color w:val="A03030"/>
          <w:sz w:val="18"/>
        </w:rPr>
        <w:t>T1_outliers</w:t>
      </w:r>
      <w:r>
        <w:t xml:space="preserve"> y se deja con ese nombre para seguir el orden.</w:t>
      </w:r>
    </w:p>
    <w:p>
      <w:pPr>
        <w:jc w:val="center"/>
      </w:pPr>
      <w:r>
        <w:rPr>
          <w:i/>
          <w:sz w:val="18"/>
        </w:rPr>
        <w:t>Classification Learner con T2_balanceado, que son los mismos datos de T1.</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
              <w:rPr>
                <w:b/>
                <w:sz w:val="17"/>
              </w:rPr>
              <w:t>Mejor modelo</w:t>
            </w:r>
          </w:p>
        </w:tc>
        <w:tc>
          <w:tcPr>
            <w:tcW w:type="dxa" w:w="2880"/>
          </w:tcPr>
          <w:p>
            <w:r/>
            <w:r>
              <w:rPr>
                <w:b/>
                <w:sz w:val="17"/>
              </w:rPr>
              <w:t>Exactitud</w:t>
            </w:r>
          </w:p>
        </w:tc>
        <w:tc>
          <w:tcPr>
            <w:tcW w:type="dxa" w:w="2880"/>
          </w:tcPr>
          <w:p>
            <w:r/>
            <w:r>
              <w:rPr>
                <w:b/>
                <w:sz w:val="17"/>
              </w:rPr>
              <w:t>Cambió</w:t>
            </w:r>
          </w:p>
        </w:tc>
      </w:tr>
      <w:tr>
        <w:tc>
          <w:tcPr>
            <w:tcW w:type="dxa" w:w="2880"/>
          </w:tcPr>
          <w:p>
            <w:r/>
            <w:r>
              <w:rPr>
                <w:sz w:val="17"/>
              </w:rPr>
              <w:t>Efficient Linear SVM</w:t>
            </w:r>
          </w:p>
        </w:tc>
        <w:tc>
          <w:tcPr>
            <w:tcW w:type="dxa" w:w="2880"/>
          </w:tcPr>
          <w:p>
            <w:r/>
            <w:r>
              <w:rPr>
                <w:sz w:val="17"/>
              </w:rPr>
              <w:t>98,7 %</w:t>
            </w:r>
          </w:p>
        </w:tc>
        <w:tc>
          <w:tcPr>
            <w:tcW w:type="dxa" w:w="2880"/>
          </w:tcPr>
          <w:p>
            <w:r/>
            <w:r>
              <w:rPr>
                <w:sz w:val="17"/>
              </w:rPr>
              <w:t>sube 0,7 puntos</w:t>
            </w:r>
          </w:p>
        </w:tc>
      </w:tr>
    </w:tbl>
    <w:p/>
    <w:p>
      <w:r>
        <w:t>Ojo con este 98,7 %: los datos son exactamente los mismos de T1. Lo que cambió es que la app volvió a repartir al azar los 5 pliegues de la validación cruzada, y con 150 flores un pliegue distinto mueve el resultado una flor. 98,7 contra 98,0 es una flor de 150. No es una mejora del balanceo, porque no hubo balanceo.</w:t>
      </w:r>
    </w:p>
    <w:p>
      <w:pPr>
        <w:pStyle w:val="Heading3"/>
      </w:pPr>
      <w:r>
        <w:t>1.4 Estandarizando</w:t>
      </w:r>
    </w:p>
    <w:p>
      <w:pPr>
        <w:jc w:val="center"/>
      </w:pPr>
      <w:r>
        <w:drawing>
          <wp:inline xmlns:a="http://schemas.openxmlformats.org/drawingml/2006/main" xmlns:pic="http://schemas.openxmlformats.org/drawingml/2006/picture">
            <wp:extent cx="5760720" cy="3647814"/>
            <wp:docPr id="6" name="Picture 6"/>
            <wp:cNvGraphicFramePr>
              <a:graphicFrameLocks noChangeAspect="1"/>
            </wp:cNvGraphicFramePr>
            <a:graphic>
              <a:graphicData uri="http://schemas.openxmlformats.org/drawingml/2006/picture">
                <pic:pic>
                  <pic:nvPicPr>
                    <pic:cNvPr id="0" name="rev_iris_boxplot_estandarizado.png"/>
                    <pic:cNvPicPr/>
                  </pic:nvPicPr>
                  <pic:blipFill>
                    <a:blip r:embed="rId14"/>
                    <a:stretch>
                      <a:fillRect/>
                    </a:stretch>
                  </pic:blipFill>
                  <pic:spPr>
                    <a:xfrm>
                      <a:off x="0" y="0"/>
                      <a:ext cx="5760720" cy="3647814"/>
                    </a:xfrm>
                    <a:prstGeom prst="rect"/>
                  </pic:spPr>
                </pic:pic>
              </a:graphicData>
            </a:graphic>
          </wp:inline>
        </w:drawing>
      </w:r>
    </w:p>
    <w:p>
      <w:pPr>
        <w:jc w:val="center"/>
      </w:pPr>
      <w:r>
        <w:rPr>
          <w:i/>
          <w:sz w:val="18"/>
        </w:rPr>
        <w:t>Media 0 y desviación 1 en las cuatro.</w:t>
      </w:r>
    </w:p>
    <w:p>
      <w:pPr>
        <w:jc w:val="center"/>
      </w:pPr>
      <w:r>
        <w:rPr>
          <w:i/>
          <w:sz w:val="18"/>
        </w:rPr>
        <w:t>Classification Learner con T3_estandarizado.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
              <w:rPr>
                <w:b/>
                <w:sz w:val="17"/>
              </w:rPr>
              <w:t>Mejor modelo</w:t>
            </w:r>
          </w:p>
        </w:tc>
        <w:tc>
          <w:tcPr>
            <w:tcW w:type="dxa" w:w="2880"/>
          </w:tcPr>
          <w:p>
            <w:r/>
            <w:r>
              <w:rPr>
                <w:b/>
                <w:sz w:val="17"/>
              </w:rPr>
              <w:t>Exactitud</w:t>
            </w:r>
          </w:p>
        </w:tc>
        <w:tc>
          <w:tcPr>
            <w:tcW w:type="dxa" w:w="2880"/>
          </w:tcPr>
          <w:p>
            <w:r/>
            <w:r>
              <w:rPr>
                <w:b/>
                <w:sz w:val="17"/>
              </w:rPr>
              <w:t>Cambió</w:t>
            </w:r>
          </w:p>
        </w:tc>
      </w:tr>
      <w:tr>
        <w:tc>
          <w:tcPr>
            <w:tcW w:type="dxa" w:w="2880"/>
          </w:tcPr>
          <w:p>
            <w:r/>
            <w:r>
              <w:rPr>
                <w:sz w:val="17"/>
              </w:rPr>
              <w:t>Linear Discriminant, Quadratic Discriminant y Quadratic SVM</w:t>
            </w:r>
          </w:p>
        </w:tc>
        <w:tc>
          <w:tcPr>
            <w:tcW w:type="dxa" w:w="2880"/>
          </w:tcPr>
          <w:p>
            <w:r/>
            <w:r>
              <w:rPr>
                <w:sz w:val="17"/>
              </w:rPr>
              <w:t>98,0 %</w:t>
            </w:r>
          </w:p>
        </w:tc>
        <w:tc>
          <w:tcPr>
            <w:tcW w:type="dxa" w:w="2880"/>
          </w:tcPr>
          <w:p>
            <w:r/>
            <w:r>
              <w:rPr>
                <w:sz w:val="17"/>
              </w:rPr>
              <w:t>no</w:t>
            </w:r>
          </w:p>
        </w:tc>
      </w:tr>
    </w:tbl>
    <w:p/>
    <w:p>
      <w:r>
        <w:t>Estandarizar no cambia el techo del 98 %, pero sube el SVM cuadrático de 97,3 a 98,0 y baja los árboles finos a 94,7. Tiene sentido: a los discriminantes y a los árboles la escala no les importa, a los SVM sí.</w:t>
      </w:r>
    </w:p>
    <w:p>
      <w:pPr>
        <w:pStyle w:val="Heading3"/>
      </w:pPr>
      <w:r>
        <w:t>1.5 Normalizando</w:t>
      </w:r>
    </w:p>
    <w:p>
      <w:pPr>
        <w:jc w:val="center"/>
      </w:pPr>
      <w:r>
        <w:drawing>
          <wp:inline xmlns:a="http://schemas.openxmlformats.org/drawingml/2006/main" xmlns:pic="http://schemas.openxmlformats.org/drawingml/2006/picture">
            <wp:extent cx="5760720" cy="3676504"/>
            <wp:docPr id="7" name="Picture 7"/>
            <wp:cNvGraphicFramePr>
              <a:graphicFrameLocks noChangeAspect="1"/>
            </wp:cNvGraphicFramePr>
            <a:graphic>
              <a:graphicData uri="http://schemas.openxmlformats.org/drawingml/2006/picture">
                <pic:pic>
                  <pic:nvPicPr>
                    <pic:cNvPr id="0" name="rev_iris_boxplot_normalizado.png"/>
                    <pic:cNvPicPr/>
                  </pic:nvPicPr>
                  <pic:blipFill>
                    <a:blip r:embed="rId15"/>
                    <a:stretch>
                      <a:fillRect/>
                    </a:stretch>
                  </pic:blipFill>
                  <pic:spPr>
                    <a:xfrm>
                      <a:off x="0" y="0"/>
                      <a:ext cx="5760720" cy="3676504"/>
                    </a:xfrm>
                    <a:prstGeom prst="rect"/>
                  </pic:spPr>
                </pic:pic>
              </a:graphicData>
            </a:graphic>
          </wp:inline>
        </w:drawing>
      </w:r>
    </w:p>
    <w:p>
      <w:pPr>
        <w:jc w:val="center"/>
      </w:pPr>
      <w:r>
        <w:rPr>
          <w:i/>
          <w:sz w:val="18"/>
        </w:rPr>
        <w:t>Todo entre 0 y 1.</w:t>
      </w:r>
    </w:p>
    <w:p>
      <w:pPr>
        <w:jc w:val="center"/>
      </w:pPr>
      <w:r>
        <w:rPr>
          <w:i/>
          <w:sz w:val="18"/>
        </w:rPr>
        <w:t>Classification Learner con T4_normalizado.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
              <w:rPr>
                <w:b/>
                <w:sz w:val="17"/>
              </w:rPr>
              <w:t>Mejor modelo</w:t>
            </w:r>
          </w:p>
        </w:tc>
        <w:tc>
          <w:tcPr>
            <w:tcW w:type="dxa" w:w="2880"/>
          </w:tcPr>
          <w:p>
            <w:r/>
            <w:r>
              <w:rPr>
                <w:b/>
                <w:sz w:val="17"/>
              </w:rPr>
              <w:t>Exactitud</w:t>
            </w:r>
          </w:p>
        </w:tc>
        <w:tc>
          <w:tcPr>
            <w:tcW w:type="dxa" w:w="2880"/>
          </w:tcPr>
          <w:p>
            <w:r/>
            <w:r>
              <w:rPr>
                <w:b/>
                <w:sz w:val="17"/>
              </w:rPr>
              <w:t>Cambió</w:t>
            </w:r>
          </w:p>
        </w:tc>
      </w:tr>
      <w:tr>
        <w:tc>
          <w:tcPr>
            <w:tcW w:type="dxa" w:w="2880"/>
          </w:tcPr>
          <w:p>
            <w:r/>
            <w:r>
              <w:rPr>
                <w:sz w:val="17"/>
              </w:rPr>
              <w:t>Linear Discriminant</w:t>
            </w:r>
          </w:p>
        </w:tc>
        <w:tc>
          <w:tcPr>
            <w:tcW w:type="dxa" w:w="2880"/>
          </w:tcPr>
          <w:p>
            <w:r/>
            <w:r>
              <w:rPr>
                <w:sz w:val="17"/>
              </w:rPr>
              <w:t>98,0 %</w:t>
            </w:r>
          </w:p>
        </w:tc>
        <w:tc>
          <w:tcPr>
            <w:tcW w:type="dxa" w:w="2880"/>
          </w:tcPr>
          <w:p>
            <w:r/>
            <w:r>
              <w:rPr>
                <w:sz w:val="17"/>
              </w:rPr>
              <w:t>no</w:t>
            </w:r>
          </w:p>
        </w:tc>
      </w:tr>
    </w:tbl>
    <w:p/>
    <w:p>
      <w:r>
        <w:t>Igual que estandarizar. El discriminante lineal da 98 % con cualquier versión de los datos.</w:t>
      </w:r>
    </w:p>
    <w:p>
      <w:pPr>
        <w:pStyle w:val="Heading3"/>
      </w:pPr>
      <w:r>
        <w:t>1.6 Qué pasó en Iris</w:t>
      </w:r>
    </w:p>
    <w:p>
      <w:r>
        <w:t>Los 12 modelos de la app en cada paso, exactitud de validación en %:</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7"/>
              </w:rPr>
              <w:t>Modelo</w:t>
            </w:r>
          </w:p>
        </w:tc>
        <w:tc>
          <w:tcPr>
            <w:tcW w:type="dxa" w:w="1440"/>
          </w:tcPr>
          <w:p>
            <w:r/>
            <w:r>
              <w:rPr>
                <w:b/>
                <w:sz w:val="17"/>
              </w:rPr>
              <w:t>T0 crudo</w:t>
            </w:r>
          </w:p>
        </w:tc>
        <w:tc>
          <w:tcPr>
            <w:tcW w:type="dxa" w:w="1440"/>
          </w:tcPr>
          <w:p>
            <w:r/>
            <w:r>
              <w:rPr>
                <w:b/>
                <w:sz w:val="17"/>
              </w:rPr>
              <w:t>T1 outliers</w:t>
            </w:r>
          </w:p>
        </w:tc>
        <w:tc>
          <w:tcPr>
            <w:tcW w:type="dxa" w:w="1440"/>
          </w:tcPr>
          <w:p>
            <w:r/>
            <w:r>
              <w:rPr>
                <w:b/>
                <w:sz w:val="17"/>
              </w:rPr>
              <w:t>T2 balanceado</w:t>
            </w:r>
          </w:p>
        </w:tc>
        <w:tc>
          <w:tcPr>
            <w:tcW w:type="dxa" w:w="1440"/>
          </w:tcPr>
          <w:p>
            <w:r/>
            <w:r>
              <w:rPr>
                <w:b/>
                <w:sz w:val="17"/>
              </w:rPr>
              <w:t>T3 estandarizado</w:t>
            </w:r>
          </w:p>
        </w:tc>
        <w:tc>
          <w:tcPr>
            <w:tcW w:type="dxa" w:w="1440"/>
          </w:tcPr>
          <w:p>
            <w:r/>
            <w:r>
              <w:rPr>
                <w:b/>
                <w:sz w:val="17"/>
              </w:rPr>
              <w:t>T4 normalizado</w:t>
            </w:r>
          </w:p>
        </w:tc>
      </w:tr>
      <w:tr>
        <w:tc>
          <w:tcPr>
            <w:tcW w:type="dxa" w:w="1440"/>
          </w:tcPr>
          <w:p>
            <w:r/>
            <w:r>
              <w:rPr>
                <w:sz w:val="17"/>
              </w:rPr>
              <w:t>Fine Tree</w:t>
            </w:r>
          </w:p>
        </w:tc>
        <w:tc>
          <w:tcPr>
            <w:tcW w:type="dxa" w:w="1440"/>
          </w:tcPr>
          <w:p>
            <w:r/>
            <w:r>
              <w:rPr>
                <w:sz w:val="17"/>
              </w:rPr>
              <w:t>96,7</w:t>
            </w:r>
          </w:p>
        </w:tc>
        <w:tc>
          <w:tcPr>
            <w:tcW w:type="dxa" w:w="1440"/>
          </w:tcPr>
          <w:p>
            <w:r/>
            <w:r>
              <w:rPr>
                <w:sz w:val="17"/>
              </w:rPr>
              <w:t>96,0</w:t>
            </w:r>
          </w:p>
        </w:tc>
        <w:tc>
          <w:tcPr>
            <w:tcW w:type="dxa" w:w="1440"/>
          </w:tcPr>
          <w:p>
            <w:r/>
            <w:r>
              <w:rPr>
                <w:sz w:val="17"/>
              </w:rPr>
              <w:t>96,0</w:t>
            </w:r>
          </w:p>
        </w:tc>
        <w:tc>
          <w:tcPr>
            <w:tcW w:type="dxa" w:w="1440"/>
          </w:tcPr>
          <w:p>
            <w:r/>
            <w:r>
              <w:rPr>
                <w:sz w:val="17"/>
              </w:rPr>
              <w:t>94,7</w:t>
            </w:r>
          </w:p>
        </w:tc>
        <w:tc>
          <w:tcPr>
            <w:tcW w:type="dxa" w:w="1440"/>
          </w:tcPr>
          <w:p>
            <w:r/>
            <w:r>
              <w:rPr>
                <w:sz w:val="17"/>
              </w:rPr>
              <w:t>95,3</w:t>
            </w:r>
          </w:p>
        </w:tc>
      </w:tr>
      <w:tr>
        <w:tc>
          <w:tcPr>
            <w:tcW w:type="dxa" w:w="1440"/>
          </w:tcPr>
          <w:p>
            <w:r/>
            <w:r>
              <w:rPr>
                <w:sz w:val="17"/>
              </w:rPr>
              <w:t>Medium Tree</w:t>
            </w:r>
          </w:p>
        </w:tc>
        <w:tc>
          <w:tcPr>
            <w:tcW w:type="dxa" w:w="1440"/>
          </w:tcPr>
          <w:p>
            <w:r/>
            <w:r>
              <w:rPr>
                <w:sz w:val="17"/>
              </w:rPr>
              <w:t>96,7</w:t>
            </w:r>
          </w:p>
        </w:tc>
        <w:tc>
          <w:tcPr>
            <w:tcW w:type="dxa" w:w="1440"/>
          </w:tcPr>
          <w:p>
            <w:r/>
            <w:r>
              <w:rPr>
                <w:sz w:val="17"/>
              </w:rPr>
              <w:t>96,0</w:t>
            </w:r>
          </w:p>
        </w:tc>
        <w:tc>
          <w:tcPr>
            <w:tcW w:type="dxa" w:w="1440"/>
          </w:tcPr>
          <w:p>
            <w:r/>
            <w:r>
              <w:rPr>
                <w:sz w:val="17"/>
              </w:rPr>
              <w:t>96,0</w:t>
            </w:r>
          </w:p>
        </w:tc>
        <w:tc>
          <w:tcPr>
            <w:tcW w:type="dxa" w:w="1440"/>
          </w:tcPr>
          <w:p>
            <w:r/>
            <w:r>
              <w:rPr>
                <w:sz w:val="17"/>
              </w:rPr>
              <w:t>94,7</w:t>
            </w:r>
          </w:p>
        </w:tc>
        <w:tc>
          <w:tcPr>
            <w:tcW w:type="dxa" w:w="1440"/>
          </w:tcPr>
          <w:p>
            <w:r/>
            <w:r>
              <w:rPr>
                <w:sz w:val="17"/>
              </w:rPr>
              <w:t>95,3</w:t>
            </w:r>
          </w:p>
        </w:tc>
      </w:tr>
      <w:tr>
        <w:tc>
          <w:tcPr>
            <w:tcW w:type="dxa" w:w="1440"/>
          </w:tcPr>
          <w:p>
            <w:r/>
            <w:r>
              <w:rPr>
                <w:sz w:val="17"/>
              </w:rPr>
              <w:t>Coarse Tree</w:t>
            </w:r>
          </w:p>
        </w:tc>
        <w:tc>
          <w:tcPr>
            <w:tcW w:type="dxa" w:w="1440"/>
          </w:tcPr>
          <w:p>
            <w:r/>
            <w:r>
              <w:rPr>
                <w:sz w:val="17"/>
              </w:rPr>
              <w:t>96,7</w:t>
            </w:r>
          </w:p>
        </w:tc>
        <w:tc>
          <w:tcPr>
            <w:tcW w:type="dxa" w:w="1440"/>
          </w:tcPr>
          <w:p>
            <w:r/>
            <w:r>
              <w:rPr>
                <w:sz w:val="17"/>
              </w:rPr>
              <w:t>96,0</w:t>
            </w:r>
          </w:p>
        </w:tc>
        <w:tc>
          <w:tcPr>
            <w:tcW w:type="dxa" w:w="1440"/>
          </w:tcPr>
          <w:p>
            <w:r/>
            <w:r>
              <w:rPr>
                <w:sz w:val="17"/>
              </w:rPr>
              <w:t>96,0</w:t>
            </w:r>
          </w:p>
        </w:tc>
        <w:tc>
          <w:tcPr>
            <w:tcW w:type="dxa" w:w="1440"/>
          </w:tcPr>
          <w:p>
            <w:r/>
            <w:r>
              <w:rPr>
                <w:sz w:val="17"/>
              </w:rPr>
              <w:t>96,7</w:t>
            </w:r>
          </w:p>
        </w:tc>
        <w:tc>
          <w:tcPr>
            <w:tcW w:type="dxa" w:w="1440"/>
          </w:tcPr>
          <w:p>
            <w:r/>
            <w:r>
              <w:rPr>
                <w:sz w:val="17"/>
              </w:rPr>
              <w:t>95,3</w:t>
            </w:r>
          </w:p>
        </w:tc>
      </w:tr>
      <w:tr>
        <w:tc>
          <w:tcPr>
            <w:tcW w:type="dxa" w:w="1440"/>
          </w:tcPr>
          <w:p>
            <w:r/>
            <w:r>
              <w:rPr>
                <w:sz w:val="17"/>
              </w:rPr>
              <w:t>Linear Discriminant</w:t>
            </w:r>
          </w:p>
        </w:tc>
        <w:tc>
          <w:tcPr>
            <w:tcW w:type="dxa" w:w="1440"/>
          </w:tcPr>
          <w:p>
            <w:r/>
            <w:r>
              <w:rPr>
                <w:sz w:val="17"/>
              </w:rPr>
              <w:t>98,0</w:t>
            </w:r>
          </w:p>
        </w:tc>
        <w:tc>
          <w:tcPr>
            <w:tcW w:type="dxa" w:w="1440"/>
          </w:tcPr>
          <w:p>
            <w:r/>
            <w:r>
              <w:rPr>
                <w:sz w:val="17"/>
              </w:rPr>
              <w:t>98,0</w:t>
            </w:r>
          </w:p>
        </w:tc>
        <w:tc>
          <w:tcPr>
            <w:tcW w:type="dxa" w:w="1440"/>
          </w:tcPr>
          <w:p>
            <w:r/>
            <w:r>
              <w:rPr>
                <w:sz w:val="17"/>
              </w:rPr>
              <w:t>98,0</w:t>
            </w:r>
          </w:p>
        </w:tc>
        <w:tc>
          <w:tcPr>
            <w:tcW w:type="dxa" w:w="1440"/>
          </w:tcPr>
          <w:p>
            <w:r/>
            <w:r>
              <w:rPr>
                <w:sz w:val="17"/>
              </w:rPr>
              <w:t>98,0</w:t>
            </w:r>
          </w:p>
        </w:tc>
        <w:tc>
          <w:tcPr>
            <w:tcW w:type="dxa" w:w="1440"/>
          </w:tcPr>
          <w:p>
            <w:r/>
            <w:r>
              <w:rPr>
                <w:sz w:val="17"/>
              </w:rPr>
              <w:t>98,0</w:t>
            </w:r>
          </w:p>
        </w:tc>
      </w:tr>
      <w:tr>
        <w:tc>
          <w:tcPr>
            <w:tcW w:type="dxa" w:w="1440"/>
          </w:tcPr>
          <w:p>
            <w:r/>
            <w:r>
              <w:rPr>
                <w:sz w:val="17"/>
              </w:rPr>
              <w:t>Quadratic Discriminant</w:t>
            </w:r>
          </w:p>
        </w:tc>
        <w:tc>
          <w:tcPr>
            <w:tcW w:type="dxa" w:w="1440"/>
          </w:tcPr>
          <w:p>
            <w:r/>
            <w:r>
              <w:rPr>
                <w:sz w:val="17"/>
              </w:rPr>
              <w:t>98,0</w:t>
            </w:r>
          </w:p>
        </w:tc>
        <w:tc>
          <w:tcPr>
            <w:tcW w:type="dxa" w:w="1440"/>
          </w:tcPr>
          <w:p>
            <w:r/>
            <w:r>
              <w:rPr>
                <w:sz w:val="17"/>
              </w:rPr>
              <w:t>96,7</w:t>
            </w:r>
          </w:p>
        </w:tc>
        <w:tc>
          <w:tcPr>
            <w:tcW w:type="dxa" w:w="1440"/>
          </w:tcPr>
          <w:p>
            <w:r/>
            <w:r>
              <w:rPr>
                <w:sz w:val="17"/>
              </w:rPr>
              <w:t>97,3</w:t>
            </w:r>
          </w:p>
        </w:tc>
        <w:tc>
          <w:tcPr>
            <w:tcW w:type="dxa" w:w="1440"/>
          </w:tcPr>
          <w:p>
            <w:r/>
            <w:r>
              <w:rPr>
                <w:sz w:val="17"/>
              </w:rPr>
              <w:t>98,0</w:t>
            </w:r>
          </w:p>
        </w:tc>
        <w:tc>
          <w:tcPr>
            <w:tcW w:type="dxa" w:w="1440"/>
          </w:tcPr>
          <w:p>
            <w:r/>
            <w:r>
              <w:rPr>
                <w:sz w:val="17"/>
              </w:rPr>
              <w:t>96,7</w:t>
            </w:r>
          </w:p>
        </w:tc>
      </w:tr>
      <w:tr>
        <w:tc>
          <w:tcPr>
            <w:tcW w:type="dxa" w:w="1440"/>
          </w:tcPr>
          <w:p>
            <w:r/>
            <w:r>
              <w:rPr>
                <w:sz w:val="17"/>
              </w:rPr>
              <w:t>Efficient Logistic Regression</w:t>
            </w:r>
          </w:p>
        </w:tc>
        <w:tc>
          <w:tcPr>
            <w:tcW w:type="dxa" w:w="1440"/>
          </w:tcPr>
          <w:p>
            <w:r/>
            <w:r>
              <w:rPr>
                <w:sz w:val="17"/>
              </w:rPr>
              <w:t>96,7</w:t>
            </w:r>
          </w:p>
        </w:tc>
        <w:tc>
          <w:tcPr>
            <w:tcW w:type="dxa" w:w="1440"/>
          </w:tcPr>
          <w:p>
            <w:r/>
            <w:r>
              <w:rPr>
                <w:sz w:val="17"/>
              </w:rPr>
              <w:t>97,3</w:t>
            </w:r>
          </w:p>
        </w:tc>
        <w:tc>
          <w:tcPr>
            <w:tcW w:type="dxa" w:w="1440"/>
          </w:tcPr>
          <w:p>
            <w:r/>
            <w:r>
              <w:rPr>
                <w:sz w:val="17"/>
              </w:rPr>
              <w:t>96,7</w:t>
            </w:r>
          </w:p>
        </w:tc>
        <w:tc>
          <w:tcPr>
            <w:tcW w:type="dxa" w:w="1440"/>
          </w:tcPr>
          <w:p>
            <w:r/>
            <w:r>
              <w:rPr>
                <w:sz w:val="17"/>
              </w:rPr>
              <w:t>96,0</w:t>
            </w:r>
          </w:p>
        </w:tc>
        <w:tc>
          <w:tcPr>
            <w:tcW w:type="dxa" w:w="1440"/>
          </w:tcPr>
          <w:p>
            <w:r/>
            <w:r>
              <w:rPr>
                <w:sz w:val="17"/>
              </w:rPr>
              <w:t>95,3</w:t>
            </w:r>
          </w:p>
        </w:tc>
      </w:tr>
      <w:tr>
        <w:tc>
          <w:tcPr>
            <w:tcW w:type="dxa" w:w="1440"/>
          </w:tcPr>
          <w:p>
            <w:r/>
            <w:r>
              <w:rPr>
                <w:sz w:val="17"/>
              </w:rPr>
              <w:t>Efficient Linear SVM</w:t>
            </w:r>
          </w:p>
        </w:tc>
        <w:tc>
          <w:tcPr>
            <w:tcW w:type="dxa" w:w="1440"/>
          </w:tcPr>
          <w:p>
            <w:r/>
            <w:r>
              <w:rPr>
                <w:sz w:val="17"/>
              </w:rPr>
              <w:t>97,3</w:t>
            </w:r>
          </w:p>
        </w:tc>
        <w:tc>
          <w:tcPr>
            <w:tcW w:type="dxa" w:w="1440"/>
          </w:tcPr>
          <w:p>
            <w:r/>
            <w:r>
              <w:rPr>
                <w:sz w:val="17"/>
              </w:rPr>
              <w:t>97,3</w:t>
            </w:r>
          </w:p>
        </w:tc>
        <w:tc>
          <w:tcPr>
            <w:tcW w:type="dxa" w:w="1440"/>
          </w:tcPr>
          <w:p>
            <w:r/>
            <w:r>
              <w:rPr>
                <w:sz w:val="17"/>
              </w:rPr>
              <w:t>98,7</w:t>
            </w:r>
          </w:p>
        </w:tc>
        <w:tc>
          <w:tcPr>
            <w:tcW w:type="dxa" w:w="1440"/>
          </w:tcPr>
          <w:p>
            <w:r/>
            <w:r>
              <w:rPr>
                <w:sz w:val="17"/>
              </w:rPr>
              <w:t>96,7</w:t>
            </w:r>
          </w:p>
        </w:tc>
        <w:tc>
          <w:tcPr>
            <w:tcW w:type="dxa" w:w="1440"/>
          </w:tcPr>
          <w:p>
            <w:r/>
            <w:r>
              <w:rPr>
                <w:sz w:val="17"/>
              </w:rPr>
              <w:t>96,0</w:t>
            </w:r>
          </w:p>
        </w:tc>
      </w:tr>
      <w:tr>
        <w:tc>
          <w:tcPr>
            <w:tcW w:type="dxa" w:w="1440"/>
          </w:tcPr>
          <w:p>
            <w:r/>
            <w:r>
              <w:rPr>
                <w:sz w:val="17"/>
              </w:rPr>
              <w:t>Gaussian Naive Bayes</w:t>
            </w:r>
          </w:p>
        </w:tc>
        <w:tc>
          <w:tcPr>
            <w:tcW w:type="dxa" w:w="1440"/>
          </w:tcPr>
          <w:p>
            <w:r/>
            <w:r>
              <w:rPr>
                <w:sz w:val="17"/>
              </w:rPr>
              <w:t>94,7</w:t>
            </w:r>
          </w:p>
        </w:tc>
        <w:tc>
          <w:tcPr>
            <w:tcW w:type="dxa" w:w="1440"/>
          </w:tcPr>
          <w:p>
            <w:r/>
            <w:r>
              <w:rPr>
                <w:sz w:val="17"/>
              </w:rPr>
              <w:t>95,3</w:t>
            </w:r>
          </w:p>
        </w:tc>
        <w:tc>
          <w:tcPr>
            <w:tcW w:type="dxa" w:w="1440"/>
          </w:tcPr>
          <w:p>
            <w:r/>
            <w:r>
              <w:rPr>
                <w:sz w:val="17"/>
              </w:rPr>
              <w:t>96,0</w:t>
            </w:r>
          </w:p>
        </w:tc>
        <w:tc>
          <w:tcPr>
            <w:tcW w:type="dxa" w:w="1440"/>
          </w:tcPr>
          <w:p>
            <w:r/>
            <w:r>
              <w:rPr>
                <w:sz w:val="17"/>
              </w:rPr>
              <w:t>95,3</w:t>
            </w:r>
          </w:p>
        </w:tc>
        <w:tc>
          <w:tcPr>
            <w:tcW w:type="dxa" w:w="1440"/>
          </w:tcPr>
          <w:p>
            <w:r/>
            <w:r>
              <w:rPr>
                <w:sz w:val="17"/>
              </w:rPr>
              <w:t>95,3</w:t>
            </w:r>
          </w:p>
        </w:tc>
      </w:tr>
      <w:tr>
        <w:tc>
          <w:tcPr>
            <w:tcW w:type="dxa" w:w="1440"/>
          </w:tcPr>
          <w:p>
            <w:r/>
            <w:r>
              <w:rPr>
                <w:sz w:val="17"/>
              </w:rPr>
              <w:t>Kernel Naive Bayes</w:t>
            </w:r>
          </w:p>
        </w:tc>
        <w:tc>
          <w:tcPr>
            <w:tcW w:type="dxa" w:w="1440"/>
          </w:tcPr>
          <w:p>
            <w:r/>
            <w:r>
              <w:rPr>
                <w:sz w:val="17"/>
              </w:rPr>
              <w:t>96,0</w:t>
            </w:r>
          </w:p>
        </w:tc>
        <w:tc>
          <w:tcPr>
            <w:tcW w:type="dxa" w:w="1440"/>
          </w:tcPr>
          <w:p>
            <w:r/>
            <w:r>
              <w:rPr>
                <w:sz w:val="17"/>
              </w:rPr>
              <w:t>96,0</w:t>
            </w:r>
          </w:p>
        </w:tc>
        <w:tc>
          <w:tcPr>
            <w:tcW w:type="dxa" w:w="1440"/>
          </w:tcPr>
          <w:p>
            <w:r/>
            <w:r>
              <w:rPr>
                <w:sz w:val="17"/>
              </w:rPr>
              <w:t>96,0</w:t>
            </w:r>
          </w:p>
        </w:tc>
        <w:tc>
          <w:tcPr>
            <w:tcW w:type="dxa" w:w="1440"/>
          </w:tcPr>
          <w:p>
            <w:r/>
            <w:r>
              <w:rPr>
                <w:sz w:val="17"/>
              </w:rPr>
              <w:t>95,3</w:t>
            </w:r>
          </w:p>
        </w:tc>
        <w:tc>
          <w:tcPr>
            <w:tcW w:type="dxa" w:w="1440"/>
          </w:tcPr>
          <w:p>
            <w:r/>
            <w:r>
              <w:rPr>
                <w:sz w:val="17"/>
              </w:rPr>
              <w:t>96,0</w:t>
            </w:r>
          </w:p>
        </w:tc>
      </w:tr>
      <w:tr>
        <w:tc>
          <w:tcPr>
            <w:tcW w:type="dxa" w:w="1440"/>
          </w:tcPr>
          <w:p>
            <w:r/>
            <w:r>
              <w:rPr>
                <w:sz w:val="17"/>
              </w:rPr>
              <w:t>Linear SVM</w:t>
            </w:r>
          </w:p>
        </w:tc>
        <w:tc>
          <w:tcPr>
            <w:tcW w:type="dxa" w:w="1440"/>
          </w:tcPr>
          <w:p>
            <w:r/>
            <w:r>
              <w:rPr>
                <w:sz w:val="17"/>
              </w:rPr>
              <w:t>95,3</w:t>
            </w:r>
          </w:p>
        </w:tc>
        <w:tc>
          <w:tcPr>
            <w:tcW w:type="dxa" w:w="1440"/>
          </w:tcPr>
          <w:p>
            <w:r/>
            <w:r>
              <w:rPr>
                <w:sz w:val="17"/>
              </w:rPr>
              <w:t>96,7</w:t>
            </w:r>
          </w:p>
        </w:tc>
        <w:tc>
          <w:tcPr>
            <w:tcW w:type="dxa" w:w="1440"/>
          </w:tcPr>
          <w:p>
            <w:r/>
            <w:r>
              <w:rPr>
                <w:sz w:val="17"/>
              </w:rPr>
              <w:t>96,7</w:t>
            </w:r>
          </w:p>
        </w:tc>
        <w:tc>
          <w:tcPr>
            <w:tcW w:type="dxa" w:w="1440"/>
          </w:tcPr>
          <w:p>
            <w:r/>
            <w:r>
              <w:rPr>
                <w:sz w:val="17"/>
              </w:rPr>
              <w:t>96,0</w:t>
            </w:r>
          </w:p>
        </w:tc>
        <w:tc>
          <w:tcPr>
            <w:tcW w:type="dxa" w:w="1440"/>
          </w:tcPr>
          <w:p>
            <w:r/>
            <w:r>
              <w:rPr>
                <w:sz w:val="17"/>
              </w:rPr>
              <w:t>95,3</w:t>
            </w:r>
          </w:p>
        </w:tc>
      </w:tr>
      <w:tr>
        <w:tc>
          <w:tcPr>
            <w:tcW w:type="dxa" w:w="1440"/>
          </w:tcPr>
          <w:p>
            <w:r/>
            <w:r>
              <w:rPr>
                <w:sz w:val="17"/>
              </w:rPr>
              <w:t>Quadratic SVM</w:t>
            </w:r>
          </w:p>
        </w:tc>
        <w:tc>
          <w:tcPr>
            <w:tcW w:type="dxa" w:w="1440"/>
          </w:tcPr>
          <w:p>
            <w:r/>
            <w:r>
              <w:rPr>
                <w:sz w:val="17"/>
              </w:rPr>
              <w:t>96,7</w:t>
            </w:r>
          </w:p>
        </w:tc>
        <w:tc>
          <w:tcPr>
            <w:tcW w:type="dxa" w:w="1440"/>
          </w:tcPr>
          <w:p>
            <w:r/>
            <w:r>
              <w:rPr>
                <w:sz w:val="17"/>
              </w:rPr>
              <w:t>94,7</w:t>
            </w:r>
          </w:p>
        </w:tc>
        <w:tc>
          <w:tcPr>
            <w:tcW w:type="dxa" w:w="1440"/>
          </w:tcPr>
          <w:p>
            <w:r/>
            <w:r>
              <w:rPr>
                <w:sz w:val="17"/>
              </w:rPr>
              <w:t>97,3</w:t>
            </w:r>
          </w:p>
        </w:tc>
        <w:tc>
          <w:tcPr>
            <w:tcW w:type="dxa" w:w="1440"/>
          </w:tcPr>
          <w:p>
            <w:r/>
            <w:r>
              <w:rPr>
                <w:sz w:val="17"/>
              </w:rPr>
              <w:t>98,0</w:t>
            </w:r>
          </w:p>
        </w:tc>
        <w:tc>
          <w:tcPr>
            <w:tcW w:type="dxa" w:w="1440"/>
          </w:tcPr>
          <w:p>
            <w:r/>
            <w:r>
              <w:rPr>
                <w:sz w:val="17"/>
              </w:rPr>
              <w:t>96,7</w:t>
            </w:r>
          </w:p>
        </w:tc>
      </w:tr>
      <w:tr>
        <w:tc>
          <w:tcPr>
            <w:tcW w:type="dxa" w:w="1440"/>
          </w:tcPr>
          <w:p>
            <w:r/>
            <w:r>
              <w:rPr>
                <w:sz w:val="17"/>
              </w:rPr>
              <w:t>Cubic SVM</w:t>
            </w:r>
          </w:p>
        </w:tc>
        <w:tc>
          <w:tcPr>
            <w:tcW w:type="dxa" w:w="1440"/>
          </w:tcPr>
          <w:p>
            <w:r/>
            <w:r>
              <w:rPr>
                <w:sz w:val="17"/>
              </w:rPr>
              <w:t>95,3</w:t>
            </w:r>
          </w:p>
        </w:tc>
        <w:tc>
          <w:tcPr>
            <w:tcW w:type="dxa" w:w="1440"/>
          </w:tcPr>
          <w:p>
            <w:r/>
            <w:r>
              <w:rPr>
                <w:sz w:val="17"/>
              </w:rPr>
              <w:t>92,7</w:t>
            </w:r>
          </w:p>
        </w:tc>
        <w:tc>
          <w:tcPr>
            <w:tcW w:type="dxa" w:w="1440"/>
          </w:tcPr>
          <w:p>
            <w:r/>
            <w:r>
              <w:rPr>
                <w:sz w:val="17"/>
              </w:rPr>
              <w:t>96,0</w:t>
            </w:r>
          </w:p>
        </w:tc>
        <w:tc>
          <w:tcPr>
            <w:tcW w:type="dxa" w:w="1440"/>
          </w:tcPr>
          <w:p>
            <w:r/>
            <w:r>
              <w:rPr>
                <w:sz w:val="17"/>
              </w:rPr>
              <w:t>96,7</w:t>
            </w:r>
          </w:p>
        </w:tc>
        <w:tc>
          <w:tcPr>
            <w:tcW w:type="dxa" w:w="1440"/>
          </w:tcPr>
          <w:p>
            <w:r/>
            <w:r>
              <w:rPr>
                <w:sz w:val="17"/>
              </w:rPr>
              <w:t>94,7</w:t>
            </w:r>
          </w:p>
        </w:tc>
      </w:tr>
    </w:tbl>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
              <w:rPr>
                <w:b/>
                <w:sz w:val="17"/>
              </w:rPr>
              <w:t>Paso</w:t>
            </w:r>
          </w:p>
        </w:tc>
        <w:tc>
          <w:tcPr>
            <w:tcW w:type="dxa" w:w="2160"/>
          </w:tcPr>
          <w:p>
            <w:r/>
            <w:r>
              <w:rPr>
                <w:b/>
                <w:sz w:val="17"/>
              </w:rPr>
              <w:t>Filas</w:t>
            </w:r>
          </w:p>
        </w:tc>
        <w:tc>
          <w:tcPr>
            <w:tcW w:type="dxa" w:w="2160"/>
          </w:tcPr>
          <w:p>
            <w:r/>
            <w:r>
              <w:rPr>
                <w:b/>
                <w:sz w:val="17"/>
              </w:rPr>
              <w:t>Mejor modelo</w:t>
            </w:r>
          </w:p>
        </w:tc>
        <w:tc>
          <w:tcPr>
            <w:tcW w:type="dxa" w:w="2160"/>
          </w:tcPr>
          <w:p>
            <w:r/>
            <w:r>
              <w:rPr>
                <w:b/>
                <w:sz w:val="17"/>
              </w:rPr>
              <w:t>Exactitud</w:t>
            </w:r>
          </w:p>
        </w:tc>
      </w:tr>
      <w:tr>
        <w:tc>
          <w:tcPr>
            <w:tcW w:type="dxa" w:w="2160"/>
          </w:tcPr>
          <w:p>
            <w:r/>
            <w:r>
              <w:rPr>
                <w:sz w:val="17"/>
              </w:rPr>
              <w:t>Crudo</w:t>
            </w:r>
          </w:p>
        </w:tc>
        <w:tc>
          <w:tcPr>
            <w:tcW w:type="dxa" w:w="2160"/>
          </w:tcPr>
          <w:p>
            <w:r/>
            <w:r>
              <w:rPr>
                <w:sz w:val="17"/>
              </w:rPr>
              <w:t>150</w:t>
            </w:r>
          </w:p>
        </w:tc>
        <w:tc>
          <w:tcPr>
            <w:tcW w:type="dxa" w:w="2160"/>
          </w:tcPr>
          <w:p>
            <w:r/>
            <w:r>
              <w:rPr>
                <w:sz w:val="17"/>
              </w:rPr>
              <w:t>Linear y Quadratic Discriminant</w:t>
            </w:r>
          </w:p>
        </w:tc>
        <w:tc>
          <w:tcPr>
            <w:tcW w:type="dxa" w:w="2160"/>
          </w:tcPr>
          <w:p>
            <w:r/>
            <w:r>
              <w:rPr>
                <w:sz w:val="17"/>
              </w:rPr>
              <w:t>98,0 %</w:t>
            </w:r>
          </w:p>
        </w:tc>
      </w:tr>
      <w:tr>
        <w:tc>
          <w:tcPr>
            <w:tcW w:type="dxa" w:w="2160"/>
          </w:tcPr>
          <w:p>
            <w:r/>
            <w:r>
              <w:rPr>
                <w:sz w:val="17"/>
              </w:rPr>
              <w:t>Sin outliers</w:t>
            </w:r>
          </w:p>
        </w:tc>
        <w:tc>
          <w:tcPr>
            <w:tcW w:type="dxa" w:w="2160"/>
          </w:tcPr>
          <w:p>
            <w:r/>
            <w:r>
              <w:rPr>
                <w:sz w:val="17"/>
              </w:rPr>
              <w:t>150</w:t>
            </w:r>
          </w:p>
        </w:tc>
        <w:tc>
          <w:tcPr>
            <w:tcW w:type="dxa" w:w="2160"/>
          </w:tcPr>
          <w:p>
            <w:r/>
            <w:r>
              <w:rPr>
                <w:sz w:val="17"/>
              </w:rPr>
              <w:t>Linear Discriminant</w:t>
            </w:r>
          </w:p>
        </w:tc>
        <w:tc>
          <w:tcPr>
            <w:tcW w:type="dxa" w:w="2160"/>
          </w:tcPr>
          <w:p>
            <w:r/>
            <w:r>
              <w:rPr>
                <w:sz w:val="17"/>
              </w:rPr>
              <w:t>98,0 %</w:t>
            </w:r>
          </w:p>
        </w:tc>
      </w:tr>
      <w:tr>
        <w:tc>
          <w:tcPr>
            <w:tcW w:type="dxa" w:w="2160"/>
          </w:tcPr>
          <w:p>
            <w:r/>
            <w:r>
              <w:rPr>
                <w:sz w:val="17"/>
              </w:rPr>
              <w:t>Balanceado</w:t>
            </w:r>
          </w:p>
        </w:tc>
        <w:tc>
          <w:tcPr>
            <w:tcW w:type="dxa" w:w="2160"/>
          </w:tcPr>
          <w:p>
            <w:r/>
            <w:r>
              <w:rPr>
                <w:sz w:val="17"/>
              </w:rPr>
              <w:t>150</w:t>
            </w:r>
          </w:p>
        </w:tc>
        <w:tc>
          <w:tcPr>
            <w:tcW w:type="dxa" w:w="2160"/>
          </w:tcPr>
          <w:p>
            <w:r/>
            <w:r>
              <w:rPr>
                <w:sz w:val="17"/>
              </w:rPr>
              <w:t>Efficient Linear SVM</w:t>
            </w:r>
          </w:p>
        </w:tc>
        <w:tc>
          <w:tcPr>
            <w:tcW w:type="dxa" w:w="2160"/>
          </w:tcPr>
          <w:p>
            <w:r/>
            <w:r>
              <w:rPr>
                <w:sz w:val="17"/>
              </w:rPr>
              <w:t>98,7 %</w:t>
            </w:r>
          </w:p>
        </w:tc>
      </w:tr>
      <w:tr>
        <w:tc>
          <w:tcPr>
            <w:tcW w:type="dxa" w:w="2160"/>
          </w:tcPr>
          <w:p>
            <w:r/>
            <w:r>
              <w:rPr>
                <w:sz w:val="17"/>
              </w:rPr>
              <w:t>Estandarizado</w:t>
            </w:r>
          </w:p>
        </w:tc>
        <w:tc>
          <w:tcPr>
            <w:tcW w:type="dxa" w:w="2160"/>
          </w:tcPr>
          <w:p>
            <w:r/>
            <w:r>
              <w:rPr>
                <w:sz w:val="17"/>
              </w:rPr>
              <w:t>150</w:t>
            </w:r>
          </w:p>
        </w:tc>
        <w:tc>
          <w:tcPr>
            <w:tcW w:type="dxa" w:w="2160"/>
          </w:tcPr>
          <w:p>
            <w:r/>
            <w:r>
              <w:rPr>
                <w:sz w:val="17"/>
              </w:rPr>
              <w:t>Linear Discriminant, Quadratic Discriminant, Quadratic SVM</w:t>
            </w:r>
          </w:p>
        </w:tc>
        <w:tc>
          <w:tcPr>
            <w:tcW w:type="dxa" w:w="2160"/>
          </w:tcPr>
          <w:p>
            <w:r/>
            <w:r>
              <w:rPr>
                <w:sz w:val="17"/>
              </w:rPr>
              <w:t>98,0 %</w:t>
            </w:r>
          </w:p>
        </w:tc>
      </w:tr>
      <w:tr>
        <w:tc>
          <w:tcPr>
            <w:tcW w:type="dxa" w:w="2160"/>
          </w:tcPr>
          <w:p>
            <w:r/>
            <w:r>
              <w:rPr>
                <w:sz w:val="17"/>
              </w:rPr>
              <w:t>Normalizado</w:t>
            </w:r>
          </w:p>
        </w:tc>
        <w:tc>
          <w:tcPr>
            <w:tcW w:type="dxa" w:w="2160"/>
          </w:tcPr>
          <w:p>
            <w:r/>
            <w:r>
              <w:rPr>
                <w:sz w:val="17"/>
              </w:rPr>
              <w:t>150</w:t>
            </w:r>
          </w:p>
        </w:tc>
        <w:tc>
          <w:tcPr>
            <w:tcW w:type="dxa" w:w="2160"/>
          </w:tcPr>
          <w:p>
            <w:r/>
            <w:r>
              <w:rPr>
                <w:sz w:val="17"/>
              </w:rPr>
              <w:t>Linear Discriminant</w:t>
            </w:r>
          </w:p>
        </w:tc>
        <w:tc>
          <w:tcPr>
            <w:tcW w:type="dxa" w:w="2160"/>
          </w:tcPr>
          <w:p>
            <w:r/>
            <w:r>
              <w:rPr>
                <w:sz w:val="17"/>
              </w:rPr>
              <w:t>98,0 %</w:t>
            </w:r>
          </w:p>
        </w:tc>
      </w:tr>
    </w:tbl>
    <w:p/>
    <w:p>
      <w:r>
        <w:t>En Iris ningún paso ayudó de verdad, y eso es lo que había que ver. El dataset viene limpio, balanceado y con las cuatro medidas en la misma escala, así que corregir outliers, balancear y escalar no tenían nada que corregir. El discriminante lineal da 98 % en las cinco versiones. Las subidas y bajadas de las otras filas son de una o dos flores y cambian con solo volver a repartir los pliegues. El único modelo al que sí le importa el escalado es el SVM, que con datos estandarizados sube al 98 %.</w:t>
      </w:r>
    </w:p>
    <w:p>
      <w:pPr>
        <w:pStyle w:val="Heading2"/>
      </w:pPr>
      <w:r>
        <w:t>2. Banknote</w:t>
      </w:r>
    </w:p>
    <w:p>
      <w:r>
        <w:t>1372 billetes. A cada uno le tomaron una foto, le aplicaron una transformada wavelet y de ahí sacaron cuatro números que describen la textura: varianza, asimetría, curtosis y entropía. La clase es si el billete es auténtico o falso.</w:t>
      </w:r>
    </w:p>
    <w:p>
      <w:pPr>
        <w:pStyle w:val="Heading3"/>
      </w:pPr>
      <w:r>
        <w:t>2.1 Dato crudo</w:t>
      </w:r>
    </w:p>
    <w:p>
      <w:pPr>
        <w:jc w:val="center"/>
      </w:pPr>
      <w:r>
        <w:drawing>
          <wp:inline xmlns:a="http://schemas.openxmlformats.org/drawingml/2006/main" xmlns:pic="http://schemas.openxmlformats.org/drawingml/2006/picture">
            <wp:extent cx="5760720" cy="4244474"/>
            <wp:docPr id="8" name="Picture 8"/>
            <wp:cNvGraphicFramePr>
              <a:graphicFrameLocks noChangeAspect="1"/>
            </wp:cNvGraphicFramePr>
            <a:graphic>
              <a:graphicData uri="http://schemas.openxmlformats.org/drawingml/2006/picture">
                <pic:pic>
                  <pic:nvPicPr>
                    <pic:cNvPr id="0" name="rev_banknote_histogramas.png"/>
                    <pic:cNvPicPr/>
                  </pic:nvPicPr>
                  <pic:blipFill>
                    <a:blip r:embed="rId16"/>
                    <a:stretch>
                      <a:fillRect/>
                    </a:stretch>
                  </pic:blipFill>
                  <pic:spPr>
                    <a:xfrm>
                      <a:off x="0" y="0"/>
                      <a:ext cx="5760720" cy="4244474"/>
                    </a:xfrm>
                    <a:prstGeom prst="rect"/>
                  </pic:spPr>
                </pic:pic>
              </a:graphicData>
            </a:graphic>
          </wp:inline>
        </w:drawing>
      </w:r>
    </w:p>
    <w:p>
      <w:pPr>
        <w:jc w:val="center"/>
      </w:pPr>
      <w:r>
        <w:rPr>
          <w:i/>
          <w:sz w:val="18"/>
        </w:rPr>
        <w:t>La varianza separa bastante: los falsos se concentran en valores negativos. La entropía casi no distingue.</w:t>
      </w:r>
    </w:p>
    <w:p>
      <w:pPr>
        <w:jc w:val="center"/>
      </w:pPr>
      <w:r>
        <w:drawing>
          <wp:inline xmlns:a="http://schemas.openxmlformats.org/drawingml/2006/main" xmlns:pic="http://schemas.openxmlformats.org/drawingml/2006/picture">
            <wp:extent cx="5760720" cy="3672378"/>
            <wp:docPr id="9" name="Picture 9"/>
            <wp:cNvGraphicFramePr>
              <a:graphicFrameLocks noChangeAspect="1"/>
            </wp:cNvGraphicFramePr>
            <a:graphic>
              <a:graphicData uri="http://schemas.openxmlformats.org/drawingml/2006/picture">
                <pic:pic>
                  <pic:nvPicPr>
                    <pic:cNvPr id="0" name="rev_banknote_boxplot_crudo.png"/>
                    <pic:cNvPicPr/>
                  </pic:nvPicPr>
                  <pic:blipFill>
                    <a:blip r:embed="rId17"/>
                    <a:stretch>
                      <a:fillRect/>
                    </a:stretch>
                  </pic:blipFill>
                  <pic:spPr>
                    <a:xfrm>
                      <a:off x="0" y="0"/>
                      <a:ext cx="5760720" cy="3672378"/>
                    </a:xfrm>
                    <a:prstGeom prst="rect"/>
                  </pic:spPr>
                </pic:pic>
              </a:graphicData>
            </a:graphic>
          </wp:inline>
        </w:drawing>
      </w:r>
    </w:p>
    <w:p>
      <w:pPr>
        <w:jc w:val="center"/>
      </w:pPr>
      <w:r>
        <w:rPr>
          <w:i/>
          <w:sz w:val="18"/>
        </w:rPr>
        <w:t>Cuatro escalas distintas. La curtosis llega a 18 y la entropía no pasa de 2,5. Aquí sí va a importar escalar.</w:t>
      </w:r>
    </w:p>
    <w:p>
      <w:pPr>
        <w:jc w:val="center"/>
      </w:pPr>
      <w:r>
        <w:drawing>
          <wp:inline xmlns:a="http://schemas.openxmlformats.org/drawingml/2006/main" xmlns:pic="http://schemas.openxmlformats.org/drawingml/2006/picture">
            <wp:extent cx="5760720" cy="4244295"/>
            <wp:docPr id="10" name="Picture 10"/>
            <wp:cNvGraphicFramePr>
              <a:graphicFrameLocks noChangeAspect="1"/>
            </wp:cNvGraphicFramePr>
            <a:graphic>
              <a:graphicData uri="http://schemas.openxmlformats.org/drawingml/2006/picture">
                <pic:pic>
                  <pic:nvPicPr>
                    <pic:cNvPr id="0" name="rev_banknote_balance.png"/>
                    <pic:cNvPicPr/>
                  </pic:nvPicPr>
                  <pic:blipFill>
                    <a:blip r:embed="rId18"/>
                    <a:stretch>
                      <a:fillRect/>
                    </a:stretch>
                  </pic:blipFill>
                  <pic:spPr>
                    <a:xfrm>
                      <a:off x="0" y="0"/>
                      <a:ext cx="5760720" cy="4244295"/>
                    </a:xfrm>
                    <a:prstGeom prst="rect"/>
                  </pic:spPr>
                </pic:pic>
              </a:graphicData>
            </a:graphic>
          </wp:inline>
        </w:drawing>
      </w:r>
    </w:p>
    <w:p>
      <w:pPr>
        <w:jc w:val="center"/>
      </w:pPr>
      <w:r>
        <w:rPr>
          <w:i/>
          <w:sz w:val="18"/>
        </w:rPr>
        <w:t>762 auténticos y 610 falsos. Desbalance suave.</w:t>
      </w:r>
    </w:p>
    <w:p>
      <w:pPr>
        <w:jc w:val="center"/>
      </w:pPr>
      <w:r>
        <w:drawing>
          <wp:inline xmlns:a="http://schemas.openxmlformats.org/drawingml/2006/main" xmlns:pic="http://schemas.openxmlformats.org/drawingml/2006/picture">
            <wp:extent cx="5760720" cy="4695773"/>
            <wp:docPr id="11" name="Picture 11"/>
            <wp:cNvGraphicFramePr>
              <a:graphicFrameLocks noChangeAspect="1"/>
            </wp:cNvGraphicFramePr>
            <a:graphic>
              <a:graphicData uri="http://schemas.openxmlformats.org/drawingml/2006/picture">
                <pic:pic>
                  <pic:nvPicPr>
                    <pic:cNvPr id="0" name="rev_banknote_dispersion.png"/>
                    <pic:cNvPicPr/>
                  </pic:nvPicPr>
                  <pic:blipFill>
                    <a:blip r:embed="rId19"/>
                    <a:stretch>
                      <a:fillRect/>
                    </a:stretch>
                  </pic:blipFill>
                  <pic:spPr>
                    <a:xfrm>
                      <a:off x="0" y="0"/>
                      <a:ext cx="5760720" cy="4695773"/>
                    </a:xfrm>
                    <a:prstGeom prst="rect"/>
                  </pic:spPr>
                </pic:pic>
              </a:graphicData>
            </a:graphic>
          </wp:inline>
        </w:drawing>
      </w:r>
    </w:p>
    <w:p>
      <w:pPr>
        <w:jc w:val="center"/>
      </w:pPr>
      <w:r>
        <w:rPr>
          <w:i/>
          <w:sz w:val="18"/>
        </w:rPr>
        <w:t>Varianza contra asimetría. Con solo esas dos ya casi se separan.</w:t>
      </w:r>
    </w:p>
    <w:p>
      <w:pPr>
        <w:jc w:val="center"/>
      </w:pPr>
      <w:r>
        <w:rPr>
          <w:i/>
          <w:sz w:val="18"/>
        </w:rPr>
        <w:t>Classification Learner con T0_crudo, validación cruzada de 5 pliegues.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
              <w:rPr>
                <w:b/>
                <w:sz w:val="17"/>
              </w:rPr>
              <w:t>Mejor modelo</w:t>
            </w:r>
          </w:p>
        </w:tc>
        <w:tc>
          <w:tcPr>
            <w:tcW w:type="dxa" w:w="4320"/>
          </w:tcPr>
          <w:p>
            <w:r/>
            <w:r>
              <w:rPr>
                <w:b/>
                <w:sz w:val="17"/>
              </w:rPr>
              <w:t>Exactitud</w:t>
            </w:r>
          </w:p>
        </w:tc>
      </w:tr>
      <w:tr>
        <w:tc>
          <w:tcPr>
            <w:tcW w:type="dxa" w:w="4320"/>
          </w:tcPr>
          <w:p>
            <w:r/>
            <w:r>
              <w:rPr>
                <w:sz w:val="17"/>
              </w:rPr>
              <w:t>Quadratic SVM, Fine Gaussian SVM y Medium Gaussian SVM</w:t>
            </w:r>
          </w:p>
        </w:tc>
        <w:tc>
          <w:tcPr>
            <w:tcW w:type="dxa" w:w="4320"/>
          </w:tcPr>
          <w:p>
            <w:r/>
            <w:r>
              <w:rPr>
                <w:sz w:val="17"/>
              </w:rPr>
              <w:t>100 %</w:t>
            </w:r>
          </w:p>
        </w:tc>
      </w:tr>
    </w:tbl>
    <w:p/>
    <w:p>
      <w:r>
        <w:t>Con el dato crudo, sin tocar nada, tres SVM clasifican los 1372 billetes sin un solo error, y los KNN quedan en 99,9 %. El SVM lineal se queda en 98,8 % y el Naive Bayes gaussiano en 84,2 %.</w:t>
      </w:r>
    </w:p>
    <w:p>
      <w:pPr>
        <w:pStyle w:val="Heading3"/>
      </w:pPr>
      <w:r>
        <w:t>2.2 Corrigiendo outliers</w:t>
      </w:r>
    </w:p>
    <w:p>
      <w:r>
        <w:t>Regla del 1,5 por rango intercuartil, recortando al borde. Se recortan 57 valores de curtosis y 33 de entropía.</w:t>
      </w:r>
    </w:p>
    <w:p>
      <w:pPr>
        <w:jc w:val="center"/>
      </w:pPr>
      <w:r>
        <w:drawing>
          <wp:inline xmlns:a="http://schemas.openxmlformats.org/drawingml/2006/main" xmlns:pic="http://schemas.openxmlformats.org/drawingml/2006/picture">
            <wp:extent cx="5760720" cy="3672378"/>
            <wp:docPr id="12" name="Picture 12"/>
            <wp:cNvGraphicFramePr>
              <a:graphicFrameLocks noChangeAspect="1"/>
            </wp:cNvGraphicFramePr>
            <a:graphic>
              <a:graphicData uri="http://schemas.openxmlformats.org/drawingml/2006/picture">
                <pic:pic>
                  <pic:nvPicPr>
                    <pic:cNvPr id="0" name="rev_banknote_boxplot_outliers.png"/>
                    <pic:cNvPicPr/>
                  </pic:nvPicPr>
                  <pic:blipFill>
                    <a:blip r:embed="rId20"/>
                    <a:stretch>
                      <a:fillRect/>
                    </a:stretch>
                  </pic:blipFill>
                  <pic:spPr>
                    <a:xfrm>
                      <a:off x="0" y="0"/>
                      <a:ext cx="5760720" cy="3672378"/>
                    </a:xfrm>
                    <a:prstGeom prst="rect"/>
                  </pic:spPr>
                </pic:pic>
              </a:graphicData>
            </a:graphic>
          </wp:inline>
        </w:drawing>
      </w:r>
    </w:p>
    <w:p>
      <w:pPr>
        <w:jc w:val="center"/>
      </w:pPr>
      <w:r>
        <w:rPr>
          <w:i/>
          <w:sz w:val="18"/>
        </w:rPr>
        <w:t>Se recortan las colas de la curtosis y la entropía.</w:t>
      </w:r>
    </w:p>
    <w:p>
      <w:r>
        <w:t>No se corrió en la app. Como el crudo ya daba 100 %, se saltó directo a la última versión del dato para ver si el procesamiento completo cambiaba algo.</w:t>
      </w:r>
    </w:p>
    <w:p>
      <w:pPr>
        <w:pStyle w:val="Heading3"/>
      </w:pPr>
      <w:r>
        <w:t>2.3 Balanceando las clases</w:t>
      </w:r>
    </w:p>
    <w:p>
      <w:r>
        <w:t>Se toman 610 auténticos al azar para igualar a los 610 falsos. Quedan 1220 filas.</w:t>
      </w:r>
    </w:p>
    <w:p>
      <w:pPr>
        <w:jc w:val="center"/>
      </w:pPr>
      <w:r>
        <w:drawing>
          <wp:inline xmlns:a="http://schemas.openxmlformats.org/drawingml/2006/main" xmlns:pic="http://schemas.openxmlformats.org/drawingml/2006/picture">
            <wp:extent cx="5760720" cy="4244295"/>
            <wp:docPr id="13" name="Picture 13"/>
            <wp:cNvGraphicFramePr>
              <a:graphicFrameLocks noChangeAspect="1"/>
            </wp:cNvGraphicFramePr>
            <a:graphic>
              <a:graphicData uri="http://schemas.openxmlformats.org/drawingml/2006/picture">
                <pic:pic>
                  <pic:nvPicPr>
                    <pic:cNvPr id="0" name="rev_banknote_balance_despues.png"/>
                    <pic:cNvPicPr/>
                  </pic:nvPicPr>
                  <pic:blipFill>
                    <a:blip r:embed="rId21"/>
                    <a:stretch>
                      <a:fillRect/>
                    </a:stretch>
                  </pic:blipFill>
                  <pic:spPr>
                    <a:xfrm>
                      <a:off x="0" y="0"/>
                      <a:ext cx="5760720" cy="4244295"/>
                    </a:xfrm>
                    <a:prstGeom prst="rect"/>
                  </pic:spPr>
                </pic:pic>
              </a:graphicData>
            </a:graphic>
          </wp:inline>
        </w:drawing>
      </w:r>
    </w:p>
    <w:p>
      <w:pPr>
        <w:jc w:val="center"/>
      </w:pPr>
      <w:r>
        <w:rPr>
          <w:i/>
          <w:sz w:val="18"/>
        </w:rPr>
        <w:t>610 y 610.</w:t>
      </w:r>
    </w:p>
    <w:p>
      <w:r>
        <w:t>No se corrió en la app por la misma razón.</w:t>
      </w:r>
    </w:p>
    <w:p>
      <w:pPr>
        <w:pStyle w:val="Heading3"/>
      </w:pPr>
      <w:r>
        <w:t>2.4 Estandarizando</w:t>
      </w:r>
    </w:p>
    <w:p>
      <w:pPr>
        <w:jc w:val="center"/>
      </w:pPr>
      <w:r>
        <w:drawing>
          <wp:inline xmlns:a="http://schemas.openxmlformats.org/drawingml/2006/main" xmlns:pic="http://schemas.openxmlformats.org/drawingml/2006/picture">
            <wp:extent cx="5760720" cy="3647814"/>
            <wp:docPr id="14" name="Picture 14"/>
            <wp:cNvGraphicFramePr>
              <a:graphicFrameLocks noChangeAspect="1"/>
            </wp:cNvGraphicFramePr>
            <a:graphic>
              <a:graphicData uri="http://schemas.openxmlformats.org/drawingml/2006/picture">
                <pic:pic>
                  <pic:nvPicPr>
                    <pic:cNvPr id="0" name="rev_banknote_boxplot_estandarizado.png"/>
                    <pic:cNvPicPr/>
                  </pic:nvPicPr>
                  <pic:blipFill>
                    <a:blip r:embed="rId22"/>
                    <a:stretch>
                      <a:fillRect/>
                    </a:stretch>
                  </pic:blipFill>
                  <pic:spPr>
                    <a:xfrm>
                      <a:off x="0" y="0"/>
                      <a:ext cx="5760720" cy="3647814"/>
                    </a:xfrm>
                    <a:prstGeom prst="rect"/>
                  </pic:spPr>
                </pic:pic>
              </a:graphicData>
            </a:graphic>
          </wp:inline>
        </w:drawing>
      </w:r>
    </w:p>
    <w:p>
      <w:pPr>
        <w:jc w:val="center"/>
      </w:pPr>
      <w:r>
        <w:rPr>
          <w:i/>
          <w:sz w:val="18"/>
        </w:rPr>
        <w:t>Ahora las cuatro se comparan.</w:t>
      </w:r>
    </w:p>
    <w:p>
      <w:r>
        <w:t>No se corrió en la app.</w:t>
      </w:r>
    </w:p>
    <w:p>
      <w:pPr>
        <w:pStyle w:val="Heading3"/>
      </w:pPr>
      <w:r>
        <w:t>2.5 Normalizando</w:t>
      </w:r>
    </w:p>
    <w:p>
      <w:r>
        <w:t>Es el dato con todo el procesamiento encima: sin outliers, balanceado y entre 0 y 1.</w:t>
      </w:r>
    </w:p>
    <w:p>
      <w:pPr>
        <w:jc w:val="center"/>
      </w:pPr>
      <w:r>
        <w:drawing>
          <wp:inline xmlns:a="http://schemas.openxmlformats.org/drawingml/2006/main" xmlns:pic="http://schemas.openxmlformats.org/drawingml/2006/picture">
            <wp:extent cx="5760720" cy="3676504"/>
            <wp:docPr id="15" name="Picture 15"/>
            <wp:cNvGraphicFramePr>
              <a:graphicFrameLocks noChangeAspect="1"/>
            </wp:cNvGraphicFramePr>
            <a:graphic>
              <a:graphicData uri="http://schemas.openxmlformats.org/drawingml/2006/picture">
                <pic:pic>
                  <pic:nvPicPr>
                    <pic:cNvPr id="0" name="rev_banknote_boxplot_normalizado.png"/>
                    <pic:cNvPicPr/>
                  </pic:nvPicPr>
                  <pic:blipFill>
                    <a:blip r:embed="rId23"/>
                    <a:stretch>
                      <a:fillRect/>
                    </a:stretch>
                  </pic:blipFill>
                  <pic:spPr>
                    <a:xfrm>
                      <a:off x="0" y="0"/>
                      <a:ext cx="5760720" cy="3676504"/>
                    </a:xfrm>
                    <a:prstGeom prst="rect"/>
                  </pic:spPr>
                </pic:pic>
              </a:graphicData>
            </a:graphic>
          </wp:inline>
        </w:drawing>
      </w:r>
    </w:p>
    <w:p>
      <w:pPr>
        <w:jc w:val="center"/>
      </w:pPr>
      <w:r>
        <w:rPr>
          <w:i/>
          <w:sz w:val="18"/>
        </w:rPr>
        <w:t>Todo entre 0 y 1.</w:t>
      </w:r>
    </w:p>
    <w:p>
      <w:pPr>
        <w:jc w:val="center"/>
      </w:pPr>
      <w:r>
        <w:rPr>
          <w:i/>
          <w:sz w:val="18"/>
        </w:rPr>
        <w:t>Classification Learner con T4_normalizado, 1220 billetes.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
              <w:rPr>
                <w:b/>
                <w:sz w:val="17"/>
              </w:rPr>
              <w:t>Mejor modelo</w:t>
            </w:r>
          </w:p>
        </w:tc>
        <w:tc>
          <w:tcPr>
            <w:tcW w:type="dxa" w:w="2880"/>
          </w:tcPr>
          <w:p>
            <w:r/>
            <w:r>
              <w:rPr>
                <w:b/>
                <w:sz w:val="17"/>
              </w:rPr>
              <w:t>Exactitud</w:t>
            </w:r>
          </w:p>
        </w:tc>
        <w:tc>
          <w:tcPr>
            <w:tcW w:type="dxa" w:w="2880"/>
          </w:tcPr>
          <w:p>
            <w:r/>
            <w:r>
              <w:rPr>
                <w:b/>
                <w:sz w:val="17"/>
              </w:rPr>
              <w:t>Cambió</w:t>
            </w:r>
          </w:p>
        </w:tc>
      </w:tr>
      <w:tr>
        <w:tc>
          <w:tcPr>
            <w:tcW w:type="dxa" w:w="2880"/>
          </w:tcPr>
          <w:p>
            <w:r/>
            <w:r>
              <w:rPr>
                <w:sz w:val="17"/>
              </w:rPr>
              <w:t>Cubic SVM y Fine Gaussian SVM</w:t>
            </w:r>
          </w:p>
        </w:tc>
        <w:tc>
          <w:tcPr>
            <w:tcW w:type="dxa" w:w="2880"/>
          </w:tcPr>
          <w:p>
            <w:r/>
            <w:r>
              <w:rPr>
                <w:sz w:val="17"/>
              </w:rPr>
              <w:t>100 %</w:t>
            </w:r>
          </w:p>
        </w:tc>
        <w:tc>
          <w:tcPr>
            <w:tcW w:type="dxa" w:w="2880"/>
          </w:tcPr>
          <w:p>
            <w:r/>
            <w:r>
              <w:rPr>
                <w:sz w:val="17"/>
              </w:rPr>
              <w:t>no</w:t>
            </w:r>
          </w:p>
        </w:tc>
      </w:tr>
    </w:tbl>
    <w:p/>
    <w:p>
      <w:r>
        <w:t>Lo mismo que con el crudo. Cambia cuál SVM llega al 100 % y cuál se queda en 99,9 %, pero eso es un billete de 1220.</w:t>
      </w:r>
    </w:p>
    <w:p>
      <w:pPr>
        <w:pStyle w:val="Heading3"/>
      </w:pPr>
      <w:r>
        <w:t>2.6 Qué pasó en banknote</w:t>
      </w:r>
    </w:p>
    <w:p>
      <w:r>
        <w:t>Los modelos de la app en los dos pasos que se corrieron, exactitud de validación en %:</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
              <w:rPr>
                <w:b/>
                <w:sz w:val="17"/>
              </w:rPr>
              <w:t>Modelo</w:t>
            </w:r>
          </w:p>
        </w:tc>
        <w:tc>
          <w:tcPr>
            <w:tcW w:type="dxa" w:w="2880"/>
          </w:tcPr>
          <w:p>
            <w:r/>
            <w:r>
              <w:rPr>
                <w:b/>
                <w:sz w:val="17"/>
              </w:rPr>
              <w:t>T0 crudo (1372)</w:t>
            </w:r>
          </w:p>
        </w:tc>
        <w:tc>
          <w:tcPr>
            <w:tcW w:type="dxa" w:w="2880"/>
          </w:tcPr>
          <w:p>
            <w:r/>
            <w:r>
              <w:rPr>
                <w:b/>
                <w:sz w:val="17"/>
              </w:rPr>
              <w:t>T4 procesado (1220)</w:t>
            </w:r>
          </w:p>
        </w:tc>
      </w:tr>
      <w:tr>
        <w:tc>
          <w:tcPr>
            <w:tcW w:type="dxa" w:w="2880"/>
          </w:tcPr>
          <w:p>
            <w:r/>
            <w:r>
              <w:rPr>
                <w:sz w:val="17"/>
              </w:rPr>
              <w:t>Gaussian Naive Bayes</w:t>
            </w:r>
          </w:p>
        </w:tc>
        <w:tc>
          <w:tcPr>
            <w:tcW w:type="dxa" w:w="2880"/>
          </w:tcPr>
          <w:p>
            <w:r/>
            <w:r>
              <w:rPr>
                <w:sz w:val="17"/>
              </w:rPr>
              <w:t>84,2</w:t>
            </w:r>
          </w:p>
        </w:tc>
        <w:tc>
          <w:tcPr>
            <w:tcW w:type="dxa" w:w="2880"/>
          </w:tcPr>
          <w:p>
            <w:r/>
            <w:r>
              <w:rPr>
                <w:sz w:val="17"/>
              </w:rPr>
              <w:t>84,8</w:t>
            </w:r>
          </w:p>
        </w:tc>
      </w:tr>
      <w:tr>
        <w:tc>
          <w:tcPr>
            <w:tcW w:type="dxa" w:w="2880"/>
          </w:tcPr>
          <w:p>
            <w:r/>
            <w:r>
              <w:rPr>
                <w:sz w:val="17"/>
              </w:rPr>
              <w:t>Kernel Naive Bayes</w:t>
            </w:r>
          </w:p>
        </w:tc>
        <w:tc>
          <w:tcPr>
            <w:tcW w:type="dxa" w:w="2880"/>
          </w:tcPr>
          <w:p>
            <w:r/>
            <w:r>
              <w:rPr>
                <w:sz w:val="17"/>
              </w:rPr>
              <w:t>91,6</w:t>
            </w:r>
          </w:p>
        </w:tc>
        <w:tc>
          <w:tcPr>
            <w:tcW w:type="dxa" w:w="2880"/>
          </w:tcPr>
          <w:p>
            <w:r/>
            <w:r>
              <w:rPr>
                <w:sz w:val="17"/>
              </w:rPr>
              <w:t>92,4</w:t>
            </w:r>
          </w:p>
        </w:tc>
      </w:tr>
      <w:tr>
        <w:tc>
          <w:tcPr>
            <w:tcW w:type="dxa" w:w="2880"/>
          </w:tcPr>
          <w:p>
            <w:r/>
            <w:r>
              <w:rPr>
                <w:sz w:val="17"/>
              </w:rPr>
              <w:t>Linear SVM</w:t>
            </w:r>
          </w:p>
        </w:tc>
        <w:tc>
          <w:tcPr>
            <w:tcW w:type="dxa" w:w="2880"/>
          </w:tcPr>
          <w:p>
            <w:r/>
            <w:r>
              <w:rPr>
                <w:sz w:val="17"/>
              </w:rPr>
              <w:t>98,8</w:t>
            </w:r>
          </w:p>
        </w:tc>
        <w:tc>
          <w:tcPr>
            <w:tcW w:type="dxa" w:w="2880"/>
          </w:tcPr>
          <w:p>
            <w:r/>
            <w:r>
              <w:rPr>
                <w:sz w:val="17"/>
              </w:rPr>
              <w:t>98,8</w:t>
            </w:r>
          </w:p>
        </w:tc>
      </w:tr>
      <w:tr>
        <w:tc>
          <w:tcPr>
            <w:tcW w:type="dxa" w:w="2880"/>
          </w:tcPr>
          <w:p>
            <w:r/>
            <w:r>
              <w:rPr>
                <w:sz w:val="17"/>
              </w:rPr>
              <w:t>Quadratic SVM</w:t>
            </w:r>
          </w:p>
        </w:tc>
        <w:tc>
          <w:tcPr>
            <w:tcW w:type="dxa" w:w="2880"/>
          </w:tcPr>
          <w:p>
            <w:r/>
            <w:r>
              <w:rPr>
                <w:sz w:val="17"/>
              </w:rPr>
              <w:t>100</w:t>
            </w:r>
          </w:p>
        </w:tc>
        <w:tc>
          <w:tcPr>
            <w:tcW w:type="dxa" w:w="2880"/>
          </w:tcPr>
          <w:p>
            <w:r/>
            <w:r>
              <w:rPr>
                <w:sz w:val="17"/>
              </w:rPr>
              <w:t>99,9</w:t>
            </w:r>
          </w:p>
        </w:tc>
      </w:tr>
      <w:tr>
        <w:tc>
          <w:tcPr>
            <w:tcW w:type="dxa" w:w="2880"/>
          </w:tcPr>
          <w:p>
            <w:r/>
            <w:r>
              <w:rPr>
                <w:sz w:val="17"/>
              </w:rPr>
              <w:t>Cubic SVM</w:t>
            </w:r>
          </w:p>
        </w:tc>
        <w:tc>
          <w:tcPr>
            <w:tcW w:type="dxa" w:w="2880"/>
          </w:tcPr>
          <w:p>
            <w:r/>
            <w:r>
              <w:rPr>
                <w:sz w:val="17"/>
              </w:rPr>
              <w:t>99,9</w:t>
            </w:r>
          </w:p>
        </w:tc>
        <w:tc>
          <w:tcPr>
            <w:tcW w:type="dxa" w:w="2880"/>
          </w:tcPr>
          <w:p>
            <w:r/>
            <w:r>
              <w:rPr>
                <w:sz w:val="17"/>
              </w:rPr>
              <w:t>100</w:t>
            </w:r>
          </w:p>
        </w:tc>
      </w:tr>
      <w:tr>
        <w:tc>
          <w:tcPr>
            <w:tcW w:type="dxa" w:w="2880"/>
          </w:tcPr>
          <w:p>
            <w:r/>
            <w:r>
              <w:rPr>
                <w:sz w:val="17"/>
              </w:rPr>
              <w:t>Fine Gaussian SVM</w:t>
            </w:r>
          </w:p>
        </w:tc>
        <w:tc>
          <w:tcPr>
            <w:tcW w:type="dxa" w:w="2880"/>
          </w:tcPr>
          <w:p>
            <w:r/>
            <w:r>
              <w:rPr>
                <w:sz w:val="17"/>
              </w:rPr>
              <w:t>100</w:t>
            </w:r>
          </w:p>
        </w:tc>
        <w:tc>
          <w:tcPr>
            <w:tcW w:type="dxa" w:w="2880"/>
          </w:tcPr>
          <w:p>
            <w:r/>
            <w:r>
              <w:rPr>
                <w:sz w:val="17"/>
              </w:rPr>
              <w:t>100</w:t>
            </w:r>
          </w:p>
        </w:tc>
      </w:tr>
      <w:tr>
        <w:tc>
          <w:tcPr>
            <w:tcW w:type="dxa" w:w="2880"/>
          </w:tcPr>
          <w:p>
            <w:r/>
            <w:r>
              <w:rPr>
                <w:sz w:val="17"/>
              </w:rPr>
              <w:t>Medium Gaussian SVM</w:t>
            </w:r>
          </w:p>
        </w:tc>
        <w:tc>
          <w:tcPr>
            <w:tcW w:type="dxa" w:w="2880"/>
          </w:tcPr>
          <w:p>
            <w:r/>
            <w:r>
              <w:rPr>
                <w:sz w:val="17"/>
              </w:rPr>
              <w:t>100</w:t>
            </w:r>
          </w:p>
        </w:tc>
        <w:tc>
          <w:tcPr>
            <w:tcW w:type="dxa" w:w="2880"/>
          </w:tcPr>
          <w:p>
            <w:r/>
            <w:r>
              <w:rPr>
                <w:sz w:val="17"/>
              </w:rPr>
              <w:t>99,8</w:t>
            </w:r>
          </w:p>
        </w:tc>
      </w:tr>
      <w:tr>
        <w:tc>
          <w:tcPr>
            <w:tcW w:type="dxa" w:w="2880"/>
          </w:tcPr>
          <w:p>
            <w:r/>
            <w:r>
              <w:rPr>
                <w:sz w:val="17"/>
              </w:rPr>
              <w:t>Coarse Gaussian SVM</w:t>
            </w:r>
          </w:p>
        </w:tc>
        <w:tc>
          <w:tcPr>
            <w:tcW w:type="dxa" w:w="2880"/>
          </w:tcPr>
          <w:p>
            <w:r/>
            <w:r>
              <w:rPr>
                <w:sz w:val="17"/>
              </w:rPr>
              <w:t>97,9</w:t>
            </w:r>
          </w:p>
        </w:tc>
        <w:tc>
          <w:tcPr>
            <w:tcW w:type="dxa" w:w="2880"/>
          </w:tcPr>
          <w:p>
            <w:r/>
            <w:r>
              <w:rPr>
                <w:sz w:val="17"/>
              </w:rPr>
              <w:t>97,5</w:t>
            </w:r>
          </w:p>
        </w:tc>
      </w:tr>
      <w:tr>
        <w:tc>
          <w:tcPr>
            <w:tcW w:type="dxa" w:w="2880"/>
          </w:tcPr>
          <w:p>
            <w:r/>
            <w:r>
              <w:rPr>
                <w:sz w:val="17"/>
              </w:rPr>
              <w:t>Fine KNN</w:t>
            </w:r>
          </w:p>
        </w:tc>
        <w:tc>
          <w:tcPr>
            <w:tcW w:type="dxa" w:w="2880"/>
          </w:tcPr>
          <w:p>
            <w:r/>
            <w:r>
              <w:rPr>
                <w:sz w:val="17"/>
              </w:rPr>
              <w:t>99,9</w:t>
            </w:r>
          </w:p>
        </w:tc>
        <w:tc>
          <w:tcPr>
            <w:tcW w:type="dxa" w:w="2880"/>
          </w:tcPr>
          <w:p>
            <w:r/>
            <w:r>
              <w:rPr>
                <w:sz w:val="17"/>
              </w:rPr>
              <w:t>99,8</w:t>
            </w:r>
          </w:p>
        </w:tc>
      </w:tr>
      <w:tr>
        <w:tc>
          <w:tcPr>
            <w:tcW w:type="dxa" w:w="2880"/>
          </w:tcPr>
          <w:p>
            <w:r/>
            <w:r>
              <w:rPr>
                <w:sz w:val="17"/>
              </w:rPr>
              <w:t>Medium KNN</w:t>
            </w:r>
          </w:p>
        </w:tc>
        <w:tc>
          <w:tcPr>
            <w:tcW w:type="dxa" w:w="2880"/>
          </w:tcPr>
          <w:p>
            <w:r/>
            <w:r>
              <w:rPr>
                <w:sz w:val="17"/>
              </w:rPr>
              <w:t>99,9</w:t>
            </w:r>
          </w:p>
        </w:tc>
        <w:tc>
          <w:tcPr>
            <w:tcW w:type="dxa" w:w="2880"/>
          </w:tcPr>
          <w:p>
            <w:r/>
            <w:r>
              <w:rPr>
                <w:sz w:val="17"/>
              </w:rPr>
              <w:t>99,7</w:t>
            </w:r>
          </w:p>
        </w:tc>
      </w:tr>
      <w:tr>
        <w:tc>
          <w:tcPr>
            <w:tcW w:type="dxa" w:w="2880"/>
          </w:tcPr>
          <w:p>
            <w:r/>
            <w:r>
              <w:rPr>
                <w:sz w:val="17"/>
              </w:rPr>
              <w:t>Coarse KNN</w:t>
            </w:r>
          </w:p>
        </w:tc>
        <w:tc>
          <w:tcPr>
            <w:tcW w:type="dxa" w:w="2880"/>
          </w:tcPr>
          <w:p>
            <w:r/>
            <w:r>
              <w:rPr>
                <w:sz w:val="17"/>
              </w:rPr>
              <w:t>97,3</w:t>
            </w:r>
          </w:p>
        </w:tc>
        <w:tc>
          <w:tcPr>
            <w:tcW w:type="dxa" w:w="2880"/>
          </w:tcPr>
          <w:p>
            <w:r/>
            <w:r>
              <w:rPr>
                <w:sz w:val="17"/>
              </w:rPr>
              <w:t>97,5</w:t>
            </w:r>
          </w:p>
        </w:tc>
      </w:tr>
      <w:tr>
        <w:tc>
          <w:tcPr>
            <w:tcW w:type="dxa" w:w="2880"/>
          </w:tcPr>
          <w:p>
            <w:r/>
            <w:r>
              <w:rPr>
                <w:sz w:val="17"/>
              </w:rPr>
              <w:t>Cosine KNN</w:t>
            </w:r>
          </w:p>
        </w:tc>
        <w:tc>
          <w:tcPr>
            <w:tcW w:type="dxa" w:w="2880"/>
          </w:tcPr>
          <w:p>
            <w:r/>
            <w:r>
              <w:rPr>
                <w:sz w:val="17"/>
              </w:rPr>
              <w:t>98,8</w:t>
            </w:r>
          </w:p>
        </w:tc>
        <w:tc>
          <w:tcPr>
            <w:tcW w:type="dxa" w:w="2880"/>
          </w:tcPr>
          <w:p>
            <w:r/>
            <w:r>
              <w:rPr>
                <w:sz w:val="17"/>
              </w:rPr>
              <w:t>99,1</w:t>
            </w:r>
          </w:p>
        </w:tc>
      </w:tr>
    </w:tbl>
    <w:p/>
    <w:p>
      <w:r>
        <w:rPr>
          <w:b/>
        </w:rPr>
        <w:t>Por qué da 100 % con el dato crudo y también con el procesado.</w:t>
      </w:r>
      <w:r>
        <w:t xml:space="preserve"> Hay dos preguntas distintas mezcladas aquí.</w:t>
      </w:r>
    </w:p>
    <w:p>
      <w:r>
        <w:t>La primera es si las clases son linealmente separables, o sea si existe un plano que deje todos los auténticos de un lado y todos los falsos del otro. La respuesta es que casi, pero no del todo. El SVM lineal, que es el modelo que busca exactamente ese plano, se queda en 98,8 %: hay alrededor de 16 billetes que quedan del lado equivocado de cualquier plano. Eso coincide con lo que pasó en el taller con el perceptrón, que nunca convergió en 200 épocas sobre este dataset aunque acertara el 98 o 99 %. Si fueran linealmente separables el perceptrón tendría que haber convergido, por el teorema de convergencia.</w:t>
      </w:r>
    </w:p>
    <w:p>
      <w:r>
        <w:t>La segunda es si las clases se pueden separar con una frontera curva. Ahí la respuesta es sí, y limpiamente. El SVM cuadrático, el cúbico y el gaussiano llegan al 100 %, y los KNN al 99,9 %. Eso quiere decir que las dos clases no se traslapan en ninguna parte del espacio de las cuatro variables: no hay billetes auténticos y falsos con los mismos valores. Lo único que pasa es que la frontera que los separa tiene una curva que un plano no puede seguir. Se ve en la dispersión de varianza contra asimetría de la sección 2.1: las dos nubes están separadas pero la línea que las divide no es recta.</w:t>
      </w:r>
    </w:p>
    <w:p>
      <w:r>
        <w:t>Por eso el procesamiento no cambia nada. Quitar outliers recortando al borde no mueve ningún billete al otro lado de la frontera. Balancear quita 152 auténticos al azar, y una clase con 610 en vez de 762 sigue siendo la misma nube. Y escalar tampoco importa para el resultado, por una razón práctica: Classification Learner estandariza las entradas por defecto antes de entrenar los SVM y los KNN, así que a esos modelos les llega el dato ya escalado aunque uno le pase el crudo. Los únicos que sí ven el dato tal cual son los Naive Bayes, y son justamente los que peor van, 84 y 92 %, porque asumen que cada variable es una campana y las cuatro tienen colas largas.</w:t>
      </w:r>
    </w:p>
    <w:p>
      <w:r>
        <w:t>En resumen: banknote no es linealmente separable, pero sí es separable, y con una frontera curva cualquier modelo flexible lo resuelve completo con el dato crudo. El preprocesamiento no tenía nada que arreglar.</w:t>
      </w:r>
    </w:p>
    <w:p>
      <w:pPr>
        <w:pStyle w:val="Heading2"/>
      </w:pPr>
      <w:r>
        <w:t>3. Conclusión</w:t>
      </w:r>
    </w:p>
    <w:p>
      <w:r>
        <w:t>En ninguno de los dos datasets el preprocesamiento mejoró el mejor modelo, y eso es lo que había que aprender de esta revisión. Iris viene balanceado, en una sola escala y casi separable: el discriminante lineal da 98 % con las cinco versiones del dato y los 3 errores son flores de la frontera entre versicolor y virginica que ningún paso puede mover. Banknote tiene escalas distintas y un desbalance suave, pero las clases no se traslapan, así que un SVM con kernel llega al 100 % con el dato crudo y con el procesado. Lo que sí se vio en los dos es qué modelos dependen de la escala y cuáles no: discriminantes y árboles no la notan, los SVM sí, y la app se la corrige sola. Corregir outliers, balancear y escalar son pasos que hay que hacer cuando el dato lo necesita; estos dos no lo necesitaban, y la forma de saberlo fue mirar las gráficas antes de correr nada.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