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4"/>
          <w:szCs w:val="24"/>
        </w:rPr>
        <w:t xml:space="preserve">APPENDIX __</w:t>
      </w:r>
    </w:p>
    <w:p>
      <w:pPr>
        <w:spacing w:after="0" w:before="0" w:line="360"/>
        <w:jc w:val="center"/>
      </w:pPr>
      <w:r>
        <w:rPr>
          <w:rFonts w:ascii="Times New Roman" w:cs="Times New Roman" w:eastAsia="Times New Roman" w:hAnsi="Times New Roman"/>
          <w:b/>
          <w:bCs/>
          <w:sz w:val="24"/>
          <w:szCs w:val="24"/>
        </w:rPr>
        <w:t xml:space="preserve">Security Evaluation Questionnaire: Instrument Guide</w:t>
      </w:r>
    </w:p>
    <w:p>
      <w:pPr>
        <w:spacing w:after="300" w:before="0" w:line="360"/>
        <w:jc w:val="center"/>
      </w:pPr>
      <w:r>
        <w:rPr>
          <w:rFonts w:ascii="Times New Roman" w:cs="Times New Roman" w:eastAsia="Times New Roman" w:hAnsi="Times New Roman"/>
          <w:i/>
          <w:iCs/>
          <w:sz w:val="24"/>
          <w:szCs w:val="24"/>
        </w:rPr>
        <w:t xml:space="preserve">For the researchers, the validators and the panel; not given to respondents</w:t>
      </w:r>
    </w:p>
    <w:p>
      <w:pPr>
        <w:spacing w:after="160" w:before="0" w:line="360"/>
        <w:jc w:val="both"/>
      </w:pPr>
      <w:r>
        <w:rPr>
          <w:rFonts w:ascii="Times New Roman" w:cs="Times New Roman" w:eastAsia="Times New Roman" w:hAnsi="Times New Roman"/>
          <w:sz w:val="24"/>
          <w:szCs w:val="24"/>
        </w:rPr>
        <w:t xml:space="preserve">The security evaluation questionnaire has two forms, given to respondents as separate documents: Form A for the teachers and the school administrator (16 items) and Form B for the IT administrator (14 items). All 30 items are adopted word for word from three published, validated instruments; no item is reworded and none is researcher-made. Items were selected, not changed: an item was adopted only when its original wording applies to L-SIAMS as written. Each adopted item is grouped under confidentiality, integrity or availability and aligned with an ISO/IEC 27001:2022 Annex A control. In the tables below, A1–A16 refer to Form A items 1–16, and B1–B14 to Form B items 1–14.</w:t>
      </w:r>
    </w:p>
    <w:p>
      <w:pPr>
        <w:keepNext/>
        <w:spacing w:after="120" w:before="240" w:line="276"/>
        <w:jc w:val="left"/>
      </w:pPr>
      <w:r>
        <w:rPr>
          <w:rFonts w:ascii="Times New Roman" w:cs="Times New Roman" w:eastAsia="Times New Roman" w:hAnsi="Times New Roman"/>
          <w:b/>
          <w:bCs/>
          <w:sz w:val="24"/>
          <w:szCs w:val="24"/>
        </w:rPr>
        <w:t xml:space="preserve">Sources of the Adopted Items</w:t>
      </w:r>
    </w:p>
    <w:p>
      <w:pPr>
        <w:spacing w:after="160" w:before="0" w:line="360"/>
        <w:jc w:val="both"/>
      </w:pPr>
      <w:r>
        <w:rPr>
          <w:rFonts w:ascii="Times New Roman" w:cs="Times New Roman" w:eastAsia="Times New Roman" w:hAnsi="Times New Roman"/>
          <w:sz w:val="24"/>
          <w:szCs w:val="24"/>
        </w:rPr>
        <w:t xml:space="preserve">The items were adopted from three published instruments whose validity and reliability were established by their authors. Table A summarizes each source and the evidence reported for it.</w:t>
      </w:r>
    </w:p>
    <w:p>
      <w:pPr>
        <w:keepNext/>
        <w:spacing w:after="0" w:before="200" w:line="276"/>
        <w:jc w:val="both"/>
      </w:pPr>
      <w:r>
        <w:rPr>
          <w:rFonts w:ascii="Times New Roman" w:cs="Times New Roman" w:eastAsia="Times New Roman" w:hAnsi="Times New Roman"/>
          <w:b/>
          <w:bCs/>
          <w:sz w:val="24"/>
          <w:szCs w:val="24"/>
        </w:rPr>
        <w:t xml:space="preserve">Table A</w:t>
      </w:r>
    </w:p>
    <w:p>
      <w:pPr>
        <w:keepNext/>
        <w:spacing w:after="120" w:before="0" w:line="276"/>
        <w:jc w:val="both"/>
      </w:pPr>
      <w:r>
        <w:rPr>
          <w:rFonts w:ascii="Times New Roman" w:cs="Times New Roman" w:eastAsia="Times New Roman" w:hAnsi="Times New Roman"/>
          <w:i/>
          <w:iCs/>
          <w:sz w:val="24"/>
          <w:szCs w:val="24"/>
        </w:rPr>
        <w:t xml:space="preserve">Validated Instruments Used as Sources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500"/>
        <w:gridCol w:w="1640"/>
        <w:gridCol w:w="1900"/>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Source</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Construct(s) and items used</w:t>
            </w:r>
          </w:p>
        </w:tc>
        <w:tc>
          <w:tcPr>
            <w:tcW w:type="dxa" w:w="15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Original respondents and context</w:t>
            </w:r>
          </w:p>
        </w:tc>
        <w:tc>
          <w:tcPr>
            <w:tcW w:type="dxa" w:w="16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Validation reported</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Reliability reported</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Rukhiran, Wong-In &amp; Netinant (2023), Sustainability 15(4), 3092</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Trust and Security (TS1, TS4, TS5) → Form A, Part A (A1–A3)</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161 university students; biometric examination attendance (Thailand)</w:t>
            </w:r>
          </w:p>
        </w:tc>
        <w:tc>
          <w:tcPr>
            <w:tcW w:type="dxa" w:w="1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EFA and CFA; loadings .790–.959</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TS: α = .932, CR = .932, AVE = .735</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Phakaedam, Savithi &amp; Suttidee (2026), Data 11(3), 46</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CIA Triad Practices (C1–C5, I6–I10, A11, A12, A14) → Form A, Parts B–D (A4–A16)</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540 respondents from higher education institutions (Thailand)</w:t>
            </w:r>
          </w:p>
        </w:tc>
        <w:tc>
          <w:tcPr>
            <w:tcW w:type="dxa" w:w="1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Expert review, pilot test, CFA (CFI = .997, RMSEA = .057, SRMR = .015)</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 α = .912, CR = .903, AVE = .652; Integrity α = .921, CR = .912, AVE = .674; Availability α = .905, CR = .871, AVE = .576</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Domínguez Domínguez, Flores Laguna &amp; Sánchez-Valdez (2023), IM-ISMS, arXiv:2306.07367</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Privacy (P10, P11, P12, P14), Integrity (I15–I19), Authenticity (A21–A24), Policies (PR7) → Form B (B1–B14)</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143 engineering students from two universities (Mexico); items based on ISO/IEC 27002</w:t>
            </w:r>
          </w:p>
        </w:tc>
        <w:tc>
          <w:tcPr>
            <w:tcW w:type="dxa" w:w="1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EFA (KMO = .950, Bartlett p &lt; .001, promax rotation)</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Privacy α = .887, ω = .892; Integrity α = .936, ω = .936; Authenticity α = .931, ω = .932; Policies α = .946, ω = .947</w:t>
            </w:r>
          </w:p>
        </w:tc>
      </w:tr>
    </w:tbl>
    <w:p>
      <w:pPr>
        <w:keepNext/>
        <w:spacing w:after="120" w:before="320" w:line="276"/>
        <w:jc w:val="left"/>
      </w:pPr>
      <w:r>
        <w:rPr>
          <w:rFonts w:ascii="Times New Roman" w:cs="Times New Roman" w:eastAsia="Times New Roman" w:hAnsi="Times New Roman"/>
          <w:b/>
          <w:bCs/>
          <w:sz w:val="24"/>
          <w:szCs w:val="24"/>
        </w:rPr>
        <w:t xml:space="preserve">Item Source Matrix</w:t>
      </w:r>
    </w:p>
    <w:p>
      <w:pPr>
        <w:spacing w:after="160" w:before="0" w:line="360"/>
        <w:jc w:val="both"/>
      </w:pPr>
      <w:r>
        <w:rPr>
          <w:rFonts w:ascii="Times New Roman" w:cs="Times New Roman" w:eastAsia="Times New Roman" w:hAnsi="Times New Roman"/>
          <w:sz w:val="24"/>
          <w:szCs w:val="24"/>
        </w:rPr>
        <w:t xml:space="preserve">Table B shows, for every item, its code and wording in the source, the item as used in this study, and the ISO/IEC 27001:2022 Annex A control and study objective it addresses. The wording is identical. For three IM-ISMS items (I15, I19, PR7), the authors reworded the item after their factor analysis; the published reworded form is the one adopted. The CIA grouping of Form A is the one given by Phakaedam et al., who assigned items C1–C5 to confidentiality, I6–I10 to integrity and A11–A15 to availability. For Form B, each IM-ISMS item is placed under the CIA pillar its control protects.</w:t>
      </w:r>
    </w:p>
    <w:p>
      <w:pPr>
        <w:keepNext/>
        <w:spacing w:after="0" w:before="200" w:line="276"/>
        <w:jc w:val="both"/>
      </w:pPr>
      <w:r>
        <w:rPr>
          <w:rFonts w:ascii="Times New Roman" w:cs="Times New Roman" w:eastAsia="Times New Roman" w:hAnsi="Times New Roman"/>
          <w:b/>
          <w:bCs/>
          <w:sz w:val="24"/>
          <w:szCs w:val="24"/>
        </w:rPr>
        <w:t xml:space="preserve">Table B</w:t>
      </w:r>
    </w:p>
    <w:p>
      <w:pPr>
        <w:keepNext/>
        <w:spacing w:after="120" w:before="0" w:line="276"/>
        <w:jc w:val="both"/>
      </w:pPr>
      <w:r>
        <w:rPr>
          <w:rFonts w:ascii="Times New Roman" w:cs="Times New Roman" w:eastAsia="Times New Roman" w:hAnsi="Times New Roman"/>
          <w:i/>
          <w:iCs/>
          <w:sz w:val="24"/>
          <w:szCs w:val="24"/>
        </w:rPr>
        <w:t xml:space="preserve">Source of Each Adopted Item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60"/>
        <w:gridCol w:w="2700"/>
        <w:gridCol w:w="2700"/>
        <w:gridCol w:w="1400"/>
        <w:gridCol w:w="1280"/>
      </w:tblGrid>
      <w:tr>
        <w:trPr>
          <w:cantSplit/>
          <w:tblHeader/>
        </w:trPr>
        <w:tc>
          <w:tcPr>
            <w:tcW w:type="dxa" w:w="5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Item</w:t>
            </w:r>
          </w:p>
        </w:tc>
        <w:tc>
          <w:tcPr>
            <w:tcW w:type="dxa" w:w="2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Item in the source</w:t>
            </w:r>
          </w:p>
        </w:tc>
        <w:tc>
          <w:tcPr>
            <w:tcW w:type="dxa" w:w="2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Item as used in this study</w:t>
            </w:r>
          </w:p>
        </w:tc>
        <w:tc>
          <w:tcPr>
            <w:tcW w:type="dxa" w:w="1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Annex A control</w:t>
            </w:r>
          </w:p>
        </w:tc>
        <w:tc>
          <w:tcPr>
            <w:tcW w:type="dxa" w:w="12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Objective</w:t>
            </w:r>
          </w:p>
        </w:tc>
      </w:tr>
      <w:tr>
        <w:trPr>
          <w:cantSplit/>
        </w:trPr>
        <w:tc>
          <w:tcPr>
            <w:tcW w:type="dxa" w:w="8640"/>
            <w:gridSpan w:val="5"/>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8"/>
                <w:szCs w:val="18"/>
              </w:rPr>
              <w:t xml:space="preserve">Form A — Teachers and School Administrator</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TS1: </w:t>
            </w:r>
            <w:r>
              <w:rPr>
                <w:rFonts w:ascii="Times New Roman" w:cs="Times New Roman" w:eastAsia="Times New Roman" w:hAnsi="Times New Roman"/>
                <w:i/>
                <w:iCs/>
                <w:sz w:val="17"/>
                <w:szCs w:val="17"/>
              </w:rPr>
              <w:t xml:space="preserve">“The biometric recognition would be physically invasive.”</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biometric recognition would be physically invasive.</w:t>
            </w:r>
          </w:p>
          <w:p>
            <w:pPr>
              <w:spacing w:after="40" w:before="40" w:line="240"/>
              <w:jc w:val="left"/>
            </w:pPr>
            <w:r>
              <w:rPr>
                <w:rFonts w:ascii="Times New Roman" w:cs="Times New Roman" w:eastAsia="Times New Roman" w:hAnsi="Times New Roman"/>
                <w:i/>
                <w:iCs/>
                <w:color w:val="555555"/>
                <w:sz w:val="16"/>
                <w:szCs w:val="16"/>
              </w:rPr>
              <w:t xml:space="preserve">Trust &amp; Security. Adopted as written; reverse-scored.</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 A.5.34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A2</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TS4: </w:t>
            </w:r>
            <w:r>
              <w:rPr>
                <w:rFonts w:ascii="Times New Roman" w:cs="Times New Roman" w:eastAsia="Times New Roman" w:hAnsi="Times New Roman"/>
                <w:i/>
                <w:iCs/>
                <w:sz w:val="17"/>
                <w:szCs w:val="17"/>
              </w:rPr>
              <w:t xml:space="preserve">“The system can identify me correctly.”</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can identify me correctly.</w:t>
            </w:r>
          </w:p>
          <w:p>
            <w:pPr>
              <w:spacing w:after="40" w:before="40" w:line="240"/>
              <w:jc w:val="left"/>
            </w:pPr>
            <w:r>
              <w:rPr>
                <w:rFonts w:ascii="Times New Roman" w:cs="Times New Roman" w:eastAsia="Times New Roman" w:hAnsi="Times New Roman"/>
                <w:i/>
                <w:iCs/>
                <w:color w:val="555555"/>
                <w:sz w:val="16"/>
                <w:szCs w:val="16"/>
              </w:rPr>
              <w:t xml:space="preserve">Trust &amp; Security.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TS5: </w:t>
            </w:r>
            <w:r>
              <w:rPr>
                <w:rFonts w:ascii="Times New Roman" w:cs="Times New Roman" w:eastAsia="Times New Roman" w:hAnsi="Times New Roman"/>
                <w:i/>
                <w:iCs/>
                <w:sz w:val="17"/>
                <w:szCs w:val="17"/>
              </w:rPr>
              <w:t xml:space="preserve">“The system has high recognition accuracy.”</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has high recognition accuracy.</w:t>
            </w:r>
          </w:p>
          <w:p>
            <w:pPr>
              <w:spacing w:after="40" w:before="40" w:line="240"/>
              <w:jc w:val="left"/>
            </w:pPr>
            <w:r>
              <w:rPr>
                <w:rFonts w:ascii="Times New Roman" w:cs="Times New Roman" w:eastAsia="Times New Roman" w:hAnsi="Times New Roman"/>
                <w:i/>
                <w:iCs/>
                <w:color w:val="555555"/>
                <w:sz w:val="16"/>
                <w:szCs w:val="16"/>
              </w:rPr>
              <w:t xml:space="preserve">Trust &amp; Security.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1.2, 4.3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A4</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C1: </w:t>
            </w:r>
            <w:r>
              <w:rPr>
                <w:rFonts w:ascii="Times New Roman" w:cs="Times New Roman" w:eastAsia="Times New Roman" w:hAnsi="Times New Roman"/>
                <w:i/>
                <w:iCs/>
                <w:sz w:val="17"/>
                <w:szCs w:val="17"/>
              </w:rPr>
              <w:t xml:space="preserve">“I use complex and unique passwords for important accounts.”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use complex and unique passwords for important accounts.</w:t>
            </w:r>
          </w:p>
          <w:p>
            <w:pPr>
              <w:spacing w:after="40" w:before="40" w:line="240"/>
              <w:jc w:val="left"/>
            </w:pPr>
            <w:r>
              <w:rPr>
                <w:rFonts w:ascii="Times New Roman" w:cs="Times New Roman" w:eastAsia="Times New Roman" w:hAnsi="Times New Roman"/>
                <w:i/>
                <w:iCs/>
                <w:color w:val="555555"/>
                <w:sz w:val="16"/>
                <w:szCs w:val="16"/>
              </w:rPr>
              <w:t xml:space="preserve">Confidentiality.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A.5.17</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A5</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C2: </w:t>
            </w:r>
            <w:r>
              <w:rPr>
                <w:rFonts w:ascii="Times New Roman" w:cs="Times New Roman" w:eastAsia="Times New Roman" w:hAnsi="Times New Roman"/>
                <w:i/>
                <w:iCs/>
                <w:sz w:val="17"/>
                <w:szCs w:val="17"/>
              </w:rPr>
              <w:t xml:space="preserve">“I avoid sending sensitive information through unsecured channels.”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avoid sending sensitive information through unsecured channels.</w:t>
            </w:r>
          </w:p>
          <w:p>
            <w:pPr>
              <w:spacing w:after="40" w:before="40" w:line="240"/>
              <w:jc w:val="left"/>
            </w:pPr>
            <w:r>
              <w:rPr>
                <w:rFonts w:ascii="Times New Roman" w:cs="Times New Roman" w:eastAsia="Times New Roman" w:hAnsi="Times New Roman"/>
                <w:i/>
                <w:iCs/>
                <w:color w:val="555555"/>
                <w:sz w:val="16"/>
                <w:szCs w:val="16"/>
              </w:rPr>
              <w:t xml:space="preserve">Confidentiality.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A.5.14; A.5.34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3.1</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C3: </w:t>
            </w:r>
            <w:r>
              <w:rPr>
                <w:rFonts w:ascii="Times New Roman" w:cs="Times New Roman" w:eastAsia="Times New Roman" w:hAnsi="Times New Roman"/>
                <w:i/>
                <w:iCs/>
                <w:sz w:val="17"/>
                <w:szCs w:val="17"/>
              </w:rPr>
              <w:t xml:space="preserve">“I do not share my personal passwords with others.”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do not share my personal passwords with others.</w:t>
            </w:r>
          </w:p>
          <w:p>
            <w:pPr>
              <w:spacing w:after="40" w:before="40" w:line="240"/>
              <w:jc w:val="left"/>
            </w:pPr>
            <w:r>
              <w:rPr>
                <w:rFonts w:ascii="Times New Roman" w:cs="Times New Roman" w:eastAsia="Times New Roman" w:hAnsi="Times New Roman"/>
                <w:i/>
                <w:iCs/>
                <w:color w:val="555555"/>
                <w:sz w:val="16"/>
                <w:szCs w:val="16"/>
              </w:rPr>
              <w:t xml:space="preserve">Confidentiality.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A.5.17</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A7</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C4: </w:t>
            </w:r>
            <w:r>
              <w:rPr>
                <w:rFonts w:ascii="Times New Roman" w:cs="Times New Roman" w:eastAsia="Times New Roman" w:hAnsi="Times New Roman"/>
                <w:i/>
                <w:iCs/>
                <w:sz w:val="17"/>
                <w:szCs w:val="17"/>
              </w:rPr>
              <w:t xml:space="preserve">“I enable multi-factor authentication for supported accounts.”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enable multi-factor authentication for supported accounts.</w:t>
            </w:r>
          </w:p>
          <w:p>
            <w:pPr>
              <w:spacing w:after="40" w:before="40" w:line="240"/>
              <w:jc w:val="left"/>
            </w:pPr>
            <w:r>
              <w:rPr>
                <w:rFonts w:ascii="Times New Roman" w:cs="Times New Roman" w:eastAsia="Times New Roman" w:hAnsi="Times New Roman"/>
                <w:i/>
                <w:iCs/>
                <w:color w:val="555555"/>
                <w:sz w:val="16"/>
                <w:szCs w:val="16"/>
              </w:rPr>
              <w:t xml:space="preserve">Confidentiality.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1.2, 3.2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A8</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C5: </w:t>
            </w:r>
            <w:r>
              <w:rPr>
                <w:rFonts w:ascii="Times New Roman" w:cs="Times New Roman" w:eastAsia="Times New Roman" w:hAnsi="Times New Roman"/>
                <w:i/>
                <w:iCs/>
                <w:sz w:val="17"/>
                <w:szCs w:val="17"/>
              </w:rPr>
              <w:t xml:space="preserve">“I avoid using public Wi-Fi when handling sensitive information.”</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avoid using public Wi-Fi when handling sensitive information.</w:t>
            </w:r>
          </w:p>
          <w:p>
            <w:pPr>
              <w:spacing w:after="40" w:before="40" w:line="240"/>
              <w:jc w:val="left"/>
            </w:pPr>
            <w:r>
              <w:rPr>
                <w:rFonts w:ascii="Times New Roman" w:cs="Times New Roman" w:eastAsia="Times New Roman" w:hAnsi="Times New Roman"/>
                <w:i/>
                <w:iCs/>
                <w:color w:val="555555"/>
                <w:sz w:val="16"/>
                <w:szCs w:val="16"/>
              </w:rPr>
              <w:t xml:space="preserve">Confidentiality.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A9</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I6: </w:t>
            </w:r>
            <w:r>
              <w:rPr>
                <w:rFonts w:ascii="Times New Roman" w:cs="Times New Roman" w:eastAsia="Times New Roman" w:hAnsi="Times New Roman"/>
                <w:i/>
                <w:iCs/>
                <w:sz w:val="17"/>
                <w:szCs w:val="17"/>
              </w:rPr>
              <w:t xml:space="preserve">“I verify the accuracy of downloaded files before use.”</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verify the accuracy of downloaded files before use.</w:t>
            </w:r>
          </w:p>
          <w:p>
            <w:pPr>
              <w:spacing w:after="40" w:before="40" w:line="240"/>
              <w:jc w:val="left"/>
            </w:pPr>
            <w:r>
              <w:rPr>
                <w:rFonts w:ascii="Times New Roman" w:cs="Times New Roman" w:eastAsia="Times New Roman" w:hAnsi="Times New Roman"/>
                <w:i/>
                <w:iCs/>
                <w:color w:val="555555"/>
                <w:sz w:val="16"/>
                <w:szCs w:val="16"/>
              </w:rPr>
              <w:t xml:space="preserve">Integrity.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A.5.33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2.3, 4.2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A10</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I7: </w:t>
            </w:r>
            <w:r>
              <w:rPr>
                <w:rFonts w:ascii="Times New Roman" w:cs="Times New Roman" w:eastAsia="Times New Roman" w:hAnsi="Times New Roman"/>
                <w:i/>
                <w:iCs/>
                <w:sz w:val="17"/>
                <w:szCs w:val="17"/>
              </w:rPr>
              <w:t xml:space="preserve">“I verify the credibility of electronic information sources.”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verify the credibility of electronic information sources.</w:t>
            </w:r>
          </w:p>
          <w:p>
            <w:pPr>
              <w:spacing w:after="40" w:before="40" w:line="240"/>
              <w:jc w:val="left"/>
            </w:pPr>
            <w:r>
              <w:rPr>
                <w:rFonts w:ascii="Times New Roman" w:cs="Times New Roman" w:eastAsia="Times New Roman" w:hAnsi="Times New Roman"/>
                <w:i/>
                <w:iCs/>
                <w:color w:val="555555"/>
                <w:sz w:val="16"/>
                <w:szCs w:val="16"/>
              </w:rPr>
              <w:t xml:space="preserve">Integrity.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2.2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A11</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I8: </w:t>
            </w:r>
            <w:r>
              <w:rPr>
                <w:rFonts w:ascii="Times New Roman" w:cs="Times New Roman" w:eastAsia="Times New Roman" w:hAnsi="Times New Roman"/>
                <w:i/>
                <w:iCs/>
                <w:sz w:val="17"/>
                <w:szCs w:val="17"/>
              </w:rPr>
              <w:t xml:space="preserve">“I avoid installing software from unofficial sources.”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avoid installing software from unofficial sources.</w:t>
            </w:r>
          </w:p>
          <w:p>
            <w:pPr>
              <w:spacing w:after="40" w:before="40" w:line="240"/>
              <w:jc w:val="left"/>
            </w:pPr>
            <w:r>
              <w:rPr>
                <w:rFonts w:ascii="Times New Roman" w:cs="Times New Roman" w:eastAsia="Times New Roman" w:hAnsi="Times New Roman"/>
                <w:i/>
                <w:iCs/>
                <w:color w:val="555555"/>
                <w:sz w:val="16"/>
                <w:szCs w:val="16"/>
              </w:rPr>
              <w:t xml:space="preserve">Integrity.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A.8.19</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A12</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I9: </w:t>
            </w:r>
            <w:r>
              <w:rPr>
                <w:rFonts w:ascii="Times New Roman" w:cs="Times New Roman" w:eastAsia="Times New Roman" w:hAnsi="Times New Roman"/>
                <w:i/>
                <w:iCs/>
                <w:sz w:val="17"/>
                <w:szCs w:val="17"/>
              </w:rPr>
              <w:t xml:space="preserve">“I refrain from unauthorized modification or deletion of data.”</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refrain from unauthorized modification or deletion of data.</w:t>
            </w:r>
          </w:p>
          <w:p>
            <w:pPr>
              <w:spacing w:after="40" w:before="40" w:line="240"/>
              <w:jc w:val="left"/>
            </w:pPr>
            <w:r>
              <w:rPr>
                <w:rFonts w:ascii="Times New Roman" w:cs="Times New Roman" w:eastAsia="Times New Roman" w:hAnsi="Times New Roman"/>
                <w:i/>
                <w:iCs/>
                <w:color w:val="555555"/>
                <w:sz w:val="16"/>
                <w:szCs w:val="16"/>
              </w:rPr>
              <w:t xml:space="preserve">Integrity.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A.5.10; A.8.3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3.2, 3.5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I10: </w:t>
            </w:r>
            <w:r>
              <w:rPr>
                <w:rFonts w:ascii="Times New Roman" w:cs="Times New Roman" w:eastAsia="Times New Roman" w:hAnsi="Times New Roman"/>
                <w:i/>
                <w:iCs/>
                <w:sz w:val="17"/>
                <w:szCs w:val="17"/>
              </w:rPr>
              <w:t xml:space="preserve">“I maintain records of file or data changes for transparency.”</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maintain records of file or data changes for transparency.</w:t>
            </w:r>
          </w:p>
          <w:p>
            <w:pPr>
              <w:spacing w:after="40" w:before="40" w:line="240"/>
              <w:jc w:val="left"/>
            </w:pPr>
            <w:r>
              <w:rPr>
                <w:rFonts w:ascii="Times New Roman" w:cs="Times New Roman" w:eastAsia="Times New Roman" w:hAnsi="Times New Roman"/>
                <w:i/>
                <w:iCs/>
                <w:color w:val="555555"/>
                <w:sz w:val="16"/>
                <w:szCs w:val="16"/>
              </w:rPr>
              <w:t xml:space="preserve">Integrity.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A14</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A11: </w:t>
            </w:r>
            <w:r>
              <w:rPr>
                <w:rFonts w:ascii="Times New Roman" w:cs="Times New Roman" w:eastAsia="Times New Roman" w:hAnsi="Times New Roman"/>
                <w:i/>
                <w:iCs/>
                <w:sz w:val="17"/>
                <w:szCs w:val="17"/>
              </w:rPr>
              <w:t xml:space="preserve">“I regularly back up important data.”</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regularly back up important data.</w:t>
            </w:r>
          </w:p>
          <w:p>
            <w:pPr>
              <w:spacing w:after="40" w:before="40" w:line="240"/>
              <w:jc w:val="left"/>
            </w:pPr>
            <w:r>
              <w:rPr>
                <w:rFonts w:ascii="Times New Roman" w:cs="Times New Roman" w:eastAsia="Times New Roman" w:hAnsi="Times New Roman"/>
                <w:i/>
                <w:iCs/>
                <w:color w:val="555555"/>
                <w:sz w:val="16"/>
                <w:szCs w:val="16"/>
              </w:rPr>
              <w:t xml:space="preserve">Availability.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A15</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A12: </w:t>
            </w:r>
            <w:r>
              <w:rPr>
                <w:rFonts w:ascii="Times New Roman" w:cs="Times New Roman" w:eastAsia="Times New Roman" w:hAnsi="Times New Roman"/>
                <w:i/>
                <w:iCs/>
                <w:sz w:val="17"/>
                <w:szCs w:val="17"/>
              </w:rPr>
              <w:t xml:space="preserve">“I know how to recover data if loss occurs.”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know how to recover data if loss occurs.</w:t>
            </w:r>
          </w:p>
          <w:p>
            <w:pPr>
              <w:spacing w:after="40" w:before="40" w:line="240"/>
              <w:jc w:val="left"/>
            </w:pPr>
            <w:r>
              <w:rPr>
                <w:rFonts w:ascii="Times New Roman" w:cs="Times New Roman" w:eastAsia="Times New Roman" w:hAnsi="Times New Roman"/>
                <w:i/>
                <w:iCs/>
                <w:color w:val="555555"/>
                <w:sz w:val="16"/>
                <w:szCs w:val="16"/>
              </w:rPr>
              <w:t xml:space="preserve">Availability.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A.8.13; A.5.30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A14: </w:t>
            </w:r>
            <w:r>
              <w:rPr>
                <w:rFonts w:ascii="Times New Roman" w:cs="Times New Roman" w:eastAsia="Times New Roman" w:hAnsi="Times New Roman"/>
                <w:i/>
                <w:iCs/>
                <w:sz w:val="17"/>
                <w:szCs w:val="17"/>
              </w:rPr>
              <w:t xml:space="preserve">“I avoid actions that may disrupt system accessibility.”</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avoid actions that may disrupt system accessibility.</w:t>
            </w:r>
          </w:p>
          <w:p>
            <w:pPr>
              <w:spacing w:after="40" w:before="40" w:line="240"/>
              <w:jc w:val="left"/>
            </w:pPr>
            <w:r>
              <w:rPr>
                <w:rFonts w:ascii="Times New Roman" w:cs="Times New Roman" w:eastAsia="Times New Roman" w:hAnsi="Times New Roman"/>
                <w:i/>
                <w:iCs/>
                <w:color w:val="555555"/>
                <w:sz w:val="16"/>
                <w:szCs w:val="16"/>
              </w:rPr>
              <w:t xml:space="preserve">Availability.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8640"/>
            <w:gridSpan w:val="5"/>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8"/>
                <w:szCs w:val="18"/>
              </w:rPr>
              <w:t xml:space="preserve">Form B — IT Administrator</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P10: </w:t>
            </w:r>
            <w:r>
              <w:rPr>
                <w:rFonts w:ascii="Times New Roman" w:cs="Times New Roman" w:eastAsia="Times New Roman" w:hAnsi="Times New Roman"/>
                <w:i/>
                <w:iCs/>
                <w:sz w:val="17"/>
                <w:szCs w:val="17"/>
              </w:rPr>
              <w:t xml:space="preserve">“Responsible use of network equipment and servers”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Responsible use of network equipment and servers</w:t>
            </w:r>
          </w:p>
          <w:p>
            <w:pPr>
              <w:spacing w:after="40" w:before="40" w:line="240"/>
              <w:jc w:val="left"/>
            </w:pPr>
            <w:r>
              <w:rPr>
                <w:rFonts w:ascii="Times New Roman" w:cs="Times New Roman" w:eastAsia="Times New Roman" w:hAnsi="Times New Roman"/>
                <w:i/>
                <w:iCs/>
                <w:color w:val="555555"/>
                <w:sz w:val="16"/>
                <w:szCs w:val="16"/>
              </w:rPr>
              <w:t xml:space="preserve">Confidentiality.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B2</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P12: </w:t>
            </w:r>
            <w:r>
              <w:rPr>
                <w:rFonts w:ascii="Times New Roman" w:cs="Times New Roman" w:eastAsia="Times New Roman" w:hAnsi="Times New Roman"/>
                <w:i/>
                <w:iCs/>
                <w:sz w:val="17"/>
                <w:szCs w:val="17"/>
              </w:rPr>
              <w:t xml:space="preserve">“An access control policy for the facilities, nodes and data center”</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An access control policy for the facilities, nodes and data center</w:t>
            </w:r>
          </w:p>
          <w:p>
            <w:pPr>
              <w:spacing w:after="40" w:before="40" w:line="240"/>
              <w:jc w:val="left"/>
            </w:pPr>
            <w:r>
              <w:rPr>
                <w:rFonts w:ascii="Times New Roman" w:cs="Times New Roman" w:eastAsia="Times New Roman" w:hAnsi="Times New Roman"/>
                <w:i/>
                <w:iCs/>
                <w:color w:val="555555"/>
                <w:sz w:val="16"/>
                <w:szCs w:val="16"/>
              </w:rPr>
              <w:t xml:space="preserve">Confidentiality.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A.5.15; A.7.2</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3.3, 3.6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P14: </w:t>
            </w:r>
            <w:r>
              <w:rPr>
                <w:rFonts w:ascii="Times New Roman" w:cs="Times New Roman" w:eastAsia="Times New Roman" w:hAnsi="Times New Roman"/>
                <w:i/>
                <w:iCs/>
                <w:sz w:val="17"/>
                <w:szCs w:val="17"/>
              </w:rPr>
              <w:t xml:space="preserve">“Restrictions on access to information”</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Restrictions on access to information</w:t>
            </w:r>
          </w:p>
          <w:p>
            <w:pPr>
              <w:spacing w:after="40" w:before="40" w:line="240"/>
              <w:jc w:val="left"/>
            </w:pPr>
            <w:r>
              <w:rPr>
                <w:rFonts w:ascii="Times New Roman" w:cs="Times New Roman" w:eastAsia="Times New Roman" w:hAnsi="Times New Roman"/>
                <w:i/>
                <w:iCs/>
                <w:color w:val="555555"/>
                <w:sz w:val="16"/>
                <w:szCs w:val="16"/>
              </w:rPr>
              <w:t xml:space="preserve">Confidentiality.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A.8.3; A.5.34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B4</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I15: </w:t>
            </w:r>
            <w:r>
              <w:rPr>
                <w:rFonts w:ascii="Times New Roman" w:cs="Times New Roman" w:eastAsia="Times New Roman" w:hAnsi="Times New Roman"/>
                <w:i/>
                <w:iCs/>
                <w:sz w:val="17"/>
                <w:szCs w:val="17"/>
              </w:rPr>
              <w:t xml:space="preserve">“A policy on the use, protection and lifecycle of access keys (reworded by the authors: “There is a correct management, protection and life cycle of access keys”)”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There is a correct management, protection and life cycle of access keys</w:t>
            </w:r>
          </w:p>
          <w:p>
            <w:pPr>
              <w:spacing w:after="40" w:before="40" w:line="240"/>
              <w:jc w:val="left"/>
            </w:pPr>
            <w:r>
              <w:rPr>
                <w:rFonts w:ascii="Times New Roman" w:cs="Times New Roman" w:eastAsia="Times New Roman" w:hAnsi="Times New Roman"/>
                <w:i/>
                <w:iCs/>
                <w:color w:val="555555"/>
                <w:sz w:val="16"/>
                <w:szCs w:val="16"/>
              </w:rPr>
              <w:t xml:space="preserve">Confidentiality. Adopted in the reworded form published by the authors.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A.5.17; A.8.24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3.5, 3.6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B5</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I16: </w:t>
            </w:r>
            <w:r>
              <w:rPr>
                <w:rFonts w:ascii="Times New Roman" w:cs="Times New Roman" w:eastAsia="Times New Roman" w:hAnsi="Times New Roman"/>
                <w:i/>
                <w:iCs/>
                <w:sz w:val="17"/>
                <w:szCs w:val="17"/>
              </w:rPr>
              <w:t xml:space="preserve">“Protection against external and environmental threats”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Protection against external and environmental threats</w:t>
            </w:r>
          </w:p>
          <w:p>
            <w:pPr>
              <w:spacing w:after="40" w:before="40" w:line="240"/>
              <w:jc w:val="left"/>
            </w:pPr>
            <w:r>
              <w:rPr>
                <w:rFonts w:ascii="Times New Roman" w:cs="Times New Roman" w:eastAsia="Times New Roman" w:hAnsi="Times New Roman"/>
                <w:i/>
                <w:iCs/>
                <w:color w:val="555555"/>
                <w:sz w:val="16"/>
                <w:szCs w:val="16"/>
              </w:rPr>
              <w:t xml:space="preserve">Integrity.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A.7.5; A.8.20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3.5, 3.6, 5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I18: </w:t>
            </w:r>
            <w:r>
              <w:rPr>
                <w:rFonts w:ascii="Times New Roman" w:cs="Times New Roman" w:eastAsia="Times New Roman" w:hAnsi="Times New Roman"/>
                <w:i/>
                <w:iCs/>
                <w:sz w:val="17"/>
                <w:szCs w:val="17"/>
              </w:rPr>
              <w:t xml:space="preserve">“Division of networks according to groups of services, users and information systems”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Division of networks according to groups of services, users and information systems</w:t>
            </w:r>
          </w:p>
          <w:p>
            <w:pPr>
              <w:spacing w:after="40" w:before="40" w:line="240"/>
              <w:jc w:val="left"/>
            </w:pPr>
            <w:r>
              <w:rPr>
                <w:rFonts w:ascii="Times New Roman" w:cs="Times New Roman" w:eastAsia="Times New Roman" w:hAnsi="Times New Roman"/>
                <w:i/>
                <w:iCs/>
                <w:color w:val="555555"/>
                <w:sz w:val="16"/>
                <w:szCs w:val="16"/>
              </w:rPr>
              <w:t xml:space="preserve">Integrity.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A.8.22</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B7</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I19: </w:t>
            </w:r>
            <w:r>
              <w:rPr>
                <w:rFonts w:ascii="Times New Roman" w:cs="Times New Roman" w:eastAsia="Times New Roman" w:hAnsi="Times New Roman"/>
                <w:i/>
                <w:iCs/>
                <w:sz w:val="17"/>
                <w:szCs w:val="17"/>
              </w:rPr>
              <w:t xml:space="preserve">“A policy for the development and acquisition of secure software (reworded by the authors: “There is an effective evaluation for the development and acquisition of secure software”)”</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There is an effective evaluation for the development and acquisition of secure software</w:t>
            </w:r>
          </w:p>
          <w:p>
            <w:pPr>
              <w:spacing w:after="40" w:before="40" w:line="240"/>
              <w:jc w:val="left"/>
            </w:pPr>
            <w:r>
              <w:rPr>
                <w:rFonts w:ascii="Times New Roman" w:cs="Times New Roman" w:eastAsia="Times New Roman" w:hAnsi="Times New Roman"/>
                <w:i/>
                <w:iCs/>
                <w:color w:val="555555"/>
                <w:sz w:val="16"/>
                <w:szCs w:val="16"/>
              </w:rPr>
              <w:t xml:space="preserve">Integrity. Adopted in the reworded form published by the authors.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A.8.25; A.8.29</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3.5, 5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B8</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A21: </w:t>
            </w:r>
            <w:r>
              <w:rPr>
                <w:rFonts w:ascii="Times New Roman" w:cs="Times New Roman" w:eastAsia="Times New Roman" w:hAnsi="Times New Roman"/>
                <w:i/>
                <w:iCs/>
                <w:sz w:val="17"/>
                <w:szCs w:val="17"/>
              </w:rPr>
              <w:t xml:space="preserve">“Effective and consistent management of information security incidents.”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Effective and consistent management of information security incidents</w:t>
            </w:r>
          </w:p>
          <w:p>
            <w:pPr>
              <w:spacing w:after="40" w:before="40" w:line="240"/>
              <w:jc w:val="left"/>
            </w:pPr>
            <w:r>
              <w:rPr>
                <w:rFonts w:ascii="Times New Roman" w:cs="Times New Roman" w:eastAsia="Times New Roman" w:hAnsi="Times New Roman"/>
                <w:i/>
                <w:iCs/>
                <w:color w:val="555555"/>
                <w:sz w:val="16"/>
                <w:szCs w:val="16"/>
              </w:rPr>
              <w:t xml:space="preserve">Integrity.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A.5.24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B9</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A22: </w:t>
            </w:r>
            <w:r>
              <w:rPr>
                <w:rFonts w:ascii="Times New Roman" w:cs="Times New Roman" w:eastAsia="Times New Roman" w:hAnsi="Times New Roman"/>
                <w:i/>
                <w:iCs/>
                <w:sz w:val="17"/>
                <w:szCs w:val="17"/>
              </w:rPr>
              <w:t xml:space="preserve">“Notifications of information security events”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Notifications of information security events</w:t>
            </w:r>
          </w:p>
          <w:p>
            <w:pPr>
              <w:spacing w:after="40" w:before="40" w:line="240"/>
              <w:jc w:val="left"/>
            </w:pPr>
            <w:r>
              <w:rPr>
                <w:rFonts w:ascii="Times New Roman" w:cs="Times New Roman" w:eastAsia="Times New Roman" w:hAnsi="Times New Roman"/>
                <w:i/>
                <w:iCs/>
                <w:color w:val="555555"/>
                <w:sz w:val="16"/>
                <w:szCs w:val="16"/>
              </w:rPr>
              <w:t xml:space="preserve">Integrity.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A.6.8; A.8.16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B10</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A23: </w:t>
            </w:r>
            <w:r>
              <w:rPr>
                <w:rFonts w:ascii="Times New Roman" w:cs="Times New Roman" w:eastAsia="Times New Roman" w:hAnsi="Times New Roman"/>
                <w:i/>
                <w:iCs/>
                <w:sz w:val="17"/>
                <w:szCs w:val="17"/>
              </w:rPr>
              <w:t xml:space="preserve">“A response to security incidents”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 response to security incidents</w:t>
            </w:r>
          </w:p>
          <w:p>
            <w:pPr>
              <w:spacing w:after="40" w:before="40" w:line="240"/>
              <w:jc w:val="left"/>
            </w:pPr>
            <w:r>
              <w:rPr>
                <w:rFonts w:ascii="Times New Roman" w:cs="Times New Roman" w:eastAsia="Times New Roman" w:hAnsi="Times New Roman"/>
                <w:i/>
                <w:iCs/>
                <w:color w:val="555555"/>
                <w:sz w:val="16"/>
                <w:szCs w:val="16"/>
              </w:rPr>
              <w:t xml:space="preserve">Integrity.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A.5.26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B11</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A24: </w:t>
            </w:r>
            <w:r>
              <w:rPr>
                <w:rFonts w:ascii="Times New Roman" w:cs="Times New Roman" w:eastAsia="Times New Roman" w:hAnsi="Times New Roman"/>
                <w:i/>
                <w:iCs/>
                <w:sz w:val="17"/>
                <w:szCs w:val="17"/>
              </w:rPr>
              <w:t xml:space="preserve">“A collection of evidence of security incidents”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 collection of evidence of security incidents</w:t>
            </w:r>
          </w:p>
          <w:p>
            <w:pPr>
              <w:spacing w:after="40" w:before="40" w:line="240"/>
              <w:jc w:val="left"/>
            </w:pPr>
            <w:r>
              <w:rPr>
                <w:rFonts w:ascii="Times New Roman" w:cs="Times New Roman" w:eastAsia="Times New Roman" w:hAnsi="Times New Roman"/>
                <w:i/>
                <w:iCs/>
                <w:color w:val="555555"/>
                <w:sz w:val="16"/>
                <w:szCs w:val="16"/>
              </w:rPr>
              <w:t xml:space="preserve">Integrity.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A.5.28; A.8.15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3.4, 5.4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B12</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P11: </w:t>
            </w:r>
            <w:r>
              <w:rPr>
                <w:rFonts w:ascii="Times New Roman" w:cs="Times New Roman" w:eastAsia="Times New Roman" w:hAnsi="Times New Roman"/>
                <w:i/>
                <w:iCs/>
                <w:sz w:val="17"/>
                <w:szCs w:val="17"/>
              </w:rPr>
              <w:t xml:space="preserve">“Backing up and encrypting files”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Backing up and encrypting files</w:t>
            </w:r>
          </w:p>
          <w:p>
            <w:pPr>
              <w:spacing w:after="40" w:before="40" w:line="240"/>
              <w:jc w:val="left"/>
            </w:pPr>
            <w:r>
              <w:rPr>
                <w:rFonts w:ascii="Times New Roman" w:cs="Times New Roman" w:eastAsia="Times New Roman" w:hAnsi="Times New Roman"/>
                <w:i/>
                <w:iCs/>
                <w:color w:val="555555"/>
                <w:sz w:val="16"/>
                <w:szCs w:val="16"/>
              </w:rPr>
              <w:t xml:space="preserve">Availability.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A.8.13; A.8.24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3.1, 4.3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I17: </w:t>
            </w:r>
            <w:r>
              <w:rPr>
                <w:rFonts w:ascii="Times New Roman" w:cs="Times New Roman" w:eastAsia="Times New Roman" w:hAnsi="Times New Roman"/>
                <w:i/>
                <w:iCs/>
                <w:sz w:val="17"/>
                <w:szCs w:val="17"/>
              </w:rPr>
              <w:t xml:space="preserve">“Documentation of operating procedures”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Documentation of operating procedures</w:t>
            </w:r>
          </w:p>
          <w:p>
            <w:pPr>
              <w:spacing w:after="40" w:before="40" w:line="240"/>
              <w:jc w:val="left"/>
            </w:pPr>
            <w:r>
              <w:rPr>
                <w:rFonts w:ascii="Times New Roman" w:cs="Times New Roman" w:eastAsia="Times New Roman" w:hAnsi="Times New Roman"/>
                <w:i/>
                <w:iCs/>
                <w:color w:val="555555"/>
                <w:sz w:val="16"/>
                <w:szCs w:val="16"/>
              </w:rPr>
              <w:t xml:space="preserve">Availability. Adopted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A.5.37</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B14</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PR7: </w:t>
            </w:r>
            <w:r>
              <w:rPr>
                <w:rFonts w:ascii="Times New Roman" w:cs="Times New Roman" w:eastAsia="Times New Roman" w:hAnsi="Times New Roman"/>
                <w:i/>
                <w:iCs/>
                <w:sz w:val="17"/>
                <w:szCs w:val="17"/>
              </w:rPr>
              <w:t xml:space="preserve">“Planning for business continuity during adverse events (reworded by the authors: “There are business continuity planning policies for business continuity during adverse situations”)”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There are business continuity planning policies for business continuity during adverse situations</w:t>
            </w:r>
          </w:p>
          <w:p>
            <w:pPr>
              <w:spacing w:after="40" w:before="40" w:line="240"/>
              <w:jc w:val="left"/>
            </w:pPr>
            <w:r>
              <w:rPr>
                <w:rFonts w:ascii="Times New Roman" w:cs="Times New Roman" w:eastAsia="Times New Roman" w:hAnsi="Times New Roman"/>
                <w:i/>
                <w:iCs/>
                <w:color w:val="555555"/>
                <w:sz w:val="16"/>
                <w:szCs w:val="16"/>
              </w:rPr>
              <w:t xml:space="preserve">Availability. Adopted in the reworded form published by the authors.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A.5.29; A.5.30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bl>
    <w:p>
      <w:pPr>
        <w:keepNext/>
        <w:spacing w:after="120" w:before="320" w:line="276"/>
        <w:jc w:val="left"/>
      </w:pPr>
      <w:r>
        <w:rPr>
          <w:rFonts w:ascii="Times New Roman" w:cs="Times New Roman" w:eastAsia="Times New Roman" w:hAnsi="Times New Roman"/>
          <w:b/>
          <w:bCs/>
          <w:sz w:val="24"/>
          <w:szCs w:val="24"/>
        </w:rPr>
        <w:t xml:space="preserve">Items Not Adopted</w:t>
      </w:r>
    </w:p>
    <w:p>
      <w:pPr>
        <w:spacing w:after="160" w:before="0" w:line="360"/>
        <w:jc w:val="both"/>
      </w:pPr>
      <w:r>
        <w:rPr>
          <w:rFonts w:ascii="Times New Roman" w:cs="Times New Roman" w:eastAsia="Times New Roman" w:hAnsi="Times New Roman"/>
          <w:sz w:val="24"/>
          <w:szCs w:val="24"/>
        </w:rPr>
        <w:t xml:space="preserve">Because no item was reworded, an item was left out whenever its original wording does not apply to L-SIAMS as written: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400"/>
        <w:gridCol w:w="5240"/>
      </w:tblGrid>
      <w:tr>
        <w:trPr>
          <w:cantSplit/>
          <w:tblHeader/>
        </w:trPr>
        <w:tc>
          <w:tcPr>
            <w:tcW w:type="dxa" w:w="3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Source items</w:t>
            </w:r>
          </w:p>
        </w:tc>
        <w:tc>
          <w:tcPr>
            <w:tcW w:type="dxa" w:w="52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Reason</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Rukhiran et al. TS2 (“I would trust the face recognition system”)</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L-SIAMS uses fingerprint verification, not face recognition.</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Rukhiran et al. TS3 (“Student identification using biometric recognition is reliable”)</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In L-SIAMS only teachers are identified biometrically; students tap RFID cards.</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Phakaedam et al. CIA A13 and A15 (“university systems”)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They refer to university systems; the study site is a private school.</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Phakaedam et al. TECH1–TECH5 (Technology scale)</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Every item refers to “the university” or its laboratories.</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IM-ISMS P13 (“System administration tools (SolarWinds, Active Directory, Nagios, etc.)”)</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L-SIAMS does not use the tools the item names.</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IM-ISMS PR1–PR6, PR8, PR9 (organizational policies and regulations)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They rate the organization’s policies, staffing and legal compliance, not the attendance system. PR7 (business continuity) was adopted as B14.</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IM-ISMS I20 (oversight of third-party services)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L-SIAMS runs entirely on the school’s LAN and uses no third-party or cloud services.</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Phakaedam et al. SN, KNOW, ATT, SE, BI (25 items)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They measure individuals’ norms, knowledge, attitudes and intentions, not system security.</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Rukhiran et al. PU, PEU, ATT, BIU, ASU (18 items)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They measure technology acceptance, not security.</w:t>
            </w:r>
          </w:p>
        </w:tc>
      </w:tr>
    </w:tbl>
    <w:p>
      <w:pPr>
        <w:keepNext/>
        <w:spacing w:after="120" w:before="320" w:line="276"/>
        <w:jc w:val="left"/>
      </w:pPr>
      <w:r>
        <w:rPr>
          <w:rFonts w:ascii="Times New Roman" w:cs="Times New Roman" w:eastAsia="Times New Roman" w:hAnsi="Times New Roman"/>
          <w:b/>
          <w:bCs/>
          <w:sz w:val="24"/>
          <w:szCs w:val="24"/>
        </w:rPr>
        <w:t xml:space="preserve">Why the Adopted Items Must Still Be Validated in This Study</w:t>
      </w:r>
    </w:p>
    <w:p>
      <w:pPr>
        <w:spacing w:after="160" w:before="0" w:line="360"/>
        <w:jc w:val="both"/>
      </w:pPr>
      <w:r>
        <w:rPr>
          <w:rFonts w:ascii="Times New Roman" w:cs="Times New Roman" w:eastAsia="Times New Roman" w:hAnsi="Times New Roman"/>
          <w:sz w:val="24"/>
          <w:szCs w:val="24"/>
        </w:rPr>
        <w:t xml:space="preserve">Adopting items word for word keeps their content, but the reliability figures in Table A were obtained with other respondents and settings, and each subscale here uses only some of the original items. Validity and reliability are therefore re-established for this study:</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The sources were administered to university students and staff in Thailand and Mexico; this study involves the teachers and administrators of a single private school.</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Phakaedam et al. rated the CIA items on a level-of-practice scale (Very Low to Very High). Here they are answered on the agreement scale of Table 3, whose verbal interpretations (Very High to Very Low) match the original labels. Following the authors, the items measure CIA as “perceived results reflecting the extent to which confidentiality, integrity, and availability were maintained during routine system interaction,” here, the use of L-SIAMS.</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In Part A, “the system” and “the biometric recognition” refer to the fingerprint verification of L-SIAMS, as stated in the form’s directions. Item A1 is negatively worded, so it is reverse-scored (6 minus the rating) before means are computed.</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IM-ISMS is a preprint supported by exploratory factor analysis only, and 17 of its 24 items loaded on their intended factors before the authors reworded the rest. Its items are short control phrases, so Form B asks how far each control is in place in L-SIAMS.</w:t>
      </w:r>
    </w:p>
    <w:p>
      <w:pPr>
        <w:spacing w:after="160" w:before="120" w:line="360"/>
        <w:jc w:val="both"/>
      </w:pPr>
      <w:r>
        <w:rPr>
          <w:rFonts w:ascii="Times New Roman" w:cs="Times New Roman" w:eastAsia="Times New Roman" w:hAnsi="Times New Roman"/>
          <w:sz w:val="24"/>
          <w:szCs w:val="24"/>
        </w:rPr>
        <w:t xml:space="preserve">Both MDPI articles are published under the Creative Commons Attribution (CC BY 4.0) licence, which permits reuse with attribution. All three sources must be cited wherever the instrument is described.</w:t>
      </w:r>
    </w:p>
    <w:p>
      <w:pPr>
        <w:keepNext/>
        <w:pageBreakBefore/>
        <w:spacing w:after="120" w:before="0" w:line="276"/>
        <w:jc w:val="left"/>
      </w:pPr>
      <w:r>
        <w:rPr>
          <w:rFonts w:ascii="Times New Roman" w:cs="Times New Roman" w:eastAsia="Times New Roman" w:hAnsi="Times New Roman"/>
          <w:b/>
          <w:bCs/>
          <w:sz w:val="24"/>
          <w:szCs w:val="24"/>
        </w:rPr>
        <w:t xml:space="preserve">Scoring and Interpretation</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Reverse-score item A1 (6 minus the rating), then compute the mean of each item across the respondents who answered it.</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Compute the mean of each subscale: Trust and Security of Fingerprint Verification (A1–A3, teachers only); Confidentiality (A4–A8; B1–B4); Integrity (A9–A13; B5–B11); Availability (A14–A16; B12–B14).</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Report Form A and Form B separately. Form B has a single respondent, so its results are reported item by item with the evidence recorded for each rating.</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Interpret every mean using the ranges below (the same ranges as Table 6 of the manuscript).</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The acceptance criterion is a mean of 3.40 or above (High) for each subscale. Any item rated below 3.40 is reported as a finding, with the evidence or comment given for it.</w:t>
      </w:r>
    </w:p>
    <w:p>
      <w:pPr>
        <w:keepNext/>
        <w:spacing w:after="0" w:before="200" w:line="276"/>
        <w:jc w:val="both"/>
      </w:pPr>
      <w:r>
        <w:rPr>
          <w:rFonts w:ascii="Times New Roman" w:cs="Times New Roman" w:eastAsia="Times New Roman" w:hAnsi="Times New Roman"/>
          <w:b/>
          <w:bCs/>
          <w:sz w:val="24"/>
          <w:szCs w:val="24"/>
        </w:rPr>
        <w:t xml:space="preserve">Scoring Guide</w:t>
      </w:r>
    </w:p>
    <w:p>
      <w:pPr>
        <w:keepNext/>
        <w:spacing w:after="120" w:before="0" w:line="276"/>
        <w:jc w:val="both"/>
      </w:pPr>
      <w:r>
        <w:rPr>
          <w:rFonts w:ascii="Times New Roman" w:cs="Times New Roman" w:eastAsia="Times New Roman" w:hAnsi="Times New Roman"/>
          <w:i/>
          <w:iCs/>
          <w:sz w:val="24"/>
          <w:szCs w:val="24"/>
        </w:rPr>
        <w:t xml:space="preserve">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cantSplit/>
          <w:tblHeader/>
        </w:trPr>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Mean Range</w:t>
            </w:r>
          </w:p>
        </w:tc>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Interpretation</w:t>
            </w:r>
          </w:p>
        </w:tc>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Security Meaning</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4.20 – 5.00</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Very High</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fully implemented and effective</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3.40 – 4.19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High</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implemented and effective</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2.60 – 3.39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Moderate</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partly implemented</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1.80 – 2.59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Low</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weakly implemented</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1.00 – 1.79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Very Low</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not implemented</w:t>
            </w:r>
          </w:p>
        </w:tc>
      </w:tr>
    </w:tbl>
    <w:p>
      <w:pPr>
        <w:pageBreakBefore/>
        <w:spacing w:after="0" w:before="0" w:line="360"/>
        <w:jc w:val="center"/>
      </w:pPr>
      <w:r>
        <w:rPr>
          <w:rFonts w:ascii="Times New Roman" w:cs="Times New Roman" w:eastAsia="Times New Roman" w:hAnsi="Times New Roman"/>
          <w:b/>
          <w:bCs/>
          <w:sz w:val="24"/>
          <w:szCs w:val="24"/>
        </w:rPr>
        <w:t xml:space="preserve">Content Validity Rating Sheet</w:t>
      </w:r>
    </w:p>
    <w:p>
      <w:pPr>
        <w:spacing w:after="200" w:before="0" w:line="360"/>
        <w:jc w:val="center"/>
      </w:pPr>
      <w:r>
        <w:rPr>
          <w:rFonts w:ascii="Times New Roman" w:cs="Times New Roman" w:eastAsia="Times New Roman" w:hAnsi="Times New Roman"/>
          <w:i/>
          <w:iCs/>
          <w:sz w:val="24"/>
          <w:szCs w:val="24"/>
        </w:rPr>
        <w:t xml:space="preserve">For Expert Validators</w:t>
      </w:r>
    </w:p>
    <w:p>
      <w:pPr>
        <w:spacing w:after="160" w:before="0" w:line="276"/>
        <w:jc w:val="both"/>
      </w:pPr>
      <w:r>
        <w:rPr>
          <w:rFonts w:ascii="Times New Roman" w:cs="Times New Roman" w:eastAsia="Times New Roman" w:hAnsi="Times New Roman"/>
          <w:sz w:val="24"/>
          <w:szCs w:val="24"/>
        </w:rPr>
        <w:t xml:space="preserve">Directions: Using the Item Source Matrix, rate how relevant each adopted item is to the construct and ISO/IEC 27001:2022 control it is intended to measure in the context of L-SIAMS. 1 = Not relevant, 2 = Somewhat relevant, 3 = Quite relevant, 4 = Highly relevant. Note any item that respondents may find unclear.</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00"/>
        <w:gridCol w:w="5840"/>
      </w:tblGrid>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Name of validator</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Position / designation</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Field of expertise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Years of experience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Date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bl>
    <w:p>
      <w:pPr>
        <w:spacing w:after="120" w:before="0" w:line="360"/>
        <w:jc w:val="both"/>
      </w:pPr>
      <w:r>
        <w:rPr>
          <w:rFonts w:ascii="Times New Roman" w:cs="Times New Roman" w:eastAsia="Times New Roman" w:hAnsi="Times New Roman"/>
          <w:sz w:val="24"/>
          <w:szCs w:val="24"/>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00"/>
        <w:gridCol w:w="520"/>
        <w:gridCol w:w="520"/>
        <w:gridCol w:w="520"/>
        <w:gridCol w:w="520"/>
        <w:gridCol w:w="5760"/>
      </w:tblGrid>
      <w:tr>
        <w:trPr>
          <w:cantSplit/>
          <w:tblHeader/>
        </w:trPr>
        <w:tc>
          <w:tcPr>
            <w:tcW w:type="dxa" w:w="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Item</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1</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2</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3</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4</w:t>
            </w:r>
          </w:p>
        </w:tc>
        <w:tc>
          <w:tcPr>
            <w:tcW w:type="dxa" w:w="57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Suggested revision / remarks</w:t>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A9</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A10</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B9</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B10</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bl>
    <w:p>
      <w:pPr>
        <w:spacing w:after="160" w:before="240" w:line="360"/>
        <w:jc w:val="both"/>
      </w:pPr>
      <w:r>
        <w:rPr>
          <w:rFonts w:ascii="Times New Roman" w:cs="Times New Roman" w:eastAsia="Times New Roman" w:hAnsi="Times New Roman"/>
          <w:sz w:val="24"/>
          <w:szCs w:val="24"/>
        </w:rPr>
        <w:t xml:space="preserve">Validator’s signature over printed name: ______________________________</w:t>
      </w:r>
    </w:p>
    <w:p>
      <w:pPr>
        <w:keepNext/>
        <w:spacing w:after="120" w:before="240" w:line="276"/>
        <w:jc w:val="left"/>
      </w:pPr>
      <w:r>
        <w:rPr>
          <w:rFonts w:ascii="Times New Roman" w:cs="Times New Roman" w:eastAsia="Times New Roman" w:hAnsi="Times New Roman"/>
          <w:b/>
          <w:bCs/>
          <w:sz w:val="24"/>
          <w:szCs w:val="24"/>
        </w:rPr>
        <w:t xml:space="preserve">Computing the Content Validity Index (for the researchers)</w:t>
      </w:r>
    </w:p>
    <w:p>
      <w:pPr>
        <w:pStyle w:val="ListParagraph"/>
        <w:numPr>
          <w:ilvl w:val="0"/>
          <w:numId w:val="2"/>
        </w:numPr>
        <w:spacing w:after="80" w:before="0" w:line="300"/>
        <w:jc w:val="both"/>
      </w:pPr>
      <w:r>
        <w:rPr>
          <w:rFonts w:ascii="Times New Roman" w:cs="Times New Roman" w:eastAsia="Times New Roman" w:hAnsi="Times New Roman"/>
          <w:b/>
          <w:bCs/>
          <w:sz w:val="24"/>
          <w:szCs w:val="24"/>
        </w:rPr>
        <w:t xml:space="preserve">Item-level CVI (I-CVI) </w:t>
      </w:r>
      <w:r>
        <w:rPr>
          <w:rFonts w:ascii="Times New Roman" w:cs="Times New Roman" w:eastAsia="Times New Roman" w:hAnsi="Times New Roman"/>
          <w:sz w:val="24"/>
          <w:szCs w:val="24"/>
        </w:rPr>
        <w:t xml:space="preserve">= number of experts rating the item 3 or 4 ÷ total number of experts.</w:t>
      </w:r>
    </w:p>
    <w:p>
      <w:pPr>
        <w:pStyle w:val="ListParagraph"/>
        <w:numPr>
          <w:ilvl w:val="0"/>
          <w:numId w:val="2"/>
        </w:numPr>
        <w:spacing w:after="80" w:before="0" w:line="300"/>
        <w:jc w:val="both"/>
      </w:pPr>
      <w:r>
        <w:rPr>
          <w:rFonts w:ascii="Times New Roman" w:cs="Times New Roman" w:eastAsia="Times New Roman" w:hAnsi="Times New Roman"/>
          <w:b/>
          <w:bCs/>
          <w:sz w:val="24"/>
          <w:szCs w:val="24"/>
        </w:rPr>
        <w:t xml:space="preserve">Scale-level CVI (S-CVI/Ave) </w:t>
      </w:r>
      <w:r>
        <w:rPr>
          <w:rFonts w:ascii="Times New Roman" w:cs="Times New Roman" w:eastAsia="Times New Roman" w:hAnsi="Times New Roman"/>
          <w:sz w:val="24"/>
          <w:szCs w:val="24"/>
        </w:rPr>
        <w:t xml:space="preserve">= mean of all I-CVIs of a form.</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With three to five experts, every I-CVI should be 1.00 (Lynn, 1986); with six or more, at least 0.78. An S-CVI/Ave of 0.90 or above indicates excellent content validity (Polit &amp; Beck, 2006). Items below these values are revised or removed before pilot testing.</w:t>
      </w:r>
    </w:p>
    <w:p>
      <w:pPr>
        <w:keepNext/>
        <w:spacing w:after="120" w:before="320" w:line="276"/>
        <w:jc w:val="left"/>
      </w:pPr>
      <w:r>
        <w:rPr>
          <w:rFonts w:ascii="Times New Roman" w:cs="Times New Roman" w:eastAsia="Times New Roman" w:hAnsi="Times New Roman"/>
          <w:b/>
          <w:bCs/>
          <w:sz w:val="24"/>
          <w:szCs w:val="24"/>
        </w:rPr>
        <w:t xml:space="preserve">References for the Instrument</w:t>
      </w:r>
    </w:p>
    <w:p>
      <w:pPr>
        <w:spacing w:after="120" w:before="0" w:line="300"/>
        <w:ind w:left="720" w:hanging="720"/>
        <w:jc w:val="left"/>
      </w:pPr>
      <w:r>
        <w:rPr>
          <w:rFonts w:ascii="Times New Roman" w:cs="Times New Roman" w:eastAsia="Times New Roman" w:hAnsi="Times New Roman"/>
          <w:sz w:val="24"/>
          <w:szCs w:val="24"/>
        </w:rPr>
        <w:t xml:space="preserve">Domínguez Domínguez, R., Flores Laguna, O., &amp; Sánchez-Valdez, J. A. (2023). </w:t>
      </w:r>
      <w:r>
        <w:rPr>
          <w:rFonts w:ascii="Times New Roman" w:cs="Times New Roman" w:eastAsia="Times New Roman" w:hAnsi="Times New Roman"/>
          <w:i/>
          <w:iCs/>
          <w:sz w:val="24"/>
          <w:szCs w:val="24"/>
        </w:rPr>
        <w:t xml:space="preserve">Exploratory analysis of a measurement scale of an information security management system</w:t>
      </w:r>
      <w:r>
        <w:rPr>
          <w:rFonts w:ascii="Times New Roman" w:cs="Times New Roman" w:eastAsia="Times New Roman" w:hAnsi="Times New Roman"/>
          <w:sz w:val="24"/>
          <w:szCs w:val="24"/>
        </w:rPr>
        <w:t xml:space="preserve"> (arXiv:2306.07367). arXiv. https://doi.org/10.48550/arXiv.2306.07367</w:t>
      </w:r>
    </w:p>
    <w:p>
      <w:pPr>
        <w:spacing w:after="120" w:before="0" w:line="300"/>
        <w:ind w:left="720" w:hanging="720"/>
        <w:jc w:val="left"/>
      </w:pPr>
      <w:r>
        <w:rPr>
          <w:rFonts w:ascii="Times New Roman" w:cs="Times New Roman" w:eastAsia="Times New Roman" w:hAnsi="Times New Roman"/>
          <w:sz w:val="24"/>
          <w:szCs w:val="24"/>
        </w:rPr>
        <w:t xml:space="preserve">Phakaedam, C., Savithi, C., &amp; Suttidee, A. (2026). Behavioral and cognitive pathways to information security outcomes in smart universities. </w:t>
      </w:r>
      <w:r>
        <w:rPr>
          <w:rFonts w:ascii="Times New Roman" w:cs="Times New Roman" w:eastAsia="Times New Roman" w:hAnsi="Times New Roman"/>
          <w:i/>
          <w:iCs/>
          <w:sz w:val="24"/>
          <w:szCs w:val="24"/>
        </w:rPr>
        <w:t xml:space="preserve">Data, 11</w:t>
      </w:r>
      <w:r>
        <w:rPr>
          <w:rFonts w:ascii="Times New Roman" w:cs="Times New Roman" w:eastAsia="Times New Roman" w:hAnsi="Times New Roman"/>
          <w:sz w:val="24"/>
          <w:szCs w:val="24"/>
        </w:rPr>
        <w:t xml:space="preserve">(3), 46. https://doi.org/10.3390/data11030046</w:t>
      </w:r>
    </w:p>
    <w:p>
      <w:pPr>
        <w:spacing w:after="120" w:before="0" w:line="300"/>
        <w:ind w:left="720" w:hanging="720"/>
        <w:jc w:val="left"/>
      </w:pPr>
      <w:r>
        <w:rPr>
          <w:rFonts w:ascii="Times New Roman" w:cs="Times New Roman" w:eastAsia="Times New Roman" w:hAnsi="Times New Roman"/>
          <w:sz w:val="24"/>
          <w:szCs w:val="24"/>
        </w:rPr>
        <w:t xml:space="preserve">Rukhiran, M., Wong-In, S., &amp; Netinant, P. (2023). User acceptance factors related to biometric recognition technologies of examination attendance in higher education: TAM model. </w:t>
      </w:r>
      <w:r>
        <w:rPr>
          <w:rFonts w:ascii="Times New Roman" w:cs="Times New Roman" w:eastAsia="Times New Roman" w:hAnsi="Times New Roman"/>
          <w:i/>
          <w:iCs/>
          <w:sz w:val="24"/>
          <w:szCs w:val="24"/>
        </w:rPr>
        <w:t xml:space="preserve">Sustainability, 15</w:t>
      </w:r>
      <w:r>
        <w:rPr>
          <w:rFonts w:ascii="Times New Roman" w:cs="Times New Roman" w:eastAsia="Times New Roman" w:hAnsi="Times New Roman"/>
          <w:sz w:val="24"/>
          <w:szCs w:val="24"/>
        </w:rPr>
        <w:t xml:space="preserve">(4), 3092. https://doi.org/10.3390/su15043092</w:t>
      </w:r>
    </w:p>
    <w:sectPr>
      <w:footerReference w:type="default" r:id="rId6"/>
      <w:pgSz w:w="12240" w:h="15840" w:orient="portrait"/>
      <w:pgMar w:top="1440" w:right="1440" w:bottom="1440" w:left="21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Security Questionnaire Development Guide</dc:title>
  <dc:creator>L-SIAMS Research Team</dc:creator>
  <cp:lastModifiedBy>Un-named</cp:lastModifiedBy>
  <cp:revision>1</cp:revision>
  <dcterms:created xsi:type="dcterms:W3CDTF">2026-10-08T17:52:40.613Z</dcterms:created>
  <dcterms:modified xsi:type="dcterms:W3CDTF">2026-10-08T17:52:40.613Z</dcterms:modified>
</cp:coreProperties>
</file>

<file path=docProps/custom.xml><?xml version="1.0" encoding="utf-8"?>
<Properties xmlns="http://schemas.openxmlformats.org/officeDocument/2006/custom-properties" xmlns:vt="http://schemas.openxmlformats.org/officeDocument/2006/docPropsVTypes"/>
</file>