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covers two classrooms and the results may not transfer uniformly to a full deployment in which every room is instrumented. Performance in large-scale deployment, where increased users and devices may affect efficiency, is therefore outside what this evaluation can establish.</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a structured questionnaire whose items are drawn from the quality characteristics defined in ISO/IEC 25010, allowing measurement of perceived system quality on a five-point Likert scale.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and backed by a MariaDB relational database, and is designed to run on a single server within the school’s Local Area Network.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commentRangeStart w:id="10"/>
      <w:r>
        <w:rPr>
          <w:rFonts w:ascii="Times New Roman" w:cs="Times New Roman" w:eastAsia="Times New Roman" w:hAnsi="Times New Roman"/>
          <w:sz w:val="24"/>
          <w:szCs w:val="24"/>
        </w:rPr>
        <w:t xml:space="preserve">The scope of the evaluation is bounded by the hardware constructed for the prototype. Two classroom terminals were built, so two classrooms can be instrumented at any one time, and the study will be conducted in two classrooms at Top Achievers Private School Inc. The two rooms were selected on the basis of scheduling availability and the practicality of installing and powering a terminal in each room. Within them the study will use total enumeration, also called complete enumeration or a census, in which every member of the accessible population is included rather than a subset drawn from it.</w:t>
      </w:r>
      <w:commentRangeEnd w:id="10"/>
      <w:r>
        <w:commentReference w:id="10"/>
      </w:r>
    </w:p>
    <w:p>
      <w:pPr>
        <w:spacing w:after="0" w:line="480"/>
        <w:ind w:firstLine="720"/>
        <w:jc w:val="both"/>
      </w:pPr>
      <w:r>
        <w:rPr>
          <w:rFonts w:ascii="Times New Roman" w:cs="Times New Roman" w:eastAsia="Times New Roman" w:hAnsi="Times New Roman"/>
          <w:sz w:val="24"/>
          <w:szCs w:val="24"/>
        </w:rPr>
        <w:t xml:space="preserve">The accessible population and its role in the evaluation are shown in Table 2. A total of 52 respondents will take part.</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Respondents and Their Role in the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494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Respondent group</w:t>
            </w:r>
          </w:p>
        </w:tc>
        <w:tc>
          <w:tcPr>
            <w:tcW w:type="dxa" w:w="1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Number</w:t>
            </w:r>
          </w:p>
        </w:tc>
        <w:tc>
          <w:tcPr>
            <w:tcW w:type="dxa" w:w="49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Role in the evaluation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Students (two classrooms)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capture during actual class sessions; source of processing time, waiting time and queue length measurements; respondents to the short form of the perceived-quality questionnaire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Teachers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Session initiation through fingerprint verification; respondents for perceived system quality</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School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 capability, data reliability and decision-making support</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IT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performance, network reliability and effectiveness of the implemented security mechanisms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Total</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Total enumeration is appropriate for this study for three reasons. First, the accessible population is small enough to be included in full, so nothing is gained by drawing a sample from it. Second, attendance is a whole-class process: measuring waiting time and queue length requires every student present to pass through the terminal, and excluding any student would systematically understate the congestion that the study exists to measure. Third, the teacher, administrator and IT administrator groups are already at their full size within the study site, and there is no meaningful way to draw a sample from a single IT administrator.</w:t>
      </w:r>
    </w:p>
    <w:p>
      <w:pPr>
        <w:spacing w:after="0" w:line="480"/>
        <w:ind w:firstLine="720"/>
        <w:jc w:val="both"/>
      </w:pPr>
      <w:commentRangeStart w:id="11"/>
      <w:r>
        <w:rPr>
          <w:rFonts w:ascii="Times New Roman" w:cs="Times New Roman" w:eastAsia="Times New Roman" w:hAnsi="Times New Roman"/>
          <w:sz w:val="24"/>
          <w:szCs w:val="24"/>
        </w:rPr>
        <w:t xml:space="preserve">No sample-size formula, such as Slovin’s formula, is applied in this study. Formulas of that kind estimate how many respondents are required to represent a large population within a tolerable margin of error. Where the entire accessible population is included, there is no sampling error to bound and therefore no sample size to compute. The corresponding limitation is that the findings describe this site and are not claimed to generalise to other schools, which is stated in the Scope and Limitations in Chapter I.</w:t>
      </w:r>
      <w:commentRangeEnd w:id="11"/>
      <w:r>
        <w:commentReference w:id="11"/>
      </w:r>
    </w:p>
    <w:p>
      <w:pPr>
        <w:spacing w:after="0" w:line="480"/>
        <w:ind w:firstLine="720"/>
        <w:jc w:val="both"/>
      </w:pPr>
      <w:r>
        <w:rPr>
          <w:rFonts w:ascii="Times New Roman" w:cs="Times New Roman" w:eastAsia="Times New Roman" w:hAnsi="Times New Roman"/>
          <w:sz w:val="24"/>
          <w:szCs w:val="24"/>
        </w:rPr>
        <w:t xml:space="preserve">Because the student respondents are minors, informed consent will be obtained from a parent or guardian in addition to the assent of the student, as described in the Ethical Considerations in Section 3.9.</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The survey instrument will be a five-point Likert scale questionnaire whose items are derived from the quality characteristics of ISO/IEC 25010. Every instrument in the study yields numeric data; no qualitative instrument is used.</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researcher-made questionnaire will be used to measure perceived system quality. Its items are derived from the quality characteristics defined in ISO/IEC 25010 — functional suitability, performance efficiency, usability, reliability and security — and are answered on the five-point Likert scale interpreted in Table 3. The instrument is administered in two forms. Teachers, the school administrator and the IT administrator answer the full form, which covers every characteristic, since they interact with session control, monitoring, reporting and administration. Students answer a short form limited to the part of the system they actually use, covering the ease and speed of tapping and the clarity of the terminal’s response. Administering the short form to all 42 students rather than to the teaching staff alone means the grand mean rests on the whole accessible population, which makes it far less sensitive to a small number of divergent ratings. System security will be evaluated against ISO/IEC 27001, guided by the CIA framework of confidentiality, integrity and availability, using the results of security testing and the completeness of the recorded audit and security logs as evidence.</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ISO/IEC 25010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2"/>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2"/>
      <w:r>
        <w:commentReference w:id="12"/>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Perceived system quality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ISO/IEC 25010 Likert questionnaire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3.40 (High)</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commentRangeStart w:id="13"/>
      <w:r>
        <w:rPr>
          <w:rFonts w:ascii="Times New Roman" w:cs="Times New Roman" w:eastAsia="Times New Roman" w:hAnsi="Times New Roman"/>
          <w:sz w:val="24"/>
          <w:szCs w:val="24"/>
        </w:rPr>
        <w:t xml:space="preserve">The security criteria in Table 7 are organised under the CIA framework, following the guidance of ISO/IEC 27001. Confidentiality is assessed through the absence of readable sensitive data in captured traffic and the rejection of unauthorised requests. Integrity is assessed through the accuracy of attendance records, the completeness of the audit trail, and the system’s refusal of tampered or replayed requests. Availability is assessed through response time and the successful synchronisation of attendance data retained during network interruption. The study applies ISO/IEC 27001 as a guiding framework at this level rather than performing a control-by-control audit of Annex A.</w:t>
      </w:r>
      <w:commentRangeEnd w:id="13"/>
      <w:r>
        <w:commentReference w:id="13"/>
      </w:r>
    </w:p>
    <w:p>
      <w:pPr>
        <w:spacing w:after="0" w:line="480"/>
        <w:ind w:firstLine="720"/>
        <w:jc w:val="both"/>
      </w:pPr>
      <w:commentRangeStart w:id="14"/>
      <w:r>
        <w:rPr>
          <w:rFonts w:ascii="Times New Roman" w:cs="Times New Roman" w:eastAsia="Times New Roman" w:hAnsi="Times New Roman"/>
          <w:sz w:val="24"/>
          <w:szCs w:val="24"/>
        </w:rPr>
        <w:t xml:space="preserve">The success criterion for perceived system quality is a grand mean of 3.40 or above, which Table 6 interprets as High. The obtained mean will be reported together with its verbal interpretation, so that a result in the Very High band is recorded as such even though the acceptance criterion sits at High. The criterion is deliberately set above the midpoint of the scale: a threshold that a merely Moderate rating could satisfy would not distinguish an acceptable system from an indifferent one.</w:t>
      </w:r>
      <w:commentRangeEnd w:id="14"/>
      <w:r>
        <w:commentReference w:id="14"/>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5"/>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5"/>
      <w:r>
        <w:commentReference w:id="15"/>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w:t>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6"/>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commentRangeEnd w:id="16"/>
      <w:r>
        <w:commentReference w:id="16"/>
      </w:r>
    </w:p>
    <w:p>
      <w:pPr>
        <w:spacing w:after="0" w:line="480"/>
        <w:ind w:firstLine="720"/>
        <w:jc w:val="both"/>
      </w:pPr>
      <w:commentRangeStart w:id="17"/>
      <w:r>
        <w:rPr>
          <w:rFonts w:ascii="Times New Roman" w:cs="Times New Roman" w:eastAsia="Times New Roman" w:hAnsi="Times New Roman"/>
          <w:sz w:val="24"/>
          <w:szCs w:val="24"/>
        </w:rPr>
        <w:t xml:space="preserve">Because a fingerprint reader can fail to read a legitimate teacher — through a wet, dry, or injured finger, or a sensor fault —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7"/>
      <w:r>
        <w:commentReference w:id="17"/>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8"/>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w:t>
      </w:r>
      <w:commentRangeEnd w:id="18"/>
      <w:r>
        <w:commentReference w:id="18"/>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9"/>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9"/>
      <w:r>
        <w:commentReference w:id="19"/>
      </w:r>
    </w:p>
    <w:p>
      <w:pPr>
        <w:spacing w:after="0" w:line="480"/>
        <w:ind w:firstLine="720"/>
        <w:jc w:val="both"/>
      </w:pPr>
      <w:commentRangeStart w:id="20"/>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20"/>
      <w:r>
        <w:commentReference w:id="20"/>
      </w:r>
    </w:p>
    <w:p>
      <w:pPr>
        <w:spacing w:after="0" w:line="480"/>
        <w:ind w:firstLine="720"/>
        <w:jc w:val="both"/>
      </w:pPr>
      <w:commentRangeStart w:id="21"/>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21"/>
      <w:r>
        <w:commentReference w:id="21"/>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22"/>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22"/>
      <w:r>
        <w:commentReference w:id="22"/>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20.</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23"/>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commentRangeEnd w:id="23"/>
      <w:r>
        <w:commentReference w:id="23"/>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10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11</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20.</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4"/>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4"/>
      <w:r>
        <w:commentReference w:id="24"/>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commentRangeStart w:id="25"/>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and are grouped by the security function they demonstrate rather than by menu order, so that each figure supports a specific claim made earlier in this chapter. The database behind them holds seeded demonstration data — a full school of students, sections, schedules and terminals — so that each screen can be shown populated. The record counts and the number of registered terminals in these figures are therefore illustrative of the system at scale, and are not the two-terminal configuration described in Chapter III for the evaluation.</w:t>
      </w:r>
      <w:commentRangeEnd w:id="25"/>
      <w:r>
        <w:commentReference w:id="25"/>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r>
        <w:rPr>
          <w:rFonts w:ascii="Times New Roman" w:cs="Times New Roman" w:eastAsia="Times New Roman" w:hAnsi="Times New Roman"/>
          <w:sz w:val="24"/>
          <w:szCs w:val="24"/>
        </w:rPr>
        <w:t xml:space="preserve">The classroom terminal integrates the ESP32 microcontroller, the MFRC522 RFID reader, and the AS608 optical fingerprint module in a single enclosure intended for mounting at the classroom entry point.</w:t>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Assembled L-SIAMS Classroom Terminal</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completed terminal in its enclosure, front view.</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Terminal Component Layout and Wiring</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opened terminal showing the ESP32, the MFRC522 reader and the AS608 fingerprint module, and their connections.</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Terminal in Classroom Use</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a student tapping an RFID card and, if available, a teacher presenting a fingerprint to open a session.</w:t>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15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16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17.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18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21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78167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22 shows the security event log, in which each recorded event carries its type, severity, source address, and resolution state, implementing the monitoring layer described in Section 4.8 and Table 9.</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1530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the audit trail, which records administrative and attendance activity for accountability and provides the non-repudiation control mapped in Table 10.</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25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26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27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14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147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28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29 and 30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31 and 32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33 shows report generation, and Figure 34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33</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34</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35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35</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18:49:49.436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 one as body text and one incorrectly formatted as a Heading 3. They have been merged into this single paragraph and shifted to past tense, since the system has now been developed.</w:t>
      </w:r>
    </w:p>
  </w:comment>
  <w:comment w:id="1" w:author="Revision Note" w:date="2026-09-01T18:49:49.436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18:49:49.436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18:49:49.436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18:49:49.436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18:49:49.436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 see Section 4.8 and Table 8. Verified in app/Middleware/DeviceAuthMiddleware.php and config/security.php.</w:t>
      </w:r>
    </w:p>
  </w:comment>
  <w:comment w:id="6" w:author="Revision Note" w:date="2026-09-01T18:49:49.436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18:49:49.436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18:49:49.436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18:49:49.436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 run it yourself before the defense if you want to cite its result too.</w:t>
      </w:r>
    </w:p>
  </w:comment>
  <w:comment w:id="10" w:author="Revision Note" w:date="2026-09-01T18:49:49.436Z">
    <w:p>
      <w:pPr>
        <w:spacing w:after="0" w:line="240"/>
      </w:pPr>
      <w:r>
        <w:rPr>
          <w:rFonts w:ascii="Times New Roman" w:cs="Times New Roman" w:eastAsia="Times New Roman" w:hAnsi="Times New Roman"/>
          <w:sz w:val="20"/>
          <w:szCs w:val="20"/>
        </w:rPr>
        <w:t xml:space="preserve">SAMPLING BASIS CORRECTED. An earlier draft attributed the choice of two classrooms to purposive sampling on grounds of teacher willingness. The real determinant is the hardware: two terminals were built for the prototype, so two rooms is the maximum that can be instrumented. Stating the constraint is stronger than stating a preference, because it answers the “why only two, and why those two” question with a fact rather than a judgement. The specific rooms are now attributed to scheduling availability and the practicality of installation, which is an ordinary and expected basis for siting prototype hardware.</w:t>
      </w:r>
    </w:p>
  </w:comment>
  <w:comment w:id="11" w:author="Revision Note" w:date="2026-09-01T18:49:49.436Z">
    <w:p>
      <w:pPr>
        <w:spacing w:after="0" w:line="240"/>
      </w:pPr>
      <w:r>
        <w:rPr>
          <w:rFonts w:ascii="Times New Roman" w:cs="Times New Roman" w:eastAsia="Times New Roman" w:hAnsi="Times New Roman"/>
          <w:sz w:val="20"/>
          <w:szCs w:val="20"/>
        </w:rPr>
        <w:t xml:space="preserve">ADDED PARAGRAPH. Philippine panels routinely ask why Slovin’s formula was not used, and the absence of an answer is read as an oversight rather than a decision. Stating plainly that total enumeration leaves no sampling error to estimate answers the question before it is asked.</w:t>
      </w:r>
    </w:p>
  </w:comment>
  <w:comment w:id="12" w:author="Revision Note" w:date="2026-09-01T18:49:49.436Z">
    <w:p>
      <w:pPr>
        <w:spacing w:after="0" w:line="240"/>
      </w:pPr>
      <w:r>
        <w:rPr>
          <w:rFonts w:ascii="Times New Roman" w:cs="Times New Roman" w:eastAsia="Times New Roman" w:hAnsi="Times New Roman"/>
          <w:sz w:val="20"/>
          <w:szCs w:val="20"/>
        </w:rPr>
        <w:t xml:space="preserve">TYPO CORRECTED. The original read "dev There is no significant difference..." — a stray word "dev" had been left at the start of the null hypothesis. It has been removed.</w:t>
      </w:r>
    </w:p>
  </w:comment>
  <w:comment w:id="13" w:author="Revision Note" w:date="2026-09-01T18:49:49.436Z">
    <w:p>
      <w:pPr>
        <w:spacing w:after="0" w:line="240"/>
      </w:pPr>
      <w:r>
        <w:rPr>
          <w:rFonts w:ascii="Times New Roman" w:cs="Times New Roman" w:eastAsia="Times New Roman" w:hAnsi="Times New Roman"/>
          <w:sz w:val="20"/>
          <w:szCs w:val="20"/>
        </w:rPr>
        <w:t xml:space="preserve">SCOPE OF THE 27001 CLAIM. This paragraph states exactly how far the ISO/IEC 27001 claim goes, which protects you if a panellist asks whether the system was audited against Annex A. If you are later asked to strengthen the compliance claim, the next step would be a Statement of Applicability listing the Annex A controls that apply to the system — access control, cryptography, logging, network security, secure development — with the evidence for each. The system already implements most of them; only the documentation would be new.</w:t>
      </w:r>
    </w:p>
  </w:comment>
  <w:comment w:id="14" w:author="Revision Note" w:date="2026-09-01T18:49:49.436Z">
    <w:p>
      <w:pPr>
        <w:spacing w:after="0" w:line="240"/>
      </w:pPr>
      <w:r>
        <w:rPr>
          <w:rFonts w:ascii="Times New Roman" w:cs="Times New Roman" w:eastAsia="Times New Roman" w:hAnsi="Times New Roman"/>
          <w:sz w:val="20"/>
          <w:szCs w:val="20"/>
        </w:rPr>
        <w:t xml:space="preserve">THRESHOLD SETTLED. Set at High rather than Very High. A criterion in the top band creates downside risk without upside — the study earns nothing for setting a harder bar, but must report a failure if it is missed, and with a small respondent group a few cautious ratings can move the mean across the line. Reporting the obtained mean alongside the criterion means a Very High result is still captured in full.</w:t>
      </w:r>
    </w:p>
  </w:comment>
  <w:comment w:id="15" w:author="Revision Note" w:date="2026-09-01T18:49:49.436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6" w:author="Revision Note" w:date="2026-09-01T18:49:49.436Z">
    <w:p>
      <w:pPr>
        <w:spacing w:after="0" w:line="240"/>
      </w:pPr>
      <w:r>
        <w:rPr>
          <w:rFonts w:ascii="Times New Roman" w:cs="Times New Roman" w:eastAsia="Times New Roman" w:hAnsi="Times New Roman"/>
          <w:sz w:val="20"/>
          <w:szCs w:val="20"/>
        </w:rPr>
        <w:t xml:space="preserve">TECHNICAL CORRECTION. The original named the R307. The prototype uses the AS608, and the manuscript now names only that module throughout. The firmware supports either module because they share a serial protocol, but the study should describe the hardware actually built.</w:t>
      </w:r>
    </w:p>
  </w:comment>
  <w:comment w:id="17" w:author="Revision Note" w:date="2026-09-01T18:49:49.436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 a panel will otherwise ask what happens when the sensor fails.</w:t>
      </w:r>
    </w:p>
  </w:comment>
  <w:comment w:id="18" w:author="Revision Note" w:date="2026-09-01T18:49:49.436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9" w:author="Revision Note" w:date="2026-09-01T18:49:49.436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20" w:author="Revision Note" w:date="2026-09-01T18:49:49.436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21" w:author="Revision Note" w:date="2026-09-01T18:49:49.436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27 stays current.</w:t>
      </w:r>
    </w:p>
  </w:comment>
  <w:comment w:id="22" w:author="Revision Note" w:date="2026-09-01T18:49:49.436Z">
    <w:p>
      <w:pPr>
        <w:spacing w:after="0" w:line="240"/>
      </w:pPr>
      <w:r>
        <w:rPr>
          <w:rFonts w:ascii="Times New Roman" w:cs="Times New Roman" w:eastAsia="Times New Roman" w:hAnsi="Times New Roman"/>
          <w:sz w:val="20"/>
          <w:szCs w:val="20"/>
        </w:rPr>
        <w:t xml:space="preserve">TECHNICAL CORRECTION — THE MOST SIGNIFICANT ONE IN THIS CHAPTER. The original described device authentication as API keys only, and Table 8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23" w:author="Revision Note" w:date="2026-09-01T18:49:49.436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4" w:author="Revision Note" w:date="2026-09-01T18:49:49.436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 w:id="25" w:author="Revision Note" w:date="2026-09-01T18:49:49.436Z">
    <w:p>
      <w:pPr>
        <w:spacing w:after="0" w:line="240"/>
      </w:pPr>
      <w:r>
        <w:rPr>
          <w:rFonts w:ascii="Times New Roman" w:cs="Times New Roman" w:eastAsia="Times New Roman" w:hAnsi="Times New Roman"/>
          <w:sz w:val="20"/>
          <w:szCs w:val="20"/>
        </w:rPr>
        <w:t xml:space="preserve">IMPORTANT DISCLOSURE ADDED. Figure 18 shows five registered terminals and the registers show 142 students, because the screenshots run on seeded demonstration data. Chapter III now states that the prototype comprises two terminals and 42 students. Without this paragraph a panellist comparing the two chapters would find an apparent contradiction, and it is far better to have declared it yourself than to be asked about it.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899b47079f9c02c47cde782db201b32040282bd4.png"/><Relationship Id="rId27" Type="http://schemas.openxmlformats.org/officeDocument/2006/relationships/image" Target="media/0c6229fbdaf2011ad97fdeb018ea15ddc23bd25e.png"/><Relationship Id="rId28" Type="http://schemas.openxmlformats.org/officeDocument/2006/relationships/image" Target="media/8422399f1aeefb71546b8c7476ef273a502b5905.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f1e1cf35d7de0c1142880d8952f0ba16111ed9aa.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2026-09-01T18:49:50.205Z</dcterms:created>
  <dcterms:modified xsi:type="dcterms:W3CDTF">2026-09-01T18:49:50.206Z</dcterms:modified>
</cp:coreProperties>
</file>

<file path=docProps/custom.xml><?xml version="1.0" encoding="utf-8"?>
<Properties xmlns="http://schemas.openxmlformats.org/officeDocument/2006/custom-properties" xmlns:vt="http://schemas.openxmlformats.org/officeDocument/2006/docPropsVTypes"/>
</file>