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RFID readers are deployed at classroom entry points to record attendance at the point of instruction, and fingerprint authentication is used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and will be tested only in selected classrooms, which may not fully reflect performance in large-scale deployment where increased users and devices may affect efficiency.</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structured questionnaires such as the System Usability Scale (SUS) and Technology Acceptance Model (TAM), allowing the evaluation of usability and system acceptance.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an optical fingerprint sensor, and the ESP32 microcontroller, integrated with a web-based platform for monitoring and data management. The web application was implemented in PHP and backed by a MariaDB relational database, deployed on the school server within the LAN.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r>
        <w:rPr>
          <w:rFonts w:ascii="Times New Roman" w:cs="Times New Roman" w:eastAsia="Times New Roman" w:hAnsi="Times New Roman"/>
          <w:sz w:val="24"/>
          <w:szCs w:val="24"/>
        </w:rPr>
        <w:t xml:space="preserve">The participants of the study will include students, faculty members, a school IT administrator, and school administrators from Top Achievers Private School Inc., selected using purposive sampling. A total of 41 participants will be involved to ensure sufficient data for system evaluation.</w:t>
      </w:r>
    </w:p>
    <w:p>
      <w:pPr>
        <w:spacing w:after="0" w:line="480"/>
        <w:ind w:firstLine="720"/>
        <w:jc w:val="both"/>
      </w:pPr>
      <w:r>
        <w:rPr>
          <w:rFonts w:ascii="Times New Roman" w:cs="Times New Roman" w:eastAsia="Times New Roman" w:hAnsi="Times New Roman"/>
          <w:sz w:val="24"/>
          <w:szCs w:val="24"/>
        </w:rPr>
        <w:t xml:space="preserve">Specifically, 30 students will participate in system testing to evaluate attendance speed, waiting time, queue length, and overall system efficiency during actual usage. Eight faculty members will serve as primary respondents who will evaluate system usability, accuracy, and effectiveness in classroom attendance monitoring. One school IT administrator will assess system performance, network reliability, and the effectiveness of implemented security mechanisms. In addition, two school administrators will evaluate the system in terms of monitoring capability, data reliability, and decision-making support.</w:t>
      </w:r>
    </w:p>
    <w:p>
      <w:pPr>
        <w:spacing w:after="0" w:line="480"/>
        <w:ind w:firstLine="720"/>
        <w:jc w:val="both"/>
      </w:pPr>
      <w:r>
        <w:rPr>
          <w:rFonts w:ascii="Times New Roman" w:cs="Times New Roman" w:eastAsia="Times New Roman" w:hAnsi="Times New Roman"/>
          <w:sz w:val="24"/>
          <w:szCs w:val="24"/>
        </w:rPr>
        <w:t xml:space="preserve">Purposive sampling will be used to select participants who have direct interaction with the system, ensuring that the collected data is relevant and based on actual system usage and evaluation.</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and qualitative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Survey instruments will include a 5-point Likert scale questionnaire to measure user perception, usability, efficiency, accuracy, and security.</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 System Usability Scale (SUS) will be used to evaluate system usability, while the Technology Acceptance Model (TAM) will be used to measure user acceptance. ISO/IEC 25010 will be used to assess system quality, and the CIA framework will be used to evaluate system security.</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Survey instruments such as SUS and TAM will be administered after system use to evaluate usability and acceptance.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0"/>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0"/>
      <w:r>
        <w:commentReference w:id="10"/>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Usability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SUS Score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70</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Acceptance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Likert scale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3.0</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1"/>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1"/>
      <w:r>
        <w:commentReference w:id="11"/>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w:t>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2"/>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an optical fingerprint sensor of the AS608 or R307 family is used for its reliability, built-in template storage, and suitability for embedded systems. These components were selected to ensure affordability, efficiency, and ease of deployment in classroom environments.</w:t>
      </w:r>
      <w:commentRangeEnd w:id="12"/>
      <w:r>
        <w:commentReference w:id="12"/>
      </w:r>
    </w:p>
    <w:p>
      <w:pPr>
        <w:spacing w:after="0" w:line="480"/>
        <w:ind w:firstLine="720"/>
        <w:jc w:val="both"/>
      </w:pPr>
      <w:commentRangeStart w:id="13"/>
      <w:r>
        <w:rPr>
          <w:rFonts w:ascii="Times New Roman" w:cs="Times New Roman" w:eastAsia="Times New Roman" w:hAnsi="Times New Roman"/>
          <w:sz w:val="24"/>
          <w:szCs w:val="24"/>
        </w:rPr>
        <w:t xml:space="preserve">Because a fingerprint reader can fail to read a legitimate teacher — through a wet, dry, or injured finger, or a sensor fault —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3"/>
      <w:r>
        <w:commentReference w:id="13"/>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4"/>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w:t>
      </w:r>
      <w:commentRangeEnd w:id="14"/>
      <w:r>
        <w:commentReference w:id="14"/>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5"/>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5"/>
      <w:r>
        <w:commentReference w:id="15"/>
      </w:r>
    </w:p>
    <w:p>
      <w:pPr>
        <w:spacing w:after="0" w:line="480"/>
        <w:ind w:firstLine="720"/>
        <w:jc w:val="both"/>
      </w:pPr>
      <w:commentRangeStart w:id="16"/>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16"/>
      <w:r>
        <w:commentReference w:id="16"/>
      </w:r>
    </w:p>
    <w:p>
      <w:pPr>
        <w:spacing w:after="0" w:line="480"/>
        <w:ind w:firstLine="720"/>
        <w:jc w:val="both"/>
      </w:pPr>
      <w:commentRangeStart w:id="17"/>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17"/>
      <w:r>
        <w:commentReference w:id="17"/>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18"/>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18"/>
      <w:r>
        <w:commentReference w:id="18"/>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7.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deployed in classrooms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20.</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19"/>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8.</w:t>
      </w:r>
      <w:commentRangeEnd w:id="19"/>
      <w:r>
        <w:commentReference w:id="19"/>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9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20.</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0"/>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0"/>
      <w:r>
        <w:commentReference w:id="20"/>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operating against a populated database, and are grouped by the security function they demonstrate rather than by menu order, so that each figure supports a specific claim made earlier in this chapter.</w:t>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r>
        <w:rPr>
          <w:rFonts w:ascii="Times New Roman" w:cs="Times New Roman" w:eastAsia="Times New Roman" w:hAnsi="Times New Roman"/>
          <w:sz w:val="24"/>
          <w:szCs w:val="24"/>
        </w:rPr>
        <w:t xml:space="preserve">The classroom terminal integrates the ESP32 microcontroller, the MFRC522 RFID reader, and the optical fingerprint sensor in a single enclosure mounted at the classroom entry point.</w:t>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Assembled L-SIAMS Classroom Terminal</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completed terminal in its enclosure, front view.</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Terminal Component Layout and Wiring</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opened terminal showing the ESP32, MFRC522 reader and fingerprint sensor, and their connections.</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Terminal in Classroom Use</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a student tapping an RFID card and, if available, a teacher presenting a fingerprint to open a session.</w:t>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15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16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17.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18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21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3435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22 shows the security event log, in which each recorded event carries its type, severity, source address, and resolution state, implementing the monitoring layer described in Section 4.8 and Table 8.</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the audit trail, which records administrative and attendance activity for accountability and provides the non-repudiation control mapped in Table 9.</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25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26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27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814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814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28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29 and 30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31 and 32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33 shows report generation, and Figure 34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33</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34</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35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35</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05:29:23.050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 one as body text and one incorrectly formatted as a Heading 3. They have been merged into this single paragraph and shifted to past tense, since the system has now been developed.</w:t>
      </w:r>
    </w:p>
  </w:comment>
  <w:comment w:id="1" w:author="Revision Note" w:date="2026-09-01T05:29:23.050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05:29:23.050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05:29:23.050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05:29:23.050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05:29:23.050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 see Section 4.8 and Table 7. Verified in app/Middleware/DeviceAuthMiddleware.php and config/security.php.</w:t>
      </w:r>
    </w:p>
  </w:comment>
  <w:comment w:id="6" w:author="Revision Note" w:date="2026-09-01T05:29:23.050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05:29:23.050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05:29:23.050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05:29:23.050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 run it yourself before the defense if you want to cite its result too.</w:t>
      </w:r>
    </w:p>
  </w:comment>
  <w:comment w:id="10" w:author="Revision Note" w:date="2026-09-01T05:29:23.050Z">
    <w:p>
      <w:pPr>
        <w:spacing w:after="0" w:line="240"/>
      </w:pPr>
      <w:r>
        <w:rPr>
          <w:rFonts w:ascii="Times New Roman" w:cs="Times New Roman" w:eastAsia="Times New Roman" w:hAnsi="Times New Roman"/>
          <w:sz w:val="20"/>
          <w:szCs w:val="20"/>
        </w:rPr>
        <w:t xml:space="preserve">TYPO CORRECTED. The original read "dev There is no significant difference..." — a stray word "dev" had been left at the start of the null hypothesis. It has been removed.</w:t>
      </w:r>
    </w:p>
  </w:comment>
  <w:comment w:id="11" w:author="Revision Note" w:date="2026-09-01T05:29:23.050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2" w:author="Revision Note" w:date="2026-09-01T05:29:23.050Z">
    <w:p>
      <w:pPr>
        <w:spacing w:after="0" w:line="240"/>
      </w:pPr>
      <w:r>
        <w:rPr>
          <w:rFonts w:ascii="Times New Roman" w:cs="Times New Roman" w:eastAsia="Times New Roman" w:hAnsi="Times New Roman"/>
          <w:sz w:val="20"/>
          <w:szCs w:val="20"/>
        </w:rPr>
        <w:t xml:space="preserve">TECHNICAL CORRECTION. The original named only the R307. The firmware and documentation support either the AS608 or the R307, which are interchangeable optical sensor modules using the same serial protocol. Naming both is accurate and avoids a contradiction if the assembled unit uses the AS608.</w:t>
      </w:r>
    </w:p>
  </w:comment>
  <w:comment w:id="13" w:author="Revision Note" w:date="2026-09-01T05:29:23.050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 a panel will otherwise ask what happens when the sensor fails.</w:t>
      </w:r>
    </w:p>
  </w:comment>
  <w:comment w:id="14" w:author="Revision Note" w:date="2026-09-01T05:29:23.050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5" w:author="Revision Note" w:date="2026-09-01T05:29:23.050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16" w:author="Revision Note" w:date="2026-09-01T05:29:23.050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17" w:author="Revision Note" w:date="2026-09-01T05:29:23.050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27 stays current.</w:t>
      </w:r>
    </w:p>
  </w:comment>
  <w:comment w:id="18" w:author="Revision Note" w:date="2026-09-01T05:29:23.050Z">
    <w:p>
      <w:pPr>
        <w:spacing w:after="0" w:line="240"/>
      </w:pPr>
      <w:r>
        <w:rPr>
          <w:rFonts w:ascii="Times New Roman" w:cs="Times New Roman" w:eastAsia="Times New Roman" w:hAnsi="Times New Roman"/>
          <w:sz w:val="20"/>
          <w:szCs w:val="20"/>
        </w:rPr>
        <w:t xml:space="preserve">TECHNICAL CORRECTION — THE MOST SIGNIFICANT ONE IN THIS CHAPTER. The original described device authentication as API keys only, and Table 7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19" w:author="Revision Note" w:date="2026-09-01T05:29:23.050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0" w:author="Revision Note" w:date="2026-09-01T05:29:23.050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c9077067a63e3162d746e28766883c2e19a80ce1.png"/><Relationship Id="rId27" Type="http://schemas.openxmlformats.org/officeDocument/2006/relationships/image" Target="media/5ed766437620d8126275f23e619b7fc84a41df33.png"/><Relationship Id="rId28" Type="http://schemas.openxmlformats.org/officeDocument/2006/relationships/image" Target="media/96648c8b4e8ef66c599ecd3b2dbb02fa1419f9b7.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4e4bfe092256aa2c56c7d75ee840bce6b45d0180.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2026-09-01T05:29:23.745Z</dcterms:created>
  <dcterms:modified xsi:type="dcterms:W3CDTF">2026-09-01T05:29:23.745Z</dcterms:modified>
</cp:coreProperties>
</file>

<file path=docProps/custom.xml><?xml version="1.0" encoding="utf-8"?>
<Properties xmlns="http://schemas.openxmlformats.org/officeDocument/2006/custom-properties" xmlns:vt="http://schemas.openxmlformats.org/officeDocument/2006/docPropsVTypes"/>
</file>