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 The methodological flow of the study is presented in Figure 1.</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on the basis of scheduling availability and the practicality of installing and powering a terminal in each room. Within them the study will use total enumeration, also called complete enumeration or a census, in which every member of the accessible population is included rather than a subset drawn from it.</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 respondents to the short form of the perceived-quality questionnaire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r>
        <w:rPr>
          <w:rFonts w:ascii="Times New Roman" w:cs="Times New Roman" w:eastAsia="Times New Roman" w:hAnsi="Times New Roman"/>
          <w:sz w:val="24"/>
          <w:szCs w:val="24"/>
        </w:rPr>
        <w:t xml:space="preserve">Because every member of the accessible population is included, the study reports findings that describe this site, as stated in the Scope and Limitations in Chapter I.</w:t>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functional suitability, performance efficiency, usability, reliability and security. They are answered on the five-point Likert scale interpreted in Table 3. The instrument is administered in two forms. Teachers, the school administrator and the IT administrator answer the full form, which covers every characteristic, since they interact with session control, monitoring, reporting and administration. Students answer a short form limited to the part of the system they actually use, covering the ease and speed of tapping and the clarity of the terminal’s response. Administering the short form to all 42 students rather than to the teaching staff alone means the grand mean rests on the whole accessible population, which makes it far less sensitive to a small number of divergent ratings.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1"/>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1"/>
      <w:r>
        <w:commentReference w:id="11"/>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3.40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2"/>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the level of confidentiality, integrity and availability.</w:t>
      </w:r>
      <w:commentRangeEnd w:id="12"/>
      <w:r>
        <w:commentReference w:id="12"/>
      </w:r>
    </w:p>
    <w:p>
      <w:pPr>
        <w:spacing w:after="0" w:line="480"/>
        <w:ind w:firstLine="720"/>
        <w:jc w:val="both"/>
      </w:pPr>
      <w:commentRangeStart w:id="13"/>
      <w:r>
        <w:rPr>
          <w:rFonts w:ascii="Times New Roman" w:cs="Times New Roman" w:eastAsia="Times New Roman" w:hAnsi="Times New Roman"/>
          <w:sz w:val="24"/>
          <w:szCs w:val="24"/>
        </w:rPr>
        <w:t xml:space="preserve">The success criterion for perceived system quality is a grand mean of 3.40 or above, which Table 6 interprets as High. The obtained mean will be reported together with its verbal interpretation, so that a result in the Very High band is recorded as such even though the acceptance criterion sits at High. The criterion is deliberately set above the midpoint of the scale: a threshold that a merely Moderate rating could satisfy would not distinguish an acceptable system from an indifferent one.</w:t>
      </w:r>
      <w:commentRangeEnd w:id="13"/>
      <w:r>
        <w:commentReference w:id="13"/>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4"/>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4"/>
      <w:r>
        <w:commentReference w:id="14"/>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commentRangeStart w:id="15"/>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commentRangeEnd w:id="15"/>
      <w:r>
        <w:commentReference w:id="15"/>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Across System Layers</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6"/>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Because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 The structure of the device is presented in Figure 7.</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8"/>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commentRangeEnd w:id="18"/>
      <w:r>
        <w:commentReference w:id="18"/>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9"/>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20"/>
      <w:r>
        <w:commentReference w:id="20"/>
      </w:r>
    </w:p>
    <w:p>
      <w:pPr>
        <w:spacing w:after="0" w:line="480"/>
        <w:ind w:firstLine="720"/>
        <w:jc w:val="both"/>
      </w:pPr>
      <w:commentRangeStart w:id="21"/>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2"/>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2"/>
      <w:r>
        <w:commentReference w:id="22"/>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17.</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3"/>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3"/>
      <w:r>
        <w:commentReference w:id="23"/>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17.</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4"/>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4"/>
      <w:r>
        <w:commentReference w:id="24"/>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5"/>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5"/>
      <w:r>
        <w:commentReference w:id="25"/>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commentRangeStart w:id="26"/>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 in Section 3.3. Photographs of the assembled terminal will be included in the final manuscript presentation.</w:t>
      </w:r>
      <w:commentRangeEnd w:id="26"/>
      <w:r>
        <w:commentReference w:id="26"/>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12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13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14.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15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16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17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18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21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22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25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26 and 27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28 and 29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30 shows report generation, and Figure 31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32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19:58:44.919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one as body text and one incorrectly formatted as a Heading 3. They have been merged into this single paragraph and shifted to past tense, since the system has now been developed.</w:t>
      </w:r>
    </w:p>
  </w:comment>
  <w:comment w:id="1" w:author="Revision Note" w:date="2026-09-01T19:58:44.919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19:58:44.919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19:58:44.919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19:58:44.919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19:58:44.919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See Section 4.8 and Table 8. Verified in app/Middleware/DeviceAuthMiddleware.php and config/security.php.</w:t>
      </w:r>
    </w:p>
  </w:comment>
  <w:comment w:id="6" w:author="Revision Note" w:date="2026-09-01T19:58:44.919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19:58:44.919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19:58:44.919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19:58:44.919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Run it yourself before the defense if you want to cite its result too.</w:t>
      </w:r>
    </w:p>
  </w:comment>
  <w:comment w:id="10" w:author="Revision Note" w:date="2026-09-01T19:58:44.919Z">
    <w:p>
      <w:pPr>
        <w:spacing w:after="0" w:line="240"/>
      </w:pPr>
      <w:r>
        <w:rPr>
          <w:rFonts w:ascii="Times New Roman" w:cs="Times New Roman" w:eastAsia="Times New Roman" w:hAnsi="Times New Roman"/>
          <w:sz w:val="20"/>
          <w:szCs w:val="20"/>
        </w:rPr>
        <w:t xml:space="preserve">SAMPLING BASIS CORRECTED. An earlier draft attributed the choice of two classrooms to purposive sampling on grounds of teacher willingness. The real determinant is the hardware: two terminals were built for the prototype, so two rooms is the maximum that can be instrumented. Stating the constraint is stronger than stating a preference, because it answers the “why only two, and why those two” question with a fact rather than a judgement. The specific rooms are now attributed to scheduling availability and the practicality of installation, which is an ordinary and expected basis for siting prototype hardware.</w:t>
      </w:r>
    </w:p>
  </w:comment>
  <w:comment w:id="11" w:author="Revision Note" w:date="2026-09-01T19:58:44.919Z">
    <w:p>
      <w:pPr>
        <w:spacing w:after="0" w:line="240"/>
      </w:pPr>
      <w:r>
        <w:rPr>
          <w:rFonts w:ascii="Times New Roman" w:cs="Times New Roman" w:eastAsia="Times New Roman" w:hAnsi="Times New Roman"/>
          <w:sz w:val="20"/>
          <w:szCs w:val="20"/>
        </w:rPr>
        <w:t xml:space="preserve">TYPO CORRECTED. The original read "dev There is no significant difference...". A stray word "dev" had been left at the start of the null hypothesis. It has been removed.</w:t>
      </w:r>
    </w:p>
  </w:comment>
  <w:comment w:id="12" w:author="Revision Note" w:date="2026-09-01T19:58:44.919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namely access control, cryptography, logging, network security and secure development, with the evidence for each. The system already implements most of them; only the documentation would be new.</w:t>
      </w:r>
    </w:p>
  </w:comment>
  <w:comment w:id="13" w:author="Revision Note" w:date="2026-09-01T19:58:44.919Z">
    <w:p>
      <w:pPr>
        <w:spacing w:after="0" w:line="240"/>
      </w:pPr>
      <w:r>
        <w:rPr>
          <w:rFonts w:ascii="Times New Roman" w:cs="Times New Roman" w:eastAsia="Times New Roman" w:hAnsi="Times New Roman"/>
          <w:sz w:val="20"/>
          <w:szCs w:val="20"/>
        </w:rPr>
        <w:t xml:space="preserve">THRESHOLD SETTLED. Set at High rather than Very High. A criterion in the top band creates downside risk without upside. The study earns nothing for setting a harder bar, but must report a failure if it is missed, and with a small respondent group a few cautious ratings can move the mean across the line. Reporting the obtained mean alongside the criterion means a Very High result is still captured in full.</w:t>
      </w:r>
    </w:p>
  </w:comment>
  <w:comment w:id="14" w:author="Revision Note" w:date="2026-09-01T19:58:44.919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5" w:author="Revision Note" w:date="2026-09-01T19:58:44.919Z">
    <w:p>
      <w:pPr>
        <w:spacing w:after="0" w:line="240"/>
      </w:pPr>
      <w:r>
        <w:rPr>
          <w:rFonts w:ascii="Times New Roman" w:cs="Times New Roman" w:eastAsia="Times New Roman" w:hAnsi="Times New Roman"/>
          <w:sz w:val="20"/>
          <w:szCs w:val="20"/>
        </w:rPr>
        <w:t xml:space="preserve">FIGURE 5 RETITLED. In the original manuscript both Figure 5 and Figure 10 were captioned Data Flow Diagram, which a format check would flag and which makes a cross-reference ambiguous. Figure 5 shows data moving across the architectural layers, from the input layer through the device, network, server and data layers to the application layer, so it is now titled Data Flow Across System Layers. Figure 10, the process-level diagram in Section 4.7, keeps the title Data Flow Diagram. If you prefer different wording, change the caption only; the sentence above refers to it by number.</w:t>
      </w:r>
    </w:p>
  </w:comment>
  <w:comment w:id="16" w:author="Revision Note" w:date="2026-09-01T19:58:44.919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7" w:author="Revision Note" w:date="2026-09-01T19:58:44.919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A panel will otherwise ask what happens when the sensor fails.</w:t>
      </w:r>
    </w:p>
  </w:comment>
  <w:comment w:id="18" w:author="Revision Note" w:date="2026-09-01T19:58:44.919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9" w:author="Revision Note" w:date="2026-09-01T19:58:44.919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20" w:author="Revision Note" w:date="2026-09-01T19:58:44.919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1" w:author="Revision Note" w:date="2026-09-01T19:58:44.919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24 stays current.</w:t>
      </w:r>
    </w:p>
  </w:comment>
  <w:comment w:id="22" w:author="Revision Note" w:date="2026-09-01T19:58:44.919Z">
    <w:p>
      <w:pPr>
        <w:spacing w:after="0" w:line="240"/>
      </w:pPr>
      <w:r>
        <w:rPr>
          <w:rFonts w:ascii="Times New Roman" w:cs="Times New Roman" w:eastAsia="Times New Roman" w:hAnsi="Times New Roman"/>
          <w:sz w:val="20"/>
          <w:szCs w:val="20"/>
        </w:rPr>
        <w:t xml:space="preserve">TECHNICAL CORRECTION,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3" w:author="Revision Note" w:date="2026-09-01T19:58:44.919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4" w:author="Revision Note" w:date="2026-09-01T19:58:44.919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5" w:author="Revision Note" w:date="2026-09-01T19:58:44.919Z">
    <w:p>
      <w:pPr>
        <w:spacing w:after="0" w:line="240"/>
      </w:pPr>
      <w:r>
        <w:rPr>
          <w:rFonts w:ascii="Times New Roman" w:cs="Times New Roman" w:eastAsia="Times New Roman" w:hAnsi="Times New Roman"/>
          <w:sz w:val="20"/>
          <w:szCs w:val="20"/>
        </w:rPr>
        <w:t xml:space="preserve">IMPORTANT DISCLOSURE ADDED. Figure 15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 w:id="26" w:author="Revision Note" w:date="2026-09-01T19:58:44.919Z">
    <w:p>
      <w:pPr>
        <w:spacing w:after="0" w:line="240"/>
      </w:pPr>
      <w:r>
        <w:rPr>
          <w:rFonts w:ascii="Times New Roman" w:cs="Times New Roman" w:eastAsia="Times New Roman" w:hAnsi="Times New Roman"/>
          <w:sz w:val="20"/>
          <w:szCs w:val="20"/>
        </w:rPr>
        <w:t xml:space="preserve">ENCLOSURE CLAIM REMOVED AND UNIT COUNT STATED. An earlier draft described the components as housed in a single enclosure intended for mounting at the classroom entry point. No enclosure has been built, so the claim is withdrawn. The paragraph now also states that two terminals exist, so a reader of Chapter IV reaches the same figure as Chapter III without having to cross-reference.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2026-09-01T19:58:46.191Z</dcterms:created>
  <dcterms:modified xsi:type="dcterms:W3CDTF">2026-09-01T19:58:46.191Z</dcterms:modified>
</cp:coreProperties>
</file>

<file path=docProps/custom.xml><?xml version="1.0" encoding="utf-8"?>
<Properties xmlns="http://schemas.openxmlformats.org/officeDocument/2006/custom-properties" xmlns:vt="http://schemas.openxmlformats.org/officeDocument/2006/docPropsVTypes"/>
</file>