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jc w:val="center"/>
      </w:pPr>
      <w:r>
        <w:rPr>
          <w:rFonts w:ascii="Times New Roman" w:cs="Times New Roman" w:eastAsia="Times New Roman" w:hAnsi="Times New Roman"/>
          <w:b/>
          <w:bCs/>
          <w:sz w:val="24"/>
          <w:szCs w:val="24"/>
        </w:rPr>
        <w:t xml:space="preserve">Manuscript Revisions for the Adapted Security Questionnaire</w:t>
      </w:r>
    </w:p>
    <w:p>
      <w:pPr>
        <w:spacing w:after="240" w:before="0" w:line="360"/>
        <w:jc w:val="center"/>
      </w:pPr>
      <w:r>
        <w:rPr>
          <w:rFonts w:ascii="Times New Roman" w:cs="Times New Roman" w:eastAsia="Times New Roman" w:hAnsi="Times New Roman"/>
          <w:i/>
          <w:iCs/>
          <w:sz w:val="24"/>
          <w:szCs w:val="24"/>
        </w:rPr>
        <w:t xml:space="preserve">L-SIAMS — Chapter III, Appendices and References</w:t>
      </w:r>
    </w:p>
    <w:p>
      <w:pPr>
        <w:spacing w:after="160" w:before="0" w:line="360"/>
        <w:jc w:val="both"/>
      </w:pPr>
      <w:r>
        <w:rPr>
          <w:rFonts w:ascii="Times New Roman" w:cs="Times New Roman" w:eastAsia="Times New Roman" w:hAnsi="Times New Roman"/>
          <w:sz w:val="24"/>
          <w:szCs w:val="24"/>
        </w:rPr>
        <w:t xml:space="preserve">This document lists the changes needed to add the adapted Security Evaluation Questionnaire to the manuscript. Each change shows the current text in gray italics and the revised text below it. Section and table numbers refer to LSIAMS_Manuscript_Revised.docx. The questionnaire itself is in LSIAMS_Security_Questionnaire_ISO27001.docx and goes into the appendices.</w:t>
      </w:r>
    </w:p>
    <w:p>
      <w:pPr>
        <w:keepNext/>
        <w:spacing w:after="120" w:before="240" w:line="276"/>
        <w:jc w:val="left"/>
      </w:pPr>
      <w:r>
        <w:rPr>
          <w:rFonts w:ascii="Times New Roman" w:cs="Times New Roman" w:eastAsia="Times New Roman" w:hAnsi="Times New Roman"/>
          <w:b/>
          <w:bCs/>
          <w:sz w:val="24"/>
          <w:szCs w:val="24"/>
        </w:rPr>
        <w:t xml:space="preserve">1. Section 3.3, Table 2 — Respondents and Their Role in the Evaluation</w:t>
      </w:r>
    </w:p>
    <w:p>
      <w:pPr>
        <w:spacing w:after="160" w:before="0" w:line="360"/>
        <w:jc w:val="both"/>
      </w:pPr>
      <w:r>
        <w:rPr>
          <w:rFonts w:ascii="Times New Roman" w:cs="Times New Roman" w:eastAsia="Times New Roman" w:hAnsi="Times New Roman"/>
          <w:sz w:val="24"/>
          <w:szCs w:val="24"/>
        </w:rPr>
        <w:t xml:space="preserve">Update the “Role in the evaluation” column for three rows. The student row does not change: students only tap their cards and cannot observe the security controls, and this keeps the instrument burden on minors to the short quality form.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200"/>
        <w:gridCol w:w="3220"/>
        <w:gridCol w:w="322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Row</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Current</w:t>
            </w:r>
          </w:p>
        </w:tc>
        <w:tc>
          <w:tcPr>
            <w:tcW w:type="dxa" w:w="322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Revised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Teachers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Session initiation through fingerprint verification; respondents for perceived system quality</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Session initiation through fingerprint verification; respondents for perceived system quality and perceived security (Form A, Parts A–D)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School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Monitoring capability, data reliability and decision-making support</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Monitoring capability, data reliability and decision-making support; respondent for perceived security (Form A, Parts B–D)</w:t>
            </w:r>
          </w:p>
        </w:tc>
      </w:tr>
      <w:tr>
        <w:trPr>
          <w:cantSplit/>
        </w:trPr>
        <w:tc>
          <w:tcPr>
            <w:tcW w:type="dxa" w:w="22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i w:val="false"/>
                <w:iCs w:val="false"/>
                <w:sz w:val="20"/>
                <w:szCs w:val="20"/>
              </w:rPr>
              <w:t xml:space="preserve">IT administrator</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iCs/>
                <w:sz w:val="20"/>
                <w:szCs w:val="20"/>
              </w:rPr>
              <w:t xml:space="preserve">System performance, network reliability and effectiveness of the implemented security mechanisms</w:t>
            </w:r>
          </w:p>
        </w:tc>
        <w:tc>
          <w:tcPr>
            <w:tcW w:type="dxa" w:w="322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val="false"/>
                <w:bCs w:val="false"/>
                <w:i w:val="false"/>
                <w:iCs w:val="false"/>
                <w:sz w:val="20"/>
                <w:szCs w:val="20"/>
              </w:rPr>
              <w:t xml:space="preserve">System performance, network reliability and effectiveness of the implemented security mechanisms; respondent for the technical security assessment (Form B)</w:t>
            </w:r>
          </w:p>
        </w:tc>
      </w:tr>
    </w:tbl>
    <w:p>
      <w:pPr>
        <w:keepNext/>
        <w:spacing w:after="120" w:before="360" w:line="276"/>
        <w:jc w:val="left"/>
      </w:pPr>
      <w:r>
        <w:rPr>
          <w:rFonts w:ascii="Times New Roman" w:cs="Times New Roman" w:eastAsia="Times New Roman" w:hAnsi="Times New Roman"/>
          <w:b/>
          <w:bCs/>
          <w:sz w:val="24"/>
          <w:szCs w:val="24"/>
        </w:rPr>
        <w:t xml:space="preserve">2. Section 3.4 — Data Gathering Instruments</w:t>
      </w:r>
    </w:p>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“A researcher-made questionnaire will be used to measure perceived system quality…”</w:t>
      </w:r>
    </w:p>
    <w:p>
      <w:pPr>
        <w:spacing w:after="160" w:before="0" w:line="300"/>
        <w:ind w:left="360"/>
        <w:jc w:val="both"/>
      </w:pPr>
      <w:r>
        <w:rPr>
          <w:rFonts w:ascii="Times New Roman" w:cs="Times New Roman" w:eastAsia="Times New Roman" w:hAnsi="Times New Roman"/>
          <w:i/>
          <w:iCs/>
          <w:color w:val="595959"/>
          <w:sz w:val="24"/>
          <w:szCs w:val="24"/>
        </w:rPr>
        <w:t xml:space="preserve">System security will be evaluated against ISO/IEC 27001, guided by the CIA framework of confidentiality, integrity and availability, using the results of security testing and the completeness of the recorded audit and security logs as evidence.</w:t>
      </w:r>
    </w:p>
    <w:p>
      <w:pPr>
        <w:spacing w:after="160" w:before="0" w:line="360"/>
        <w:ind w:left="360"/>
        <w:jc w:val="both"/>
      </w:pPr>
      <w:r>
        <w:rPr>
          <w:rFonts w:ascii="Times New Roman" w:cs="Times New Roman" w:eastAsia="Times New Roman" w:hAnsi="Times New Roman"/>
          <w:sz w:val="24"/>
          <w:szCs w:val="24"/>
        </w:rPr>
        <w:t xml:space="preserve">System security will be evaluated against ISO/IEC 27001, guided by the CIA framework of confidentiality, integrity and availability, using two complementary sources of evidence: the results of security testing together with the completeness of the recorded audit and security logs, and an adapted security evaluation questionnaire described below.</w:t>
      </w:r>
    </w:p>
    <w:p>
      <w:pPr>
        <w:keepNext/>
        <w:spacing w:after="60" w:before="120" w:line="276"/>
        <w:jc w:val="both"/>
      </w:pPr>
      <w:r>
        <w:rPr>
          <w:rFonts w:ascii="Times New Roman" w:cs="Times New Roman" w:eastAsia="Times New Roman" w:hAnsi="Times New Roman"/>
          <w:b/>
          <w:bCs/>
          <w:sz w:val="22"/>
          <w:szCs w:val="22"/>
        </w:rPr>
        <w:t xml:space="preserve">Insert as new paragraphs immediately after it</w:t>
      </w:r>
    </w:p>
    <w:p>
      <w:pPr>
        <w:spacing w:after="160" w:before="0" w:line="360"/>
        <w:ind w:left="360"/>
        <w:jc w:val="both"/>
      </w:pPr>
      <w:r>
        <w:rPr>
          <w:rFonts w:ascii="Times New Roman" w:cs="Times New Roman" w:eastAsia="Times New Roman" w:hAnsi="Times New Roman"/>
          <w:sz w:val="24"/>
          <w:szCs w:val="24"/>
        </w:rPr>
        <w:t xml:space="preserve">The security evaluation questionnaire (Appendix __) was adapted and modified from three published instruments whose validity and reliability were established by their authors. The Trust and Security scale of Rukhiran et al. (2023), developed for biometric examination attendance in higher education (α = .932, CR = .932, AVE = .735), was adapted to measure teachers’ trust in the fingerprint verification that opens an attendance session. The CIA Triad scale of Phakaedam et al. (2026), validated through expert review, pilot testing and confirmatory factor analysis with 540 respondents (confidentiality α = .912, integrity α = .921, availability α = .905), provided the confidentiality, integrity and availability items, together with three items of its Technology scale (α = .833). The Information Security Management System Measurement Instrument (IM-ISMS) of Domínguez Domínguez et al. (2023), whose items are based on ISO/IEC 27002 controls (privacy ω = .892, integrity ω = .936, authenticity ω = .932), provided the items for the technical assessment of the controls.</w:t>
      </w:r>
    </w:p>
    <w:p>
      <w:pPr>
        <w:spacing w:after="160" w:before="0" w:line="360"/>
        <w:ind w:left="360"/>
        <w:jc w:val="both"/>
      </w:pPr>
      <w:r>
        <w:rPr>
          <w:rFonts w:ascii="Times New Roman" w:cs="Times New Roman" w:eastAsia="Times New Roman" w:hAnsi="Times New Roman"/>
          <w:sz w:val="24"/>
          <w:szCs w:val="24"/>
        </w:rPr>
        <w:t xml:space="preserve">The items were adapted in three ways: the context was changed to L-SIAMS; items that described a person’s own security practice were reframed as statements about the protection the system provides; and all items were placed on the five-point agreement scale in Table 3. Each adapted item was then aligned with the ISO/IEC 27001:2022 Annex A control it addresses. Because none of the source instruments covers the protection of personal data, one researcher-made item was added to each form for ISO/IEC 27001:2022 A.5.34, in line with the Data Privacy Act commitments in Section 3.9. Items measuring organizational policy, third-party services, personal knowledge and attitudes, or technology acceptance were not adopted, because they fall outside the security of the system itself. The instrument has two forms. Form A (19 items) is answered by the teachers and the school administrator and covers trust in fingerprint verification (answered by teachers only) and the confidentiality, integrity and availability of the system as users experience it. Form B (20 items) is answered by the IT administrator, who inspects the configuration, logs and test results and records the evidence behind each rating. An item adaptation matrix in the same appendix lists the original and adapted wording of every item with its source.</w:t>
      </w:r>
    </w:p>
    <w:p>
      <w:pPr>
        <w:keepNext/>
        <w:spacing w:after="60" w:before="120" w:line="276"/>
        <w:jc w:val="both"/>
      </w:pPr>
      <w:r>
        <w:rPr>
          <w:rFonts w:ascii="Times New Roman" w:cs="Times New Roman" w:eastAsia="Times New Roman" w:hAnsi="Times New Roman"/>
          <w:b/>
          <w:bCs/>
          <w:sz w:val="22"/>
          <w:szCs w:val="22"/>
        </w:rPr>
        <w:t xml:space="preserve">Add to the paragraph on pilot testing (the one beginning “Prior to actual deployment…”)</w:t>
      </w:r>
    </w:p>
    <w:p>
      <w:pPr>
        <w:spacing w:after="160" w:before="0" w:line="360"/>
        <w:ind w:left="360"/>
        <w:jc w:val="both"/>
      </w:pPr>
      <w:r>
        <w:rPr>
          <w:rFonts w:ascii="Times New Roman" w:cs="Times New Roman" w:eastAsia="Times New Roman" w:hAnsi="Times New Roman"/>
          <w:sz w:val="24"/>
          <w:szCs w:val="24"/>
        </w:rPr>
        <w:t xml:space="preserve">Because adapting the items changes their wording, respondents and setting, the validity and reliability reported for the source instruments do not transfer automatically. Before pilot testing, three experts in information technology or information security will rate the relevance of each adapted item to its intended construct and control on a four-point scale, and the item-level (I-CVI) and scale-level (S-CVI/Ave) content validity indices will be computed; items that do not meet the thresholds of Lynn (1986) and Polit and Beck (2006) will be revised or removed. The pilot test will then re-establish the reliability of Form A in the present setting.</w:t>
      </w:r>
    </w:p>
    <w:p>
      <w:pPr>
        <w:keepNext/>
        <w:spacing w:after="120" w:before="360" w:line="276"/>
        <w:jc w:val="left"/>
      </w:pPr>
      <w:r>
        <w:rPr>
          <w:rFonts w:ascii="Times New Roman" w:cs="Times New Roman" w:eastAsia="Times New Roman" w:hAnsi="Times New Roman"/>
          <w:b/>
          <w:bCs/>
          <w:sz w:val="24"/>
          <w:szCs w:val="24"/>
        </w:rPr>
        <w:t xml:space="preserve">3. Section 3.4, Tables 4 and 5 — Instrument and Objective Mapping</w:t>
      </w:r>
    </w:p>
    <w:p>
      <w:pPr>
        <w:spacing w:after="160" w:before="0" w:line="360"/>
        <w:jc w:val="both"/>
      </w:pPr>
      <w:r>
        <w:rPr>
          <w:rFonts w:ascii="Times New Roman" w:cs="Times New Roman" w:eastAsia="Times New Roman" w:hAnsi="Times New Roman"/>
          <w:sz w:val="24"/>
          <w:szCs w:val="24"/>
        </w:rPr>
        <w:t xml:space="preserve">Both mapping tables list only the security testing tools as security instruments. Add the questionnaire so that every Chapter III instrument appears in them.</w:t>
      </w:r>
    </w:p>
    <w:p>
      <w:pPr>
        <w:keepNext/>
        <w:spacing w:after="60" w:before="120" w:line="276"/>
        <w:jc w:val="both"/>
      </w:pPr>
      <w:r>
        <w:rPr>
          <w:rFonts w:ascii="Times New Roman" w:cs="Times New Roman" w:eastAsia="Times New Roman" w:hAnsi="Times New Roman"/>
          <w:b/>
          <w:bCs/>
          <w:sz w:val="22"/>
          <w:szCs w:val="22"/>
        </w:rPr>
        <w:t xml:space="preserve">Table 4 (Instrument–Metric Mapping): revise the security row and add one row below it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rPr>
          <w:cantSplit/>
          <w:tblHeader/>
        </w:trPr>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Objective</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Metric</w:t>
            </w:r>
          </w:p>
        </w:tc>
        <w:tc>
          <w:tcPr>
            <w:tcW w:type="dxa" w:w="28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Instrument</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Ensure security</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Vulnerability severity</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Wireshark, Nmap, </w:t>
            </w:r>
            <w:r>
              <w:rPr>
                <w:rFonts w:ascii="Times New Roman" w:cs="Times New Roman" w:eastAsia="Times New Roman" w:hAnsi="Times New Roman"/>
                <w:b/>
                <w:bCs/>
                <w:sz w:val="20"/>
                <w:szCs w:val="20"/>
              </w:rPr>
              <w:t xml:space="preserve">Hydra</w:t>
            </w:r>
          </w:p>
        </w:tc>
      </w:tr>
      <w:tr>
        <w:trPr>
          <w:cantSplit/>
        </w:trPr>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Ensure security</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Perceived security (CIA) mean</w:t>
            </w:r>
          </w:p>
        </w:tc>
        <w:tc>
          <w:tcPr>
            <w:tcW w:type="dxa" w:w="288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b/>
                <w:bCs/>
                <w:sz w:val="20"/>
                <w:szCs w:val="20"/>
              </w:rPr>
              <w:t xml:space="preserve">Security evaluation questionnaire (Forms A and B)</w:t>
            </w:r>
          </w:p>
        </w:tc>
      </w:tr>
    </w:tbl>
    <w:p>
      <w:pPr>
        <w:spacing w:after="160" w:before="80" w:line="360"/>
        <w:jc w:val="both"/>
      </w:pPr>
      <w:r>
        <w:rPr>
          <w:rFonts w:ascii="Times New Roman" w:cs="Times New Roman" w:eastAsia="Times New Roman" w:hAnsi="Times New Roman"/>
          <w:i/>
          <w:iCs/>
          <w:sz w:val="20"/>
          <w:szCs w:val="20"/>
        </w:rPr>
        <w:t xml:space="preserve">Hydra is added to the existing row because Table 5 and Objective 5.2 already name it. New text is in bold.</w:t>
      </w:r>
    </w:p>
    <w:p>
      <w:pPr>
        <w:keepNext/>
        <w:spacing w:after="60" w:before="120" w:line="276"/>
        <w:jc w:val="both"/>
      </w:pPr>
      <w:r>
        <w:rPr>
          <w:rFonts w:ascii="Times New Roman" w:cs="Times New Roman" w:eastAsia="Times New Roman" w:hAnsi="Times New Roman"/>
          <w:b/>
          <w:bCs/>
          <w:sz w:val="22"/>
          <w:szCs w:val="22"/>
        </w:rPr>
        <w:t xml:space="preserve">Table 5 (SOP–Objectives–Metrics–Instrument Mapping): add one row below the security row</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560"/>
        <w:gridCol w:w="1560"/>
        <w:gridCol w:w="1560"/>
      </w:tblGrid>
      <w:tr>
        <w:trPr>
          <w:cantSplit/>
          <w:tblHeader/>
        </w:trPr>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Statement of the Problem</w:t>
            </w:r>
          </w:p>
        </w:tc>
        <w:tc>
          <w:tcPr>
            <w:tcW w:type="dxa" w:w="1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Objective</w:t>
            </w:r>
          </w:p>
        </w:tc>
        <w:tc>
          <w:tcPr>
            <w:tcW w:type="dxa" w:w="1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Metric</w:t>
            </w:r>
          </w:p>
        </w:tc>
        <w:tc>
          <w:tcPr>
            <w:tcW w:type="dxa" w:w="1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Instrument</w:t>
            </w:r>
          </w:p>
        </w:tc>
        <w:tc>
          <w:tcPr>
            <w:tcW w:type="dxa" w:w="15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Success Criterion</w:t>
            </w:r>
          </w:p>
        </w:tc>
      </w:tr>
      <w:tr>
        <w:trPr>
          <w:cantSplit/>
        </w:trP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How can multi-layer security mechanisms protect attendance data?</w:t>
            </w:r>
          </w:p>
        </w:tc>
        <w:tc>
          <w:tcPr>
            <w:tcW w:type="dxa" w:w="180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Evaluate security against ISO/IEC 27001 guided by the CIA Triad</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Perceived security mean per CIA subscale</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Security evaluation questionnaire (Forms A and B)</w:t>
            </w:r>
          </w:p>
        </w:tc>
        <w:tc>
          <w:tcPr>
            <w:tcW w:type="dxa" w:w="15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Mean ≥ 3.40 (High)</w:t>
            </w:r>
          </w:p>
        </w:tc>
      </w:tr>
    </w:tbl>
    <w:p>
      <w:pPr>
        <w:keepNext/>
        <w:spacing w:after="120" w:before="360" w:line="276"/>
        <w:jc w:val="left"/>
      </w:pPr>
      <w:r>
        <w:rPr>
          <w:rFonts w:ascii="Times New Roman" w:cs="Times New Roman" w:eastAsia="Times New Roman" w:hAnsi="Times New Roman"/>
          <w:b/>
          <w:bCs/>
          <w:sz w:val="24"/>
          <w:szCs w:val="24"/>
        </w:rPr>
        <w:t xml:space="preserve">4. Section 3.5 — Evaluation Procedure</w:t>
      </w:r>
    </w:p>
    <w:p>
      <w:pPr>
        <w:keepNext/>
        <w:spacing w:after="60" w:before="120" w:line="276"/>
        <w:jc w:val="both"/>
      </w:pPr>
      <w:r>
        <w:rPr>
          <w:rFonts w:ascii="Times New Roman" w:cs="Times New Roman" w:eastAsia="Times New Roman" w:hAnsi="Times New Roman"/>
          <w:b/>
          <w:bCs/>
          <w:sz w:val="22"/>
          <w:szCs w:val="22"/>
        </w:rPr>
        <w:t xml:space="preserve">Replace the paragraph that begins “Each instrument will follow a specific evaluation procedure…”</w:t>
      </w:r>
    </w:p>
    <w:p>
      <w:pPr>
        <w:spacing w:after="160" w:before="0" w:line="300"/>
        <w:ind w:left="360"/>
        <w:jc w:val="both"/>
      </w:pPr>
      <w:r>
        <w:rPr>
          <w:rFonts w:ascii="Times New Roman" w:cs="Times New Roman" w:eastAsia="Times New Roman" w:hAnsi="Times New Roman"/>
          <w:i/>
          <w:iCs/>
          <w:color w:val="595959"/>
          <w:sz w:val="24"/>
          <w:szCs w:val="24"/>
        </w:rPr>
        <w:t xml:space="preserve">…The system-quality questionnaire will be administered after system use to measure perceived system quality. Security testing tools will be applied in controlled scenarios to identify vulnerabilities and assess system protection mechanisms. The collected data will then be analyzed based on predefined metrics and evaluation criteria.</w:t>
      </w:r>
    </w:p>
    <w:p>
      <w:pPr>
        <w:spacing w:after="160" w:before="0" w:line="360"/>
        <w:ind w:left="360"/>
        <w:jc w:val="both"/>
      </w:pPr>
      <w:r>
        <w:rPr>
          <w:rFonts w:ascii="Times New Roman" w:cs="Times New Roman" w:eastAsia="Times New Roman" w:hAnsi="Times New Roman"/>
          <w:sz w:val="24"/>
          <w:szCs w:val="24"/>
        </w:rPr>
        <w:t xml:space="preserve">Each instrument will follow a specific evaluation procedure. System logs will be collected during attendance sessions to measure processing time and response time. Observation tools will be used during actual attendance scenarios to record waiting time and queue length. The system-quality questionnaire will be administered after system use to measure perceived system quality. Security testing tools will be applied in controlled scenarios to identify vulnerabilities and assess system protection mechanisms. After the security tests are complete, Form A of the security evaluation questionnaire will be administered to the teachers and the school administrator, and Form B to the IT administrator, who will be given access to the test results and the system logs so that each rating can be supported by evidence. The collected data will then be analyzed based on predefined metrics and evaluation criteria.</w:t>
      </w:r>
    </w:p>
    <w:p>
      <w:pPr>
        <w:keepNext/>
        <w:spacing w:after="120" w:before="360" w:line="276"/>
        <w:jc w:val="left"/>
      </w:pPr>
      <w:r>
        <w:rPr>
          <w:rFonts w:ascii="Times New Roman" w:cs="Times New Roman" w:eastAsia="Times New Roman" w:hAnsi="Times New Roman"/>
          <w:b/>
          <w:bCs/>
          <w:sz w:val="24"/>
          <w:szCs w:val="24"/>
        </w:rPr>
        <w:t xml:space="preserve">5. Section 3.7 — Data Analysis Techniques</w:t>
      </w:r>
    </w:p>
    <w:p>
      <w:pPr>
        <w:keepNext/>
        <w:spacing w:after="60" w:before="120" w:line="276"/>
        <w:jc w:val="both"/>
      </w:pPr>
      <w:r>
        <w:rPr>
          <w:rFonts w:ascii="Times New Roman" w:cs="Times New Roman" w:eastAsia="Times New Roman" w:hAnsi="Times New Roman"/>
          <w:b/>
          <w:bCs/>
          <w:sz w:val="22"/>
          <w:szCs w:val="22"/>
        </w:rPr>
        <w:t xml:space="preserve">Add after the paragraph that begins “Data collected in the study will be analyzed…”</w:t>
      </w:r>
    </w:p>
    <w:p>
      <w:pPr>
        <w:spacing w:after="160" w:before="0" w:line="360"/>
        <w:ind w:left="360"/>
        <w:jc w:val="both"/>
      </w:pPr>
      <w:r>
        <w:rPr>
          <w:rFonts w:ascii="Times New Roman" w:cs="Times New Roman" w:eastAsia="Times New Roman" w:hAnsi="Times New Roman"/>
          <w:sz w:val="24"/>
          <w:szCs w:val="24"/>
        </w:rPr>
        <w:t xml:space="preserve">Responses to the security evaluation questionnaire will be summarized per item and per subscale (trust and security of fingerprint verification, confidentiality, integrity and availability) using the mean and standard deviation, and each mean will be interpreted using Table 6. Form A and Form B are analyzed separately: Form A captures perceived security from the users’ point of view, while Form B is an evidence-based assessment of the technical controls. Since Form B has a single respondent, its results are reported item by item together with the evidence recorded for each rating and are not treated as a statistical sample. The internal consistency of each Form A subscale will be estimated with Cronbach’s alpha using the pilot-test responses, with a value of 0.70 or higher considered acceptable, and compared with the reliability reported for the source instruments.</w:t>
      </w:r>
    </w:p>
    <w:p>
      <w:pPr>
        <w:keepNext/>
        <w:spacing w:after="120" w:before="360" w:line="276"/>
        <w:jc w:val="left"/>
      </w:pPr>
      <w:r>
        <w:rPr>
          <w:rFonts w:ascii="Times New Roman" w:cs="Times New Roman" w:eastAsia="Times New Roman" w:hAnsi="Times New Roman"/>
          <w:b/>
          <w:bCs/>
          <w:sz w:val="24"/>
          <w:szCs w:val="24"/>
        </w:rPr>
        <w:t xml:space="preserve">6. Section 3.8 — System Evaluation Criteria</w:t>
      </w:r>
    </w:p>
    <w:p>
      <w:pPr>
        <w:keepNext/>
        <w:spacing w:after="60" w:before="120" w:line="276"/>
        <w:jc w:val="both"/>
      </w:pPr>
      <w:r>
        <w:rPr>
          <w:rFonts w:ascii="Times New Roman" w:cs="Times New Roman" w:eastAsia="Times New Roman" w:hAnsi="Times New Roman"/>
          <w:b/>
          <w:bCs/>
          <w:sz w:val="22"/>
          <w:szCs w:val="22"/>
        </w:rPr>
        <w:t xml:space="preserve">Add this row to Table 7, directly below “Perceived system quality”</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2160"/>
        <w:gridCol w:w="2160"/>
        <w:gridCol w:w="2160"/>
        <w:gridCol w:w="2160"/>
      </w:tblGrid>
      <w:tr>
        <w:trPr>
          <w:cantSplit/>
          <w:tblHeader/>
        </w:trPr>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Criteria</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Indicator</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Measurement</w:t>
            </w:r>
          </w:p>
        </w:tc>
        <w:tc>
          <w:tcPr>
            <w:tcW w:type="dxa" w:w="21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40" w:before="40" w:line="240"/>
              <w:jc w:val="center"/>
            </w:pPr>
            <w:r>
              <w:rPr>
                <w:rFonts w:ascii="Times New Roman" w:cs="Times New Roman" w:eastAsia="Times New Roman" w:hAnsi="Times New Roman"/>
                <w:b/>
                <w:bCs/>
                <w:sz w:val="20"/>
                <w:szCs w:val="20"/>
              </w:rPr>
              <w:t xml:space="preserve">Success Criteria</w:t>
            </w:r>
          </w:p>
        </w:tc>
      </w:tr>
      <w:tr>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Perceived security (CIA)</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Adapted security evaluation questionnaire aligned with ISO/IEC 27001:2022</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Questionnaire (Forms A and B)</w:t>
            </w:r>
          </w:p>
        </w:tc>
        <w:tc>
          <w:tcPr>
            <w:tcW w:type="dxa" w:w="2160"/>
            <w:tcBorders>
              <w:top w:val="single" w:color="000000" w:sz="4"/>
              <w:left w:val="single" w:color="000000" w:sz="4"/>
              <w:bottom w:val="single" w:color="000000" w:sz="4"/>
              <w:right w:val="single" w:color="000000" w:sz="4"/>
            </w:tcBorders>
            <w:tcMar>
              <w:top w:type="dxa" w:w="40"/>
              <w:left w:type="dxa" w:w="90"/>
              <w:bottom w:type="dxa" w:w="40"/>
              <w:right w:type="dxa" w:w="90"/>
            </w:tcMar>
            <w:vAlign w:val="center"/>
          </w:tcPr>
          <w:p>
            <w:pPr>
              <w:spacing w:after="40" w:before="40" w:line="240"/>
              <w:jc w:val="left"/>
            </w:pPr>
            <w:r>
              <w:rPr>
                <w:rFonts w:ascii="Times New Roman" w:cs="Times New Roman" w:eastAsia="Times New Roman" w:hAnsi="Times New Roman"/>
                <w:sz w:val="20"/>
                <w:szCs w:val="20"/>
              </w:rPr>
              <w:t xml:space="preserve">Mean ≥ 3.40 (High) for each subscale</w:t>
            </w:r>
          </w:p>
        </w:tc>
      </w:tr>
    </w:tbl>
    <w:p>
      <w:pPr>
        <w:keepNext/>
        <w:spacing w:after="60" w:before="120" w:line="276"/>
        <w:jc w:val="both"/>
      </w:pPr>
      <w:r>
        <w:rPr>
          <w:rFonts w:ascii="Times New Roman" w:cs="Times New Roman" w:eastAsia="Times New Roman" w:hAnsi="Times New Roman"/>
          <w:b/>
          <w:bCs/>
          <w:sz w:val="22"/>
          <w:szCs w:val="22"/>
        </w:rPr>
        <w:t xml:space="preserve">Replace the last sentence of the paragraph that begins “The security criteria in Table 7 are organised under the CIA framework…”</w:t>
      </w:r>
    </w:p>
    <w:p>
      <w:pPr>
        <w:spacing w:after="160" w:before="0" w:line="300"/>
        <w:ind w:left="360"/>
        <w:jc w:val="both"/>
      </w:pPr>
      <w:r>
        <w:rPr>
          <w:rFonts w:ascii="Times New Roman" w:cs="Times New Roman" w:eastAsia="Times New Roman" w:hAnsi="Times New Roman"/>
          <w:i/>
          <w:iCs/>
          <w:color w:val="595959"/>
          <w:sz w:val="24"/>
          <w:szCs w:val="24"/>
        </w:rPr>
        <w:t xml:space="preserve">The study applies ISO/IEC 27001 as a guiding framework at the level of confidentiality, integrity and availability.</w:t>
      </w:r>
    </w:p>
    <w:p>
      <w:pPr>
        <w:spacing w:after="160" w:before="0" w:line="360"/>
        <w:ind w:left="360"/>
        <w:jc w:val="both"/>
      </w:pPr>
      <w:r>
        <w:rPr>
          <w:rFonts w:ascii="Times New Roman" w:cs="Times New Roman" w:eastAsia="Times New Roman" w:hAnsi="Times New Roman"/>
          <w:sz w:val="24"/>
          <w:szCs w:val="24"/>
        </w:rPr>
        <w:t xml:space="preserve">The same three pillars structure the security evaluation questionnaire, whose adapted items are aligned with specific Annex A controls, so that each questionnaire result can be read against the technical evidence for the same control. The success criterion for the questionnaire is a mean of 3.40 or above (High) for each subscale, consistent with the criterion for perceived system quality. The study applies ISO/IEC 27001 as a guiding framework for selecting and evaluating controls at the level of confidentiality, integrity and availability; it does not claim certification or full compliance with the standard, which applies to an organization’s information security management system as a whole.</w:t>
      </w:r>
    </w:p>
    <w:p>
      <w:pPr>
        <w:keepNext/>
        <w:spacing w:after="120" w:before="360" w:line="276"/>
        <w:jc w:val="left"/>
      </w:pPr>
      <w:r>
        <w:rPr>
          <w:rFonts w:ascii="Times New Roman" w:cs="Times New Roman" w:eastAsia="Times New Roman" w:hAnsi="Times New Roman"/>
          <w:b/>
          <w:bCs/>
          <w:sz w:val="24"/>
          <w:szCs w:val="24"/>
        </w:rPr>
        <w:t xml:space="preserve">7. Scope and Limitations (Chapter I)</w:t>
      </w:r>
    </w:p>
    <w:p>
      <w:pPr>
        <w:keepNext/>
        <w:spacing w:after="60" w:before="120" w:line="276"/>
        <w:jc w:val="both"/>
      </w:pPr>
      <w:r>
        <w:rPr>
          <w:rFonts w:ascii="Times New Roman" w:cs="Times New Roman" w:eastAsia="Times New Roman" w:hAnsi="Times New Roman"/>
          <w:b/>
          <w:bCs/>
          <w:sz w:val="22"/>
          <w:szCs w:val="22"/>
        </w:rPr>
        <w:t xml:space="preserve">Add at the end of the paragraph on evaluation limitations (the one beginning “Security testing will be conducted through controlled procedures…”)</w:t>
      </w:r>
    </w:p>
    <w:p>
      <w:pPr>
        <w:spacing w:after="160" w:before="0" w:line="360"/>
        <w:ind w:left="360"/>
        <w:jc w:val="both"/>
      </w:pPr>
      <w:r>
        <w:rPr>
          <w:rFonts w:ascii="Times New Roman" w:cs="Times New Roman" w:eastAsia="Times New Roman" w:hAnsi="Times New Roman"/>
          <w:sz w:val="24"/>
          <w:szCs w:val="24"/>
        </w:rPr>
        <w:t xml:space="preserve">The security questionnaire is adapted from instruments validated with university students and staff in other countries; its validity and reliability are re-established for this study through expert review and pilot testing, but its results describe the perceptions of the respondents at the study site.</w:t>
      </w:r>
    </w:p>
    <w:p>
      <w:pPr>
        <w:keepNext/>
        <w:spacing w:after="120" w:before="360" w:line="276"/>
        <w:jc w:val="left"/>
      </w:pPr>
      <w:r>
        <w:rPr>
          <w:rFonts w:ascii="Times New Roman" w:cs="Times New Roman" w:eastAsia="Times New Roman" w:hAnsi="Times New Roman"/>
          <w:b/>
          <w:bCs/>
          <w:sz w:val="24"/>
          <w:szCs w:val="24"/>
        </w:rPr>
        <w:t xml:space="preserve">8. Appendices</w:t>
      </w:r>
    </w:p>
    <w:p>
      <w:pPr>
        <w:spacing w:after="160" w:before="0" w:line="360"/>
        <w:jc w:val="both"/>
      </w:pPr>
      <w:r>
        <w:rPr>
          <w:rFonts w:ascii="Times New Roman" w:cs="Times New Roman" w:eastAsia="Times New Roman" w:hAnsi="Times New Roman"/>
          <w:sz w:val="24"/>
          <w:szCs w:val="24"/>
        </w:rPr>
        <w:t xml:space="preserve">Add the security evaluation questionnaire as a new appendix, placed after the system-quality questionnaire, and replace every “Appendix __” in this document and in the questionnaire with its letter. The appendix contains Form A (Teachers and School Administrator), Form B (IT Administrator) and the Instrument Development Guide, which holds the sources of the adapted items, the item adaptation matrix, the scoring guide and the content validity rating sheet.</w:t>
      </w:r>
    </w:p>
    <w:p>
      <w:pPr>
        <w:keepNext/>
        <w:spacing w:after="120" w:before="360" w:line="276"/>
        <w:jc w:val="left"/>
      </w:pPr>
      <w:r>
        <w:rPr>
          <w:rFonts w:ascii="Times New Roman" w:cs="Times New Roman" w:eastAsia="Times New Roman" w:hAnsi="Times New Roman"/>
          <w:b/>
          <w:bCs/>
          <w:sz w:val="24"/>
          <w:szCs w:val="24"/>
        </w:rPr>
        <w:t xml:space="preserve">9. References</w:t>
      </w:r>
    </w:p>
    <w:p>
      <w:pPr>
        <w:spacing w:after="160" w:before="0" w:line="360"/>
        <w:jc w:val="both"/>
      </w:pPr>
      <w:r>
        <w:rPr>
          <w:rFonts w:ascii="Times New Roman" w:cs="Times New Roman" w:eastAsia="Times New Roman" w:hAnsi="Times New Roman"/>
          <w:sz w:val="24"/>
          <w:szCs w:val="24"/>
        </w:rPr>
        <w:t xml:space="preserve">The reference to ISO/IEC 27001:2022 is already in the manuscript. Add the following:</w:t>
      </w:r>
    </w:p>
    <w:p>
      <w:pPr>
        <w:spacing w:after="160" w:before="0" w:line="360"/>
        <w:ind w:left="720" w:hanging="720"/>
        <w:jc w:val="left"/>
      </w:pPr>
      <w:r>
        <w:rPr>
          <w:rFonts w:ascii="Times New Roman" w:cs="Times New Roman" w:eastAsia="Times New Roman" w:hAnsi="Times New Roman"/>
          <w:sz w:val="24"/>
          <w:szCs w:val="24"/>
        </w:rPr>
        <w:t xml:space="preserve">Domínguez Domínguez, R., Flores Laguna, O., &amp; Sánchez-Valdez, J. A. (2023). </w:t>
      </w:r>
      <w:r>
        <w:rPr>
          <w:rFonts w:ascii="Times New Roman" w:cs="Times New Roman" w:eastAsia="Times New Roman" w:hAnsi="Times New Roman"/>
          <w:i/>
          <w:iCs/>
          <w:sz w:val="24"/>
          <w:szCs w:val="24"/>
        </w:rPr>
        <w:t xml:space="preserve">Exploratory analysis of a measurement scale of an information security management system</w:t>
      </w:r>
      <w:r>
        <w:rPr>
          <w:rFonts w:ascii="Times New Roman" w:cs="Times New Roman" w:eastAsia="Times New Roman" w:hAnsi="Times New Roman"/>
          <w:sz w:val="24"/>
          <w:szCs w:val="24"/>
        </w:rPr>
        <w:t xml:space="preserve"> (arXiv:2306.07367). arXiv. https://doi.org/10.48550/arXiv.2306.07367</w:t>
      </w:r>
    </w:p>
    <w:p>
      <w:pPr>
        <w:spacing w:after="160" w:before="0" w:line="360"/>
        <w:ind w:left="720" w:hanging="720"/>
        <w:jc w:val="left"/>
      </w:pPr>
      <w:r>
        <w:rPr>
          <w:rFonts w:ascii="Times New Roman" w:cs="Times New Roman" w:eastAsia="Times New Roman" w:hAnsi="Times New Roman"/>
          <w:sz w:val="24"/>
          <w:szCs w:val="24"/>
        </w:rPr>
        <w:t xml:space="preserve">International Organization for Standardization. (2022). </w:t>
      </w:r>
      <w:r>
        <w:rPr>
          <w:rFonts w:ascii="Times New Roman" w:cs="Times New Roman" w:eastAsia="Times New Roman" w:hAnsi="Times New Roman"/>
          <w:i/>
          <w:iCs/>
          <w:sz w:val="24"/>
          <w:szCs w:val="24"/>
        </w:rPr>
        <w:t xml:space="preserve">ISO/IEC 27002:2022 Information security, cybersecurity and privacy protection — Information security controls</w:t>
      </w:r>
      <w:r>
        <w:rPr>
          <w:rFonts w:ascii="Times New Roman" w:cs="Times New Roman" w:eastAsia="Times New Roman" w:hAnsi="Times New Roman"/>
          <w:sz w:val="24"/>
          <w:szCs w:val="24"/>
        </w:rPr>
        <w:t xml:space="preserve">. https://www.iso.org/standard/75652.html</w:t>
      </w:r>
    </w:p>
    <w:p>
      <w:pPr>
        <w:spacing w:after="160" w:before="0" w:line="360"/>
        <w:ind w:left="720" w:hanging="720"/>
        <w:jc w:val="left"/>
      </w:pPr>
      <w:r>
        <w:rPr>
          <w:rFonts w:ascii="Times New Roman" w:cs="Times New Roman" w:eastAsia="Times New Roman" w:hAnsi="Times New Roman"/>
          <w:sz w:val="24"/>
          <w:szCs w:val="24"/>
        </w:rPr>
        <w:t xml:space="preserve">Lynn, M. R. (1986). Determination and quantification of content validity. </w:t>
      </w:r>
      <w:r>
        <w:rPr>
          <w:rFonts w:ascii="Times New Roman" w:cs="Times New Roman" w:eastAsia="Times New Roman" w:hAnsi="Times New Roman"/>
          <w:i/>
          <w:iCs/>
          <w:sz w:val="24"/>
          <w:szCs w:val="24"/>
        </w:rPr>
        <w:t xml:space="preserve">Nursing Research, 35</w:t>
      </w:r>
      <w:r>
        <w:rPr>
          <w:rFonts w:ascii="Times New Roman" w:cs="Times New Roman" w:eastAsia="Times New Roman" w:hAnsi="Times New Roman"/>
          <w:sz w:val="24"/>
          <w:szCs w:val="24"/>
        </w:rPr>
        <w:t xml:space="preserve">(6), 382–385.</w:t>
      </w:r>
    </w:p>
    <w:p>
      <w:pPr>
        <w:spacing w:after="160" w:before="0" w:line="360"/>
        <w:ind w:left="720" w:hanging="720"/>
        <w:jc w:val="left"/>
      </w:pPr>
      <w:r>
        <w:rPr>
          <w:rFonts w:ascii="Times New Roman" w:cs="Times New Roman" w:eastAsia="Times New Roman" w:hAnsi="Times New Roman"/>
          <w:sz w:val="24"/>
          <w:szCs w:val="24"/>
        </w:rPr>
        <w:t xml:space="preserve">Phakaedam, C., Savithi, C., &amp; Suttidee, A. (2026). Behavioral and cognitive pathways to information security outcomes in smart universities. </w:t>
      </w:r>
      <w:r>
        <w:rPr>
          <w:rFonts w:ascii="Times New Roman" w:cs="Times New Roman" w:eastAsia="Times New Roman" w:hAnsi="Times New Roman"/>
          <w:i/>
          <w:iCs/>
          <w:sz w:val="24"/>
          <w:szCs w:val="24"/>
        </w:rPr>
        <w:t xml:space="preserve">Data, 11</w:t>
      </w:r>
      <w:r>
        <w:rPr>
          <w:rFonts w:ascii="Times New Roman" w:cs="Times New Roman" w:eastAsia="Times New Roman" w:hAnsi="Times New Roman"/>
          <w:sz w:val="24"/>
          <w:szCs w:val="24"/>
        </w:rPr>
        <w:t xml:space="preserve">(3), 46. https://doi.org/10.3390/data11030046</w:t>
      </w:r>
    </w:p>
    <w:p>
      <w:pPr>
        <w:spacing w:after="160" w:before="0" w:line="360"/>
        <w:ind w:left="720" w:hanging="720"/>
        <w:jc w:val="left"/>
      </w:pPr>
      <w:r>
        <w:rPr>
          <w:rFonts w:ascii="Times New Roman" w:cs="Times New Roman" w:eastAsia="Times New Roman" w:hAnsi="Times New Roman"/>
          <w:sz w:val="24"/>
          <w:szCs w:val="24"/>
        </w:rPr>
        <w:t xml:space="preserve">Polit, D. F., &amp; Beck, C. T. (2006). The content validity index: Are you sure you know what’s being reported? Critique and recommendations. </w:t>
      </w:r>
      <w:r>
        <w:rPr>
          <w:rFonts w:ascii="Times New Roman" w:cs="Times New Roman" w:eastAsia="Times New Roman" w:hAnsi="Times New Roman"/>
          <w:i/>
          <w:iCs/>
          <w:sz w:val="24"/>
          <w:szCs w:val="24"/>
        </w:rPr>
        <w:t xml:space="preserve">Research in Nursing &amp; Health, 29</w:t>
      </w:r>
      <w:r>
        <w:rPr>
          <w:rFonts w:ascii="Times New Roman" w:cs="Times New Roman" w:eastAsia="Times New Roman" w:hAnsi="Times New Roman"/>
          <w:sz w:val="24"/>
          <w:szCs w:val="24"/>
        </w:rPr>
        <w:t xml:space="preserve">(5), 489–497.</w:t>
      </w:r>
    </w:p>
    <w:p>
      <w:pPr>
        <w:spacing w:after="160" w:before="0" w:line="360"/>
        <w:ind w:left="720" w:hanging="720"/>
        <w:jc w:val="left"/>
      </w:pPr>
      <w:r>
        <w:rPr>
          <w:rFonts w:ascii="Times New Roman" w:cs="Times New Roman" w:eastAsia="Times New Roman" w:hAnsi="Times New Roman"/>
          <w:sz w:val="24"/>
          <w:szCs w:val="24"/>
        </w:rPr>
        <w:t xml:space="preserve">Rukhiran, M., Wong-In, S., &amp; Netinant, P. (2023). User acceptance factors related to biometric recognition technologies of examination attendance in higher education: TAM model. </w:t>
      </w:r>
      <w:r>
        <w:rPr>
          <w:rFonts w:ascii="Times New Roman" w:cs="Times New Roman" w:eastAsia="Times New Roman" w:hAnsi="Times New Roman"/>
          <w:i/>
          <w:iCs/>
          <w:sz w:val="24"/>
          <w:szCs w:val="24"/>
        </w:rPr>
        <w:t xml:space="preserve">Sustainability, 15</w:t>
      </w:r>
      <w:r>
        <w:rPr>
          <w:rFonts w:ascii="Times New Roman" w:cs="Times New Roman" w:eastAsia="Times New Roman" w:hAnsi="Times New Roman"/>
          <w:sz w:val="24"/>
          <w:szCs w:val="24"/>
        </w:rPr>
        <w:t xml:space="preserve">(4), 3092. https://doi.org/10.3390/su15043092</w:t>
      </w:r>
    </w:p>
    <w:sectPr>
      <w:footerReference w:type="default" r:id="rId6"/>
      <w:pgSz w:w="12240" w:h="15840" w:orient="portrait"/>
      <w:pgMar w:top="1440" w:right="1440" w:bottom="1440" w:left="21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Security Questionnaire Manuscript Revisions</dc:title>
  <dc:creator>L-SIAMS Research Team</dc:creator>
  <cp:lastModifiedBy>Un-named</cp:lastModifiedBy>
  <cp:revision>1</cp:revision>
  <dcterms:created xsi:type="dcterms:W3CDTF">2026-10-06T20:54:19.391Z</dcterms:created>
  <dcterms:modified xsi:type="dcterms:W3CDTF">2026-10-06T20:54:19.391Z</dcterms:modified>
</cp:coreProperties>
</file>

<file path=docProps/custom.xml><?xml version="1.0" encoding="utf-8"?>
<Properties xmlns="http://schemas.openxmlformats.org/officeDocument/2006/custom-properties" xmlns:vt="http://schemas.openxmlformats.org/officeDocument/2006/docPropsVTypes"/>
</file>