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pPr>
      <w:r>
        <w:rPr>
          <w:b/>
          <w:bCs/>
          <w:color w:val="1F3864"/>
          <w:sz w:val="40"/>
          <w:szCs w:val="40"/>
        </w:rPr>
        <w:t xml:space="preserve">L-SIAMS</w:t>
      </w:r>
    </w:p>
    <w:p>
      <w:pPr>
        <w:spacing w:after="0" w:before="0" w:line="276"/>
      </w:pPr>
      <w:r>
        <w:rPr>
          <w:b/>
          <w:bCs/>
          <w:color w:val="2E5496"/>
          <w:sz w:val="30"/>
          <w:szCs w:val="30"/>
        </w:rPr>
        <w:t xml:space="preserve">Security Questionnaire Defense Script</w:t>
      </w:r>
    </w:p>
    <w:p>
      <w:pPr>
        <w:spacing w:after="200" w:before="0" w:line="276"/>
      </w:pPr>
      <w:r>
        <w:rPr>
          <w:i/>
          <w:iCs/>
          <w:color w:val="555555"/>
          <w:sz w:val="22"/>
          <w:szCs w:val="22"/>
        </w:rPr>
        <w:t xml:space="preserve">Discussing the ISO/IEC 27001 security evaluation under Objective 4.3</w:t>
      </w:r>
    </w:p>
    <w:p>
      <w:pPr>
        <w:spacing w:after="120" w:before="0" w:line="276"/>
      </w:pPr>
      <w:r>
        <w:rPr>
          <w:sz w:val="22"/>
          <w:szCs w:val="22"/>
        </w:rPr>
        <w:t xml:space="preserve">This script explains the security evaluation questionnaire in plain language, in the order a panel usually asks about it. The shaded boxes are lines to say aloud or paraphrase. It ends with likely panel questions and short answers.</w:t>
      </w:r>
    </w:p>
    <w:p>
      <w:pPr>
        <w:keepNext/>
        <w:spacing w:after="120" w:before="320" w:line="276"/>
      </w:pPr>
      <w:r>
        <w:rPr>
          <w:b/>
          <w:bCs/>
          <w:color w:val="1F3864"/>
          <w:sz w:val="30"/>
          <w:szCs w:val="30"/>
        </w:rPr>
        <w:t xml:space="preserve">1. Where it fits in our objectives</w:t>
      </w:r>
    </w:p>
    <w:p>
      <w:pPr>
        <w:spacing w:after="120" w:before="0" w:line="276"/>
      </w:pPr>
      <w:r>
        <w:rPr>
          <w:b/>
          <w:bCs/>
          <w:sz w:val="22"/>
          <w:szCs w:val="22"/>
        </w:rPr>
        <w:t xml:space="preserve">Objective 4.3: </w:t>
      </w:r>
      <w:r>
        <w:rPr>
          <w:i/>
          <w:iCs/>
          <w:sz w:val="22"/>
          <w:szCs w:val="22"/>
        </w:rPr>
        <w:t xml:space="preserve">“Assessing system usability, performance, and reliability using measurable indicators, and evaluating system security against ISO/IEC 27001 guided by the CIA Triad.”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100" w:before="0" w:line="276"/>
            </w:pPr>
            <w:r>
              <w:rPr>
                <w:i/>
                <w:iCs/>
                <w:sz w:val="22"/>
                <w:szCs w:val="22"/>
              </w:rPr>
              <w:t xml:space="preserve">“Our fourth objective asks us to evaluate the security of L-SIAMS against ISO/IEC 27001, guided by the CIA Triad: confidentiality, integrity, and availability.</w:t>
            </w:r>
          </w:p>
          <w:p>
            <w:pPr>
              <w:spacing w:after="0" w:before="0" w:line="276"/>
            </w:pPr>
            <w:r>
              <w:rPr>
                <w:i/>
                <w:iCs/>
                <w:sz w:val="22"/>
                <w:szCs w:val="22"/>
              </w:rPr>
              <w:t xml:space="preserve">We do this in two ways. First, the penetration tests in Objective 5 give us technical proof. Second, the security questionnaire tells us whether the people who use and manage the system also see those protections working. The two together make the security result stronger than either one alone.”</w:t>
            </w:r>
          </w:p>
        </w:tc>
      </w:tr>
    </w:tbl>
    <w:p>
      <w:pPr>
        <w:keepNext/>
        <w:spacing w:after="120" w:before="320" w:line="276"/>
      </w:pPr>
      <w:r>
        <w:rPr>
          <w:b/>
          <w:bCs/>
          <w:color w:val="1F3864"/>
          <w:sz w:val="30"/>
          <w:szCs w:val="30"/>
        </w:rPr>
        <w:t xml:space="preserve">2. Where the questionnaire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100" w:before="0" w:line="276"/>
            </w:pPr>
            <w:r>
              <w:rPr>
                <w:i/>
                <w:iCs/>
                <w:sz w:val="22"/>
                <w:szCs w:val="22"/>
              </w:rPr>
              <w:t xml:space="preserve">“ISO/IEC 27001 does not come with a ready-made questionnaire, so we did not write our items from scratch. We adapted them from three published questionnaires that their authors had already validated.</w:t>
            </w:r>
          </w:p>
          <w:p>
            <w:pPr>
              <w:spacing w:after="100" w:before="0" w:line="276"/>
            </w:pPr>
            <w:r>
              <w:rPr>
                <w:i/>
                <w:iCs/>
                <w:sz w:val="22"/>
                <w:szCs w:val="22"/>
              </w:rPr>
              <w:t xml:space="preserve">The first is the Trust and Security scale of Rukhiran and colleagues, 2023, from a study of biometric attendance in a university, with a Cronbach’s alpha of .932. We adapted it to our teachers’ fingerprint verification.</w:t>
            </w:r>
          </w:p>
          <w:p>
            <w:pPr>
              <w:spacing w:after="100" w:before="0" w:line="276"/>
            </w:pPr>
            <w:r>
              <w:rPr>
                <w:i/>
                <w:iCs/>
                <w:sz w:val="22"/>
                <w:szCs w:val="22"/>
              </w:rPr>
              <w:t xml:space="preserve">The second is the CIA Triad scale of Phakaedam and colleagues, 2026, validated with 540 university respondents, with alphas of .91, .92 and .91 for confidentiality, integrity and availability.</w:t>
            </w:r>
          </w:p>
          <w:p>
            <w:pPr>
              <w:spacing w:after="100" w:before="0" w:line="276"/>
            </w:pPr>
            <w:r>
              <w:rPr>
                <w:i/>
                <w:iCs/>
                <w:sz w:val="22"/>
                <w:szCs w:val="22"/>
              </w:rPr>
              <w:t xml:space="preserve">The third is the IM-ISMS of Domínguez Domínguez and colleagues, 2023, which is based on ISO/IEC 27002, the guidance that accompanies ISO 27001, with reliability between .89 and .95.</w:t>
            </w:r>
          </w:p>
          <w:p>
            <w:pPr>
              <w:spacing w:after="0" w:before="0" w:line="276"/>
            </w:pPr>
            <w:r>
              <w:rPr>
                <w:i/>
                <w:iCs/>
                <w:sz w:val="22"/>
                <w:szCs w:val="22"/>
              </w:rPr>
              <w:t xml:space="preserve">We added only two items of our own, one in each form, on protecting personal data such as fingerprints, because none of the sources covers it and the Data Privacy Act requires it. We then linked every item to the ISO/IEC 27001:2022 Annex A control it checks. We do not claim that the school or the system is ISO 27001 certified; we use the standard as a guide for choosing and checking the controls.”</w:t>
            </w:r>
          </w:p>
        </w:tc>
      </w:tr>
    </w:tbl>
    <w:p>
      <w:pPr>
        <w:keepNext/>
        <w:spacing w:after="120" w:before="320" w:line="276"/>
      </w:pPr>
      <w:r>
        <w:rPr>
          <w:b/>
          <w:bCs/>
          <w:color w:val="1F3864"/>
          <w:sz w:val="30"/>
          <w:szCs w:val="30"/>
        </w:rPr>
        <w:t xml:space="preserve">3. How we adapted the items</w:t>
      </w:r>
    </w:p>
    <w:p>
      <w:pPr>
        <w:spacing w:after="120" w:before="0" w:line="276"/>
      </w:pPr>
      <w:r>
        <w:rPr>
          <w:sz w:val="22"/>
          <w:szCs w:val="22"/>
        </w:rPr>
        <w:t xml:space="preserve">Every item keeps the meaning of its original. Three kinds of change were made, and the final wording was simplified so any respondent can answer easily: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Change</w:t>
            </w:r>
          </w:p>
        </w:tc>
        <w:tc>
          <w:tcPr>
            <w:tcW w:type="dxa" w:w="348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Original item</w:t>
            </w:r>
          </w:p>
        </w:tc>
        <w:tc>
          <w:tcPr>
            <w:tcW w:type="dxa" w:w="348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Adapted item</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bCs/>
                <w:sz w:val="20"/>
                <w:szCs w:val="20"/>
              </w:rPr>
              <w:t xml:space="preserve">Context changed to L-SIAMS</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“The system has high recognition accuracy.” (Rukhiran et al., TS5)</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“The fingerprint scanner is accurate.” (A5)</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bCs/>
                <w:sz w:val="20"/>
                <w:szCs w:val="20"/>
              </w:rPr>
              <w:t xml:space="preserve">Personal practice reframed as system protection</w:t>
            </w:r>
          </w:p>
        </w:tc>
        <w:tc>
          <w:tcPr>
            <w:tcW w:type="dxa" w:w="3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“I refrain from unauthorized modification or deletion of data.” (Phakaedam et al., I9)</w:t>
            </w:r>
          </w:p>
        </w:tc>
        <w:tc>
          <w:tcPr>
            <w:tcW w:type="dxa" w:w="3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“Attendance records cannot be changed or deleted without permission.” (A15)</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bCs/>
                <w:sz w:val="20"/>
                <w:szCs w:val="20"/>
              </w:rPr>
              <w:t xml:space="preserve">Control phrase turned into a statement</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“A collection of evidence of security incidents” (IM-ISMS, A24)</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“The system keeps proof of security problems in its audit and security logs.” (B15)</w:t>
            </w:r>
          </w:p>
        </w:tc>
      </w:tr>
    </w:tbl>
    <w:p>
      <w:pPr>
        <w:spacing w:after="60" w:before="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0" w:before="0" w:line="276"/>
            </w:pPr>
            <w:r>
              <w:rPr>
                <w:i/>
                <w:iCs/>
                <w:sz w:val="22"/>
                <w:szCs w:val="22"/>
              </w:rPr>
              <w:t xml:space="preserve">“The appendix has an adaptation matrix that shows, for every item, the original wording, the source, our adapted wording, and the ISO 27001 control and objective it addresses. Items that measure things outside our system, such as school-wide policies or personal attitudes, were left out, and we list why.”</w:t>
            </w:r>
          </w:p>
        </w:tc>
      </w:tr>
    </w:tbl>
    <w:p>
      <w:pPr>
        <w:keepNext/>
        <w:spacing w:after="120" w:before="320" w:line="276"/>
      </w:pPr>
      <w:r>
        <w:rPr>
          <w:b/>
          <w:bCs/>
          <w:color w:val="1F3864"/>
          <w:sz w:val="30"/>
          <w:szCs w:val="30"/>
        </w:rPr>
        <w:t xml:space="preserve">4. Who answers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Form</w:t>
            </w:r>
          </w:p>
        </w:tc>
        <w:tc>
          <w:tcPr>
            <w:tcW w:type="dxa" w:w="230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Respondents</w:t>
            </w:r>
          </w:p>
        </w:tc>
        <w:tc>
          <w:tcPr>
            <w:tcW w:type="dxa" w:w="496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What it covers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bCs/>
                <w:sz w:val="20"/>
                <w:szCs w:val="20"/>
              </w:rPr>
              <w:t xml:space="preserve">Form A — 19 items</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8 teachers and the school administrator</w:t>
            </w:r>
          </w:p>
        </w:tc>
        <w:tc>
          <w:tcPr>
            <w:tcW w:type="dxa" w:w="4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Trust in fingerprint verification (teachers only), then the confidentiality, integrity and availability of the system as users experience it.</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bCs/>
                <w:sz w:val="20"/>
                <w:szCs w:val="20"/>
              </w:rPr>
              <w:t xml:space="preserve">Form B — 20 items</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IT administrator</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The technical controls: authentication, access restriction, encryption, key management, intrusion blocking, incident handling, logs, backups and continuity. Each rating is backed by evidence such as a log entry or test result.</w:t>
            </w:r>
          </w:p>
        </w:tc>
      </w:tr>
    </w:tbl>
    <w:p>
      <w:pPr>
        <w:spacing w:after="60" w:before="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0" w:before="0" w:line="276"/>
            </w:pPr>
            <w:r>
              <w:rPr>
                <w:i/>
                <w:iCs/>
                <w:sz w:val="22"/>
                <w:szCs w:val="22"/>
              </w:rPr>
              <w:t xml:space="preserve">“We split it into two forms because teachers can only judge what they see, while the IT administrator can inspect the settings and logs. Students do not answer the security form, because they only tap their cards and cannot observe these controls. They answer the short system-quality form instead.”</w:t>
            </w:r>
          </w:p>
        </w:tc>
      </w:tr>
    </w:tbl>
    <w:p>
      <w:pPr>
        <w:keepNext/>
        <w:spacing w:after="120" w:before="320" w:line="276"/>
      </w:pPr>
      <w:r>
        <w:rPr>
          <w:b/>
          <w:bCs/>
          <w:color w:val="1F3864"/>
          <w:sz w:val="30"/>
          <w:szCs w:val="30"/>
        </w:rPr>
        <w:t xml:space="preserve">5. How it connects to Objectives 3 and 5</w:t>
      </w:r>
    </w:p>
    <w:p>
      <w:pPr>
        <w:spacing w:after="120" w:before="0" w:line="276"/>
      </w:pPr>
      <w:r>
        <w:rPr>
          <w:sz w:val="22"/>
          <w:szCs w:val="22"/>
        </w:rPr>
        <w:t xml:space="preserve">Each security mechanism we built (Objective 3) is checked twice: by questionnaire items and by a test (Objective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200"/>
        <w:gridCol w:w="2560"/>
      </w:tblGrid>
      <w:tr>
        <w:trPr>
          <w:tblHeader/>
        </w:trPr>
        <w:tc>
          <w:tcPr>
            <w:tcW w:type="dxa" w:w="270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Security mechanism (Obj. 3)</w:t>
            </w:r>
          </w:p>
        </w:tc>
        <w:tc>
          <w:tcPr>
            <w:tcW w:type="dxa" w:w="190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Annex A control</w:t>
            </w:r>
          </w:p>
        </w:tc>
        <w:tc>
          <w:tcPr>
            <w:tcW w:type="dxa" w:w="220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Questionnaire items</w:t>
            </w:r>
          </w:p>
        </w:tc>
        <w:tc>
          <w:tcPr>
            <w:tcW w:type="dxa" w:w="2560"/>
            <w:tcBorders>
              <w:top w:val="single" w:color="BFBFBF" w:sz="4"/>
              <w:left w:val="single" w:color="BFBFBF" w:sz="4"/>
              <w:bottom w:val="single" w:color="BFBFBF" w:sz="4"/>
              <w:right w:val="single" w:color="BFBFBF" w:sz="4"/>
            </w:tcBorders>
            <w:shd w:fill="2E5496" w:color="auto" w:val="clear"/>
            <w:tcMar>
              <w:top w:type="dxa" w:w="60"/>
              <w:left w:type="dxa" w:w="100"/>
              <w:bottom w:type="dxa" w:w="60"/>
              <w:right w:type="dxa" w:w="100"/>
            </w:tcMar>
          </w:tcPr>
          <w:p>
            <w:pPr>
              <w:spacing w:after="0" w:before="0" w:line="252"/>
            </w:pPr>
            <w:r>
              <w:rPr>
                <w:b/>
                <w:bCs/>
                <w:color w:val="FFFFFF"/>
                <w:sz w:val="20"/>
                <w:szCs w:val="20"/>
              </w:rPr>
              <w:t xml:space="preserve">Test (Obj. 5)</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bCs/>
                <w:sz w:val="20"/>
                <w:szCs w:val="20"/>
              </w:rPr>
              <w:t xml:space="preserve">3.1 Encrypted communication</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A.8.24</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A7, B5</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5.1 Wireshark — no readable data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bCs/>
                <w:sz w:val="20"/>
                <w:szCs w:val="20"/>
              </w:rPr>
              <w:t xml:space="preserve">3.2 Authentication and RBAC</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A.5.15, A.5.17, A.8.5</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A1–A6, A9, A14, A15, B1, B2</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5.2 Hydra — login attempts blocked</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bCs/>
                <w:sz w:val="20"/>
                <w:szCs w:val="20"/>
              </w:rPr>
              <w:t xml:space="preserve">3.3 / 3.6 Network access control, IP filtering and firewall</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A.8.20, A.8.22</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A10, B3, B4, B10</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5.3 Nmap — only allowed ports open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bCs/>
                <w:sz w:val="20"/>
                <w:szCs w:val="20"/>
              </w:rPr>
              <w:t xml:space="preserve">3.4 Audit logging</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A.8.15, A.5.28</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A16, B12–B15</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5.4 Forged requests appear in the logs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bCs/>
                <w:sz w:val="20"/>
                <w:szCs w:val="20"/>
              </w:rPr>
              <w:t xml:space="preserve">3.5 / 3.6 Application protection, user information and device authentication</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A.8.26, A.5.17, A.5.34</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A11, A13, B6–B9, B11</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before="0" w:line="252"/>
            </w:pPr>
            <w:r>
              <w:rPr>
                <w:b w:val="false"/>
                <w:bCs w:val="false"/>
                <w:sz w:val="20"/>
                <w:szCs w:val="20"/>
              </w:rPr>
              <w:t xml:space="preserve">5.4 Forged device requests rejected</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bCs/>
                <w:sz w:val="20"/>
                <w:szCs w:val="20"/>
              </w:rPr>
              <w:t xml:space="preserve">Availability (Obj. 4.3)</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A.5.30, A.8.13</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A17–A19, B16–B20</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before="0" w:line="252"/>
            </w:pPr>
            <w:r>
              <w:rPr>
                <w:b w:val="false"/>
                <w:bCs w:val="false"/>
                <w:sz w:val="20"/>
                <w:szCs w:val="20"/>
              </w:rPr>
              <w:t xml:space="preserve">Data sync after simulated network interruption</w:t>
            </w:r>
          </w:p>
        </w:tc>
      </w:tr>
    </w:tbl>
    <w:p>
      <w:pPr>
        <w:spacing w:after="60" w:before="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0" w:before="0" w:line="276"/>
            </w:pPr>
            <w:r>
              <w:rPr>
                <w:i/>
                <w:iCs/>
                <w:sz w:val="22"/>
                <w:szCs w:val="22"/>
              </w:rPr>
              <w:t xml:space="preserve">“For example, for encryption, the teachers rate the statement that information is sent only through secured channels, the IT administrator rates the encryption of data and backups, and Wireshark shows that no readable data crosses the network. When the ratings and the test agree, the result is well supported.”</w:t>
            </w:r>
          </w:p>
        </w:tc>
      </w:tr>
    </w:tbl>
    <w:p>
      <w:pPr>
        <w:keepNext/>
        <w:spacing w:after="120" w:before="320" w:line="276"/>
      </w:pPr>
      <w:r>
        <w:rPr>
          <w:b/>
          <w:bCs/>
          <w:color w:val="1F3864"/>
          <w:sz w:val="30"/>
          <w:szCs w:val="30"/>
        </w:rPr>
        <w:t xml:space="preserve">6. How we score it</w:t>
      </w:r>
    </w:p>
    <w:p>
      <w:pPr>
        <w:pStyle w:val="ListParagraph"/>
        <w:numPr>
          <w:ilvl w:val="0"/>
          <w:numId w:val="2"/>
        </w:numPr>
        <w:spacing w:after="60" w:before="0" w:line="276"/>
      </w:pPr>
      <w:r>
        <w:rPr>
          <w:sz w:val="22"/>
          <w:szCs w:val="22"/>
        </w:rPr>
        <w:t xml:space="preserve">Compute the mean of each item, then the mean of each subscale: trust and security of fingerprint verification, confidentiality, integrity and availability.</w:t>
      </w:r>
    </w:p>
    <w:p>
      <w:pPr>
        <w:pStyle w:val="ListParagraph"/>
        <w:numPr>
          <w:ilvl w:val="0"/>
          <w:numId w:val="2"/>
        </w:numPr>
        <w:spacing w:after="60" w:before="0" w:line="276"/>
      </w:pPr>
      <w:r>
        <w:rPr>
          <w:sz w:val="22"/>
          <w:szCs w:val="22"/>
        </w:rPr>
        <w:t xml:space="preserve">Interpret each mean with the same bands as Table 6: 4.20–5.00 Very High, 3.40–4.19 High, 2.60–3.39 Moderate, 1.80–2.59 Low, 1.00–1.79 Very Low.</w:t>
      </w:r>
    </w:p>
    <w:p>
      <w:pPr>
        <w:pStyle w:val="ListParagraph"/>
        <w:numPr>
          <w:ilvl w:val="0"/>
          <w:numId w:val="2"/>
        </w:numPr>
        <w:spacing w:after="60" w:before="0" w:line="276"/>
      </w:pPr>
      <w:r>
        <w:rPr>
          <w:sz w:val="22"/>
          <w:szCs w:val="22"/>
        </w:rPr>
        <w:t xml:space="preserve">Success criterion: a mean of 3.40 (High) or above for each subscale.</w:t>
      </w:r>
    </w:p>
    <w:p>
      <w:pPr>
        <w:pStyle w:val="ListParagraph"/>
        <w:numPr>
          <w:ilvl w:val="0"/>
          <w:numId w:val="2"/>
        </w:numPr>
        <w:spacing w:after="60" w:before="0" w:line="276"/>
      </w:pPr>
      <w:r>
        <w:rPr>
          <w:sz w:val="22"/>
          <w:szCs w:val="22"/>
        </w:rPr>
        <w:t xml:space="preserve">Form B has one respondent, so it is reported item by item with its evidence, not as a statistic.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0" w:before="0" w:line="276"/>
            </w:pPr>
            <w:r>
              <w:rPr>
                <w:i/>
                <w:iCs/>
                <w:sz w:val="22"/>
                <w:szCs w:val="22"/>
              </w:rPr>
              <w:t xml:space="preserve">“We set the passing mark at 3.40, which is High, the same as our system-quality criterion. A result that is only Moderate would not be enough to call the system secure. Any item below 3.40 is reported as a finding, together with the reason.”</w:t>
            </w:r>
          </w:p>
        </w:tc>
      </w:tr>
    </w:tbl>
    <w:p>
      <w:pPr>
        <w:keepNext/>
        <w:spacing w:after="120" w:before="320" w:line="276"/>
      </w:pPr>
      <w:r>
        <w:rPr>
          <w:b/>
          <w:bCs/>
          <w:color w:val="1F3864"/>
          <w:sz w:val="30"/>
          <w:szCs w:val="30"/>
        </w:rPr>
        <w:t xml:space="preserve">7. How we validate the adapted questionnaire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0" w:before="0" w:line="276"/>
            </w:pPr>
            <w:r>
              <w:rPr>
                <w:i/>
                <w:iCs/>
                <w:sz w:val="22"/>
                <w:szCs w:val="22"/>
              </w:rPr>
              <w:t xml:space="preserve">“The source questionnaires were validated by their authors, but we changed the wording, the respondents and the setting, so their results do not transfer automatically. We therefore validate our adapted version before using it. First, three IT or security experts rate how relevant each adapted item is and whether it keeps the meaning of the original, and we compute the Content Validity Index. Any item not rated relevant by all three is revised. Second, we pilot Form A with respondents outside our study and check its reliability with Cronbach’s alpha, aiming for 0.70 or higher, and compare it with the reliability reported by the original authors.”</w:t>
            </w:r>
          </w:p>
        </w:tc>
      </w:tr>
    </w:tbl>
    <w:p>
      <w:pPr>
        <w:spacing w:after="120" w:before="100" w:line="276"/>
      </w:pPr>
      <w:r>
        <w:rPr>
          <w:b/>
          <w:bCs/>
          <w:sz w:val="22"/>
          <w:szCs w:val="22"/>
        </w:rPr>
        <w:t xml:space="preserve">Note: </w:t>
      </w:r>
      <w:r>
        <w:rPr>
          <w:i/>
          <w:iCs/>
          <w:sz w:val="22"/>
          <w:szCs w:val="22"/>
        </w:rPr>
        <w:t xml:space="preserve">Once validation is done, replace this box with the actual results, for example: “All items obtained an I-CVI of 1.00, and Form A had a Cronbach’s alpha of 0.__.”</w:t>
      </w:r>
    </w:p>
    <w:p>
      <w:pPr>
        <w:keepNext/>
        <w:spacing w:after="120" w:before="320" w:line="276"/>
      </w:pPr>
      <w:r>
        <w:rPr>
          <w:b/>
          <w:bCs/>
          <w:color w:val="1F3864"/>
          <w:sz w:val="30"/>
          <w:szCs w:val="30"/>
        </w:rPr>
        <w:t xml:space="preserve">8. 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496" w:sz="24"/>
              <w:bottom w:val="none" w:color="FFFFFF" w:sz="0"/>
              <w:right w:val="none" w:color="FFFFFF" w:sz="0"/>
            </w:tcBorders>
            <w:shd w:fill="F2F2F2" w:color="auto" w:val="clear"/>
            <w:tcMar>
              <w:top w:type="dxa" w:w="100"/>
              <w:left w:type="dxa" w:w="200"/>
              <w:bottom w:type="dxa" w:w="100"/>
              <w:right w:type="dxa" w:w="200"/>
            </w:tcMar>
          </w:tcPr>
          <w:p>
            <w:pPr>
              <w:spacing w:after="60" w:before="0" w:line="276"/>
            </w:pPr>
            <w:r>
              <w:rPr>
                <w:b/>
                <w:bCs/>
                <w:color w:val="2E5496"/>
                <w:sz w:val="18"/>
                <w:szCs w:val="18"/>
              </w:rPr>
              <w:t xml:space="preserve">SAY THIS</w:t>
            </w:r>
          </w:p>
          <w:p>
            <w:pPr>
              <w:spacing w:after="0" w:before="0" w:line="276"/>
            </w:pPr>
            <w:r>
              <w:rPr>
                <w:i/>
                <w:iCs/>
                <w:sz w:val="22"/>
                <w:szCs w:val="22"/>
              </w:rPr>
              <w:t xml:space="preserve">“In short, our security evaluation does not rely on opinion alone or on testing alone. Every mechanism we built is traced to an ISO/IEC 27001 control, checked by a penetration test, and rated by the people who use and manage the system, all organized under confidentiality, integrity, and availability.”</w:t>
            </w:r>
          </w:p>
        </w:tc>
      </w:tr>
    </w:tbl>
    <w:p>
      <w:pPr>
        <w:keepNext/>
        <w:spacing w:after="120" w:before="320" w:line="276"/>
      </w:pPr>
      <w:r>
        <w:rPr>
          <w:b/>
          <w:bCs/>
          <w:color w:val="1F3864"/>
          <w:sz w:val="30"/>
          <w:szCs w:val="30"/>
        </w:rPr>
        <w:t xml:space="preserve">Likely panel questions</w:t>
      </w:r>
    </w:p>
    <w:p>
      <w:pPr>
        <w:keepNext/>
        <w:spacing w:after="40" w:before="120" w:line="276"/>
      </w:pPr>
      <w:r>
        <w:rPr>
          <w:b/>
          <w:bCs/>
          <w:color w:val="1F3864"/>
          <w:sz w:val="22"/>
          <w:szCs w:val="22"/>
        </w:rPr>
        <w:t xml:space="preserve">Is your system ISO 27001 compliant or certified?</w:t>
      </w:r>
    </w:p>
    <w:p>
      <w:pPr>
        <w:spacing w:after="80" w:before="0" w:line="276"/>
      </w:pPr>
      <w:r>
        <w:rPr>
          <w:sz w:val="22"/>
          <w:szCs w:val="22"/>
        </w:rPr>
        <w:t xml:space="preserve">No. Certification applies to an organization’s whole security management system and is done by an accredited auditor. We use ISO/IEC 27001 as a guide: we selected the Annex A controls that apply to our system and evaluated how well they are implemented.</w:t>
      </w:r>
    </w:p>
    <w:p>
      <w:pPr>
        <w:keepNext/>
        <w:spacing w:after="40" w:before="120" w:line="276"/>
      </w:pPr>
      <w:r>
        <w:rPr>
          <w:b/>
          <w:bCs/>
          <w:color w:val="1F3864"/>
          <w:sz w:val="22"/>
          <w:szCs w:val="22"/>
        </w:rPr>
        <w:t xml:space="preserve">Why did you adapt questionnaires instead of using one as is?</w:t>
      </w:r>
    </w:p>
    <w:p>
      <w:pPr>
        <w:spacing w:after="80" w:before="0" w:line="276"/>
      </w:pPr>
      <w:r>
        <w:rPr>
          <w:sz w:val="22"/>
          <w:szCs w:val="22"/>
        </w:rPr>
        <w:t xml:space="preserve">No published questionnaire evaluates the security of a local attendance system. The sources measured university systems, organizational security management and face recognition. Using them word for word would not match our system, so we adapted the items that describe system protection, kept their meaning, and cited the original authors.</w:t>
      </w:r>
    </w:p>
    <w:p>
      <w:pPr>
        <w:keepNext/>
        <w:spacing w:after="40" w:before="120" w:line="276"/>
      </w:pPr>
      <w:r>
        <w:rPr>
          <w:b/>
          <w:bCs/>
          <w:color w:val="1F3864"/>
          <w:sz w:val="22"/>
          <w:szCs w:val="22"/>
        </w:rPr>
        <w:t xml:space="preserve">Is your questionnaire validated?</w:t>
      </w:r>
    </w:p>
    <w:p>
      <w:pPr>
        <w:spacing w:after="80" w:before="0" w:line="276"/>
      </w:pPr>
      <w:r>
        <w:rPr>
          <w:sz w:val="22"/>
          <w:szCs w:val="22"/>
        </w:rPr>
        <w:t xml:space="preserve">Its items come from questionnaires already validated by their authors, with reliability between .83 and .95. Because we adapted them, we re-validate our version through expert review with the Content Validity Index and a pilot test for reliability before giving it to our respondents. (Once done, answer with the actual numbers.)</w:t>
      </w:r>
    </w:p>
    <w:p>
      <w:pPr>
        <w:keepNext/>
        <w:spacing w:after="40" w:before="120" w:line="276"/>
      </w:pPr>
      <w:r>
        <w:rPr>
          <w:b/>
          <w:bCs/>
          <w:color w:val="1F3864"/>
          <w:sz w:val="22"/>
          <w:szCs w:val="22"/>
        </w:rPr>
        <w:t xml:space="preserve">Were you allowed to adapt those questionnaires?</w:t>
      </w:r>
    </w:p>
    <w:p>
      <w:pPr>
        <w:spacing w:after="80" w:before="0" w:line="276"/>
      </w:pPr>
      <w:r>
        <w:rPr>
          <w:sz w:val="22"/>
          <w:szCs w:val="22"/>
        </w:rPr>
        <w:t xml:space="preserve">Yes. The two journal articles are published under a Creative Commons Attribution licence, which permits adaptation with credit, and all three sources are cited in the manuscript and the appendix.</w:t>
      </w:r>
    </w:p>
    <w:p>
      <w:pPr>
        <w:keepNext/>
        <w:spacing w:after="40" w:before="120" w:line="276"/>
      </w:pPr>
      <w:r>
        <w:rPr>
          <w:b/>
          <w:bCs/>
          <w:color w:val="1F3864"/>
          <w:sz w:val="22"/>
          <w:szCs w:val="22"/>
        </w:rPr>
        <w:t xml:space="preserve">Only one IT administrator answers Form B. Isn’t that too few?</w:t>
      </w:r>
    </w:p>
    <w:p>
      <w:pPr>
        <w:spacing w:after="80" w:before="0" w:line="276"/>
      </w:pPr>
      <w:r>
        <w:rPr>
          <w:sz w:val="22"/>
          <w:szCs w:val="22"/>
        </w:rPr>
        <w:t xml:space="preserve">Yes, which is why we do not treat Form B as a statistical sample. It works as an evidence-based checklist: every rating must be supported by a log, a setting, or a test result, and it is read alongside the penetration test results.</w:t>
      </w:r>
    </w:p>
    <w:p>
      <w:pPr>
        <w:keepNext/>
        <w:spacing w:after="40" w:before="120" w:line="276"/>
      </w:pPr>
      <w:r>
        <w:rPr>
          <w:b/>
          <w:bCs/>
          <w:color w:val="1F3864"/>
          <w:sz w:val="22"/>
          <w:szCs w:val="22"/>
        </w:rPr>
        <w:t xml:space="preserve">Why don’t the students answer the security questions?</w:t>
      </w:r>
    </w:p>
    <w:p>
      <w:pPr>
        <w:spacing w:after="80" w:before="0" w:line="276"/>
      </w:pPr>
      <w:r>
        <w:rPr>
          <w:sz w:val="22"/>
          <w:szCs w:val="22"/>
        </w:rPr>
        <w:t xml:space="preserve">Students only tap their RFID cards; they cannot see encryption, logs, or access rules, so their ratings would not be meaningful. They answer the short system-quality form instead, which covers the part of the system they actually use.</w:t>
      </w:r>
    </w:p>
    <w:p>
      <w:pPr>
        <w:keepNext/>
        <w:spacing w:after="40" w:before="120" w:line="276"/>
      </w:pPr>
      <w:r>
        <w:rPr>
          <w:b/>
          <w:bCs/>
          <w:color w:val="1F3864"/>
          <w:sz w:val="22"/>
          <w:szCs w:val="22"/>
        </w:rPr>
        <w:t xml:space="preserve">What if a pillar scores below 3.40?</w:t>
      </w:r>
    </w:p>
    <w:p>
      <w:pPr>
        <w:spacing w:after="80" w:before="0" w:line="276"/>
      </w:pPr>
      <w:r>
        <w:rPr>
          <w:sz w:val="22"/>
          <w:szCs w:val="22"/>
        </w:rPr>
        <w:t xml:space="preserve">We report it as a finding, identify which items pulled it down, and explain the cause and the recommended fix in our results and recommendations.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Security Questionnaire Defense Script</dc:title>
  <dc:creator>L-SIAMS Research Team</dc:creator>
  <cp:lastModifiedBy>Un-named</cp:lastModifiedBy>
  <cp:revision>1</cp:revision>
  <dcterms:created xsi:type="dcterms:W3CDTF">2026-10-06T20:54:51.100Z</dcterms:created>
  <dcterms:modified xsi:type="dcterms:W3CDTF">2026-10-06T20:54:51.101Z</dcterms:modified>
</cp:coreProperties>
</file>

<file path=docProps/custom.xml><?xml version="1.0" encoding="utf-8"?>
<Properties xmlns="http://schemas.openxmlformats.org/officeDocument/2006/custom-properties" xmlns:vt="http://schemas.openxmlformats.org/officeDocument/2006/docPropsVTypes"/>
</file>