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rFonts w:ascii="Times New Roman" w:hAnsi="Times New Roman"/>
          <w:b/>
          <w:color w:val="12304A"/>
          <w:sz w:val="60"/>
        </w:rPr>
        <w:t>ReefSafe</w:t>
      </w:r>
    </w:p>
    <w:p>
      <w:pPr>
        <w:spacing w:line="360" w:lineRule="auto" w:after="480"/>
        <w:jc w:val="center"/>
      </w:pPr>
      <w:r>
        <w:rPr>
          <w:b/>
          <w:i w:val="0"/>
          <w:color w:val="1F6E8C"/>
        </w:rPr>
        <w:t>Evidence-led reef screening for sustainable tourism management</w:t>
      </w:r>
    </w:p>
    <w:p>
      <w:pPr>
        <w:spacing w:line="360" w:lineRule="auto" w:after="140"/>
        <w:jc w:val="center"/>
      </w:pPr>
      <w:r>
        <w:rPr>
          <w:b w:val="0"/>
          <w:i w:val="0"/>
          <w:color w:val="18323F"/>
        </w:rPr>
        <w:t>Malaysia Data Innovation Talent × DOSM Datathon 2026</w:t>
      </w:r>
    </w:p>
    <w:p>
      <w:pPr>
        <w:spacing w:line="360" w:lineRule="auto" w:after="140"/>
        <w:jc w:val="center"/>
      </w:pPr>
      <w:r>
        <w:rPr>
          <w:b w:val="0"/>
          <w:i/>
          <w:color w:val="60727C"/>
        </w:rPr>
        <w:t>Theme: Machine Learning and Artificial Intelligence for Sustainable Tourism</w:t>
      </w:r>
    </w:p>
    <w:p>
      <w:pPr>
        <w:spacing w:line="360" w:lineRule="auto" w:after="140"/>
        <w:jc w:val="center"/>
      </w:pPr>
      <w:r>
        <w:rPr>
          <w:b/>
          <w:i w:val="0"/>
          <w:color w:val="18323F"/>
        </w:rPr>
        <w:t>Submission report</w:t>
      </w:r>
    </w:p>
    <w:p>
      <w:r>
        <w:br w:type="page"/>
      </w:r>
    </w:p>
    <w:p>
      <w:pPr>
        <w:pStyle w:val="Heading1"/>
        <w:keepNext/>
        <w:spacing w:before="200" w:after="100"/>
      </w:pPr>
      <w:r>
        <w:t>Executive summary</w:t>
      </w:r>
    </w:p>
    <w:p>
      <w:pPr>
        <w:spacing w:line="360" w:lineRule="auto" w:after="140"/>
      </w:pPr>
      <w:r>
        <w:rPr>
          <w:b w:val="0"/>
          <w:i w:val="0"/>
          <w:color w:val="18323F"/>
        </w:rPr>
        <w:t>ReefSafe is a screening system for marine-park teams. It combines long-running reef observations with NOAA thermal-stress records to identify islands that merit earlier field checks. It does not calculate legal visitor caps, estimate tourism revenue at island level, or prove that tourism caused a change in coral cover.</w:t>
      </w:r>
    </w:p>
    <w:tbl>
      <w:tblPr>
        <w:tblW w:type="auto" w:w="0"/>
        <w:jc w:val="center"/>
        <w:tblLayout w:type="fixed"/>
        <w:tblLook w:firstColumn="1" w:firstRow="1" w:lastColumn="0" w:lastRow="0" w:noHBand="0" w:noVBand="1" w:val="04A0"/>
      </w:tblPr>
      <w:tblGrid>
        <w:gridCol w:w="3264"/>
        <w:gridCol w:w="3264"/>
        <w:gridCol w:w="3264"/>
      </w:tblGrid>
      <w:tr>
        <w:tc>
          <w:tcPr>
            <w:tcW w:type="dxa" w:w="3024"/>
            <w:vAlign w:val="center"/>
            <w:shd w:fill="12304A"/>
          </w:tcPr>
          <w:p>
            <w:pPr>
              <w:spacing w:after="0"/>
            </w:pPr>
            <w:r/>
            <w:r>
              <w:rPr>
                <w:rFonts w:ascii="Times New Roman" w:hAnsi="Times New Roman"/>
                <w:b/>
                <w:color w:val="FFFFFF"/>
                <w:sz w:val="18"/>
              </w:rPr>
              <w:t>Evidence base</w:t>
            </w:r>
          </w:p>
        </w:tc>
        <w:tc>
          <w:tcPr>
            <w:tcW w:type="dxa" w:w="3024"/>
            <w:vAlign w:val="center"/>
            <w:shd w:fill="12304A"/>
          </w:tcPr>
          <w:p>
            <w:pPr>
              <w:spacing w:after="0"/>
            </w:pPr>
            <w:r/>
            <w:r>
              <w:rPr>
                <w:rFonts w:ascii="Times New Roman" w:hAnsi="Times New Roman"/>
                <w:b/>
                <w:color w:val="FFFFFF"/>
                <w:sz w:val="18"/>
              </w:rPr>
              <w:t>Coverage</w:t>
            </w:r>
          </w:p>
        </w:tc>
        <w:tc>
          <w:tcPr>
            <w:tcW w:type="dxa" w:w="3024"/>
            <w:vAlign w:val="center"/>
            <w:shd w:fill="12304A"/>
          </w:tcPr>
          <w:p>
            <w:pPr>
              <w:spacing w:after="0"/>
            </w:pPr>
            <w:r/>
            <w:r>
              <w:rPr>
                <w:rFonts w:ascii="Times New Roman" w:hAnsi="Times New Roman"/>
                <w:b/>
                <w:color w:val="FFFFFF"/>
                <w:sz w:val="18"/>
              </w:rPr>
              <w:t>Decision output</w:t>
            </w:r>
          </w:p>
        </w:tc>
      </w:tr>
      <w:tr>
        <w:tc>
          <w:tcPr>
            <w:tcW w:type="dxa" w:w="3024"/>
            <w:vAlign w:val="center"/>
            <w:shd w:fill="EAF3F6"/>
          </w:tcPr>
          <w:p>
            <w:pPr>
              <w:spacing w:after="0"/>
            </w:pPr>
            <w:r/>
            <w:r>
              <w:rPr>
                <w:rFonts w:ascii="Times New Roman" w:hAnsi="Times New Roman"/>
                <w:b w:val="0"/>
                <w:color w:val="18323F"/>
                <w:sz w:val="17"/>
              </w:rPr>
              <w:t>404 observed island-years</w:t>
            </w:r>
          </w:p>
        </w:tc>
        <w:tc>
          <w:tcPr>
            <w:tcW w:type="dxa" w:w="3024"/>
            <w:vAlign w:val="center"/>
            <w:shd w:fill="EAF3F6"/>
          </w:tcPr>
          <w:p>
            <w:pPr>
              <w:spacing w:after="0"/>
            </w:pPr>
            <w:r/>
            <w:r>
              <w:rPr>
                <w:rFonts w:ascii="Times New Roman" w:hAnsi="Times New Roman"/>
                <w:b w:val="0"/>
                <w:color w:val="18323F"/>
                <w:sz w:val="17"/>
              </w:rPr>
              <w:t>56 islands, 2012–2025</w:t>
            </w:r>
          </w:p>
        </w:tc>
        <w:tc>
          <w:tcPr>
            <w:tcW w:type="dxa" w:w="3024"/>
            <w:vAlign w:val="center"/>
            <w:shd w:fill="EAF3F6"/>
          </w:tcPr>
          <w:p>
            <w:pPr>
              <w:spacing w:after="0"/>
            </w:pPr>
            <w:r/>
            <w:r>
              <w:rPr>
                <w:rFonts w:ascii="Times New Roman" w:hAnsi="Times New Roman"/>
                <w:b w:val="0"/>
                <w:color w:val="18323F"/>
                <w:sz w:val="17"/>
              </w:rPr>
              <w:t>Ranked field-check priority</w:t>
            </w:r>
          </w:p>
        </w:tc>
      </w:tr>
      <w:tr>
        <w:tc>
          <w:tcPr>
            <w:tcW w:type="dxa" w:w="3024"/>
            <w:vAlign w:val="center"/>
          </w:tcPr>
          <w:p>
            <w:pPr>
              <w:spacing w:after="0"/>
            </w:pPr>
            <w:r/>
            <w:r>
              <w:rPr>
                <w:rFonts w:ascii="Times New Roman" w:hAnsi="Times New Roman"/>
                <w:b w:val="0"/>
                <w:color w:val="18323F"/>
                <w:sz w:val="17"/>
              </w:rPr>
              <w:t>Past-only model evaluation</w:t>
            </w:r>
          </w:p>
        </w:tc>
        <w:tc>
          <w:tcPr>
            <w:tcW w:type="dxa" w:w="3024"/>
            <w:vAlign w:val="center"/>
          </w:tcPr>
          <w:p>
            <w:pPr>
              <w:spacing w:after="0"/>
            </w:pPr>
            <w:r/>
            <w:r>
              <w:rPr>
                <w:rFonts w:ascii="Times New Roman" w:hAnsi="Times New Roman"/>
                <w:b w:val="0"/>
                <w:color w:val="18323F"/>
                <w:sz w:val="17"/>
              </w:rPr>
              <w:t>183 held-forward observations</w:t>
            </w:r>
          </w:p>
        </w:tc>
        <w:tc>
          <w:tcPr>
            <w:tcW w:type="dxa" w:w="3024"/>
            <w:vAlign w:val="center"/>
          </w:tcPr>
          <w:p>
            <w:pPr>
              <w:spacing w:after="0"/>
            </w:pPr>
            <w:r/>
            <w:r>
              <w:rPr>
                <w:rFonts w:ascii="Times New Roman" w:hAnsi="Times New Roman"/>
                <w:b w:val="0"/>
                <w:color w:val="18323F"/>
                <w:sz w:val="17"/>
              </w:rPr>
              <w:t>Prediction band + uncertainty</w:t>
            </w:r>
          </w:p>
        </w:tc>
      </w:tr>
      <w:tr>
        <w:tc>
          <w:tcPr>
            <w:tcW w:type="dxa" w:w="3024"/>
            <w:vAlign w:val="center"/>
            <w:shd w:fill="EAF3F6"/>
          </w:tcPr>
          <w:p>
            <w:pPr>
              <w:spacing w:after="0"/>
            </w:pPr>
            <w:r/>
            <w:r>
              <w:rPr>
                <w:rFonts w:ascii="Times New Roman" w:hAnsi="Times New Roman"/>
                <w:b w:val="0"/>
                <w:color w:val="18323F"/>
                <w:sz w:val="17"/>
              </w:rPr>
              <w:t>Observed stressor flags</w:t>
            </w:r>
          </w:p>
        </w:tc>
        <w:tc>
          <w:tcPr>
            <w:tcW w:type="dxa" w:w="3024"/>
            <w:vAlign w:val="center"/>
            <w:shd w:fill="EAF3F6"/>
          </w:tcPr>
          <w:p>
            <w:pPr>
              <w:spacing w:after="0"/>
            </w:pPr>
            <w:r/>
            <w:r>
              <w:rPr>
                <w:rFonts w:ascii="Times New Roman" w:hAnsi="Times New Roman"/>
                <w:b w:val="0"/>
                <w:color w:val="18323F"/>
                <w:sz w:val="17"/>
              </w:rPr>
              <w:t>Thermal, anchor, waste/pollution</w:t>
            </w:r>
          </w:p>
        </w:tc>
        <w:tc>
          <w:tcPr>
            <w:tcW w:type="dxa" w:w="3024"/>
            <w:vAlign w:val="center"/>
            <w:shd w:fill="EAF3F6"/>
          </w:tcPr>
          <w:p>
            <w:pPr>
              <w:spacing w:after="0"/>
            </w:pPr>
            <w:r/>
            <w:r>
              <w:rPr>
                <w:rFonts w:ascii="Times New Roman" w:hAnsi="Times New Roman"/>
                <w:b w:val="0"/>
                <w:color w:val="18323F"/>
                <w:sz w:val="17"/>
              </w:rPr>
              <w:t>Evidence-matched next step</w:t>
            </w:r>
          </w:p>
        </w:tc>
      </w:tr>
    </w:tbl>
    <w:p>
      <w:pPr>
        <w:pStyle w:val="Heading2"/>
        <w:keepNext/>
        <w:spacing w:before="200" w:after="100"/>
      </w:pPr>
      <w:r>
        <w:t>What changed after validation</w:t>
      </w:r>
    </w:p>
    <w:p>
      <w:pPr>
        <w:pStyle w:val="ListBullet"/>
        <w:spacing w:line="360" w:lineRule="auto" w:after="80"/>
      </w:pPr>
      <w:r>
        <w:t>Removed fabricated island-level tourism pressure and GDP-intensity variables.</w:t>
      </w:r>
    </w:p>
    <w:p>
      <w:pPr>
        <w:pStyle w:val="ListBullet"/>
        <w:spacing w:line="360" w:lineRule="auto" w:after="80"/>
      </w:pPr>
      <w:r>
        <w:t>Corrected NOAA Degree Heating Weeks parsing and preserved missing values as missing.</w:t>
      </w:r>
    </w:p>
    <w:p>
      <w:pPr>
        <w:pStyle w:val="ListBullet"/>
        <w:spacing w:line="360" w:lineRule="auto" w:after="80"/>
      </w:pPr>
      <w:r>
        <w:t>Changed the target from same-row reconstruction to the next observed coral-cover change.</w:t>
      </w:r>
    </w:p>
    <w:p>
      <w:pPr>
        <w:pStyle w:val="ListBullet"/>
        <w:spacing w:line="360" w:lineRule="auto" w:after="80"/>
      </w:pPr>
      <w:r>
        <w:t>Replaced random/group folds with expanding-year evaluation so training always precedes testing.</w:t>
      </w:r>
    </w:p>
    <w:p>
      <w:pPr>
        <w:pStyle w:val="ListBullet"/>
        <w:spacing w:line="360" w:lineRule="auto" w:after="80"/>
      </w:pPr>
      <w:r>
        <w:t>Downgraded claims to screening-only because predictive gain is modest and causality is not identified.</w:t>
      </w:r>
    </w:p>
    <w:p>
      <w:pPr>
        <w:pStyle w:val="Heading2"/>
        <w:keepNext/>
        <w:spacing w:before="200" w:after="100"/>
      </w:pPr>
      <w:r>
        <w:t>Headline result</w:t>
      </w:r>
    </w:p>
    <w:p>
      <w:pPr>
        <w:spacing w:line="360" w:lineRule="auto" w:after="140"/>
      </w:pPr>
      <w:r>
        <w:rPr>
          <w:b/>
          <w:i w:val="0"/>
          <w:color w:val="18323F"/>
        </w:rPr>
        <w:t>The selected Gradient Boosting model recorded MAE 5.90 percentage points per year versus 5.99 for the mean baseline—an improvement of 1.5%. Its forward-test R² was 0.051. This is enough for a cautious triage aid, not enough for automated enforcement.</w:t>
      </w:r>
    </w:p>
    <w:p>
      <w:r>
        <w:br w:type="page"/>
      </w:r>
    </w:p>
    <w:p>
      <w:pPr>
        <w:pStyle w:val="Heading1"/>
        <w:keepNext/>
        <w:spacing w:before="200" w:after="100"/>
      </w:pPr>
      <w:r>
        <w:t>1. Decision problem</w:t>
      </w:r>
    </w:p>
    <w:p>
      <w:pPr>
        <w:spacing w:line="360" w:lineRule="auto" w:after="140"/>
      </w:pPr>
      <w:r>
        <w:rPr>
          <w:b w:val="0"/>
          <w:i w:val="0"/>
          <w:color w:val="18323F"/>
        </w:rPr>
        <w:t>Marine managers must decide where limited inspection, bleaching response, mooring checks, and waste-control resources should go first. National tourism totals are useful for context but cannot be credibly assigned to individual islands without island-level visitor-flow data. ReefSafe therefore focuses on the decision that the available evidence can support: which monitored islands require closer verification, and why?</w:t>
      </w:r>
    </w:p>
    <w:p>
      <w:pPr>
        <w:pStyle w:val="Heading1"/>
        <w:keepNext/>
        <w:spacing w:before="200" w:after="100"/>
      </w:pPr>
      <w:r>
        <w:t>1.1 Intended users and use</w:t>
      </w:r>
    </w:p>
    <w:tbl>
      <w:tblPr>
        <w:tblW w:type="auto" w:w="0"/>
        <w:jc w:val="center"/>
        <w:tblLayout w:type="fixed"/>
        <w:tblLook w:firstColumn="1" w:firstRow="1" w:lastColumn="0" w:lastRow="0" w:noHBand="0" w:noVBand="1" w:val="04A0"/>
      </w:tblPr>
      <w:tblGrid>
        <w:gridCol w:w="3264"/>
        <w:gridCol w:w="3264"/>
        <w:gridCol w:w="3264"/>
      </w:tblGrid>
      <w:tr>
        <w:tc>
          <w:tcPr>
            <w:tcW w:type="dxa" w:w="2304"/>
            <w:vAlign w:val="center"/>
            <w:shd w:fill="12304A"/>
          </w:tcPr>
          <w:p>
            <w:pPr>
              <w:spacing w:after="0"/>
            </w:pPr>
            <w:r/>
            <w:r>
              <w:rPr>
                <w:rFonts w:ascii="Times New Roman" w:hAnsi="Times New Roman"/>
                <w:b/>
                <w:color w:val="FFFFFF"/>
                <w:sz w:val="18"/>
              </w:rPr>
              <w:t>User</w:t>
            </w:r>
          </w:p>
        </w:tc>
        <w:tc>
          <w:tcPr>
            <w:tcW w:type="dxa" w:w="3024"/>
            <w:vAlign w:val="center"/>
            <w:shd w:fill="12304A"/>
          </w:tcPr>
          <w:p>
            <w:pPr>
              <w:spacing w:after="0"/>
            </w:pPr>
            <w:r/>
            <w:r>
              <w:rPr>
                <w:rFonts w:ascii="Times New Roman" w:hAnsi="Times New Roman"/>
                <w:b/>
                <w:color w:val="FFFFFF"/>
                <w:sz w:val="18"/>
              </w:rPr>
              <w:t>Decision</w:t>
            </w:r>
          </w:p>
        </w:tc>
        <w:tc>
          <w:tcPr>
            <w:tcW w:type="dxa" w:w="3888"/>
            <w:vAlign w:val="center"/>
            <w:shd w:fill="12304A"/>
          </w:tcPr>
          <w:p>
            <w:pPr>
              <w:spacing w:after="0"/>
            </w:pPr>
            <w:r/>
            <w:r>
              <w:rPr>
                <w:rFonts w:ascii="Times New Roman" w:hAnsi="Times New Roman"/>
                <w:b/>
                <w:color w:val="FFFFFF"/>
                <w:sz w:val="18"/>
              </w:rPr>
              <w:t>ReefSafe support</w:t>
            </w:r>
          </w:p>
        </w:tc>
      </w:tr>
      <w:tr>
        <w:tc>
          <w:tcPr>
            <w:tcW w:type="dxa" w:w="2304"/>
            <w:vAlign w:val="center"/>
            <w:shd w:fill="EAF3F6"/>
          </w:tcPr>
          <w:p>
            <w:pPr>
              <w:spacing w:after="0"/>
            </w:pPr>
            <w:r/>
            <w:r>
              <w:rPr>
                <w:rFonts w:ascii="Times New Roman" w:hAnsi="Times New Roman"/>
                <w:b w:val="0"/>
                <w:color w:val="18323F"/>
                <w:sz w:val="17"/>
              </w:rPr>
              <w:t>Marine-park officer</w:t>
            </w:r>
          </w:p>
        </w:tc>
        <w:tc>
          <w:tcPr>
            <w:tcW w:type="dxa" w:w="3024"/>
            <w:vAlign w:val="center"/>
            <w:shd w:fill="EAF3F6"/>
          </w:tcPr>
          <w:p>
            <w:pPr>
              <w:spacing w:after="0"/>
            </w:pPr>
            <w:r/>
            <w:r>
              <w:rPr>
                <w:rFonts w:ascii="Times New Roman" w:hAnsi="Times New Roman"/>
                <w:b w:val="0"/>
                <w:color w:val="18323F"/>
                <w:sz w:val="17"/>
              </w:rPr>
              <w:t>Schedule field checks</w:t>
            </w:r>
          </w:p>
        </w:tc>
        <w:tc>
          <w:tcPr>
            <w:tcW w:type="dxa" w:w="3888"/>
            <w:vAlign w:val="center"/>
            <w:shd w:fill="EAF3F6"/>
          </w:tcPr>
          <w:p>
            <w:pPr>
              <w:spacing w:after="0"/>
            </w:pPr>
            <w:r/>
            <w:r>
              <w:rPr>
                <w:rFonts w:ascii="Times New Roman" w:hAnsi="Times New Roman"/>
                <w:b w:val="0"/>
                <w:color w:val="18323F"/>
                <w:sz w:val="17"/>
              </w:rPr>
              <w:t>Priority rank, evidence, uncertainty</w:t>
            </w:r>
          </w:p>
        </w:tc>
      </w:tr>
      <w:tr>
        <w:tc>
          <w:tcPr>
            <w:tcW w:type="dxa" w:w="2304"/>
            <w:vAlign w:val="center"/>
          </w:tcPr>
          <w:p>
            <w:pPr>
              <w:spacing w:after="0"/>
            </w:pPr>
            <w:r/>
            <w:r>
              <w:rPr>
                <w:rFonts w:ascii="Times New Roman" w:hAnsi="Times New Roman"/>
                <w:b w:val="0"/>
                <w:color w:val="18323F"/>
                <w:sz w:val="17"/>
              </w:rPr>
              <w:t>Reef scientist</w:t>
            </w:r>
          </w:p>
        </w:tc>
        <w:tc>
          <w:tcPr>
            <w:tcW w:type="dxa" w:w="3024"/>
            <w:vAlign w:val="center"/>
          </w:tcPr>
          <w:p>
            <w:pPr>
              <w:spacing w:after="0"/>
            </w:pPr>
            <w:r/>
            <w:r>
              <w:rPr>
                <w:rFonts w:ascii="Times New Roman" w:hAnsi="Times New Roman"/>
                <w:b w:val="0"/>
                <w:color w:val="18323F"/>
                <w:sz w:val="17"/>
              </w:rPr>
              <w:t>Coordinate follow-up survey</w:t>
            </w:r>
          </w:p>
        </w:tc>
        <w:tc>
          <w:tcPr>
            <w:tcW w:type="dxa" w:w="3888"/>
            <w:vAlign w:val="center"/>
          </w:tcPr>
          <w:p>
            <w:pPr>
              <w:spacing w:after="0"/>
            </w:pPr>
            <w:r/>
            <w:r>
              <w:rPr>
                <w:rFonts w:ascii="Times New Roman" w:hAnsi="Times New Roman"/>
                <w:b w:val="0"/>
                <w:color w:val="18323F"/>
                <w:sz w:val="17"/>
              </w:rPr>
              <w:t>Observed LCC, thermal stress, data confidence</w:t>
            </w:r>
          </w:p>
        </w:tc>
      </w:tr>
      <w:tr>
        <w:tc>
          <w:tcPr>
            <w:tcW w:type="dxa" w:w="2304"/>
            <w:vAlign w:val="center"/>
            <w:shd w:fill="EAF3F6"/>
          </w:tcPr>
          <w:p>
            <w:pPr>
              <w:spacing w:after="0"/>
            </w:pPr>
            <w:r/>
            <w:r>
              <w:rPr>
                <w:rFonts w:ascii="Times New Roman" w:hAnsi="Times New Roman"/>
                <w:b w:val="0"/>
                <w:color w:val="18323F"/>
                <w:sz w:val="17"/>
              </w:rPr>
              <w:t>Policy team</w:t>
            </w:r>
          </w:p>
        </w:tc>
        <w:tc>
          <w:tcPr>
            <w:tcW w:type="dxa" w:w="3024"/>
            <w:vAlign w:val="center"/>
            <w:shd w:fill="EAF3F6"/>
          </w:tcPr>
          <w:p>
            <w:pPr>
              <w:spacing w:after="0"/>
            </w:pPr>
            <w:r/>
            <w:r>
              <w:rPr>
                <w:rFonts w:ascii="Times New Roman" w:hAnsi="Times New Roman"/>
                <w:b w:val="0"/>
                <w:color w:val="18323F"/>
                <w:sz w:val="17"/>
              </w:rPr>
              <w:t>Allocate monitoring resources</w:t>
            </w:r>
          </w:p>
        </w:tc>
        <w:tc>
          <w:tcPr>
            <w:tcW w:type="dxa" w:w="3888"/>
            <w:vAlign w:val="center"/>
            <w:shd w:fill="EAF3F6"/>
          </w:tcPr>
          <w:p>
            <w:pPr>
              <w:spacing w:after="0"/>
            </w:pPr>
            <w:r/>
            <w:r>
              <w:rPr>
                <w:rFonts w:ascii="Times New Roman" w:hAnsi="Times New Roman"/>
                <w:b w:val="0"/>
                <w:color w:val="18323F"/>
                <w:sz w:val="17"/>
              </w:rPr>
              <w:t>National trend and transparent model benchmark</w:t>
            </w:r>
          </w:p>
        </w:tc>
      </w:tr>
    </w:tbl>
    <w:p>
      <w:pPr>
        <w:pStyle w:val="Heading1"/>
        <w:keepNext/>
        <w:spacing w:before="200" w:after="100"/>
      </w:pPr>
      <w:r>
        <w:t>1.2 Guardrails</w:t>
      </w:r>
    </w:p>
    <w:p>
      <w:pPr>
        <w:pStyle w:val="ListBullet"/>
        <w:spacing w:line="360" w:lineRule="auto" w:after="80"/>
      </w:pPr>
      <w:r>
        <w:t>No island-level tourism values are inferred from state totals.</w:t>
      </w:r>
    </w:p>
    <w:p>
      <w:pPr>
        <w:pStyle w:val="ListBullet"/>
        <w:spacing w:line="360" w:lineRule="auto" w:after="80"/>
      </w:pPr>
      <w:r>
        <w:t>Feature importance is described as association, not cause.</w:t>
      </w:r>
    </w:p>
    <w:p>
      <w:pPr>
        <w:pStyle w:val="ListBullet"/>
        <w:spacing w:line="360" w:lineRule="auto" w:after="80"/>
      </w:pPr>
      <w:r>
        <w:t>A high rank triggers verification; it is not a closure order or carrying-capacity quota.</w:t>
      </w:r>
    </w:p>
    <w:p>
      <w:pPr>
        <w:pStyle w:val="ListBullet"/>
        <w:spacing w:line="360" w:lineRule="auto" w:after="80"/>
      </w:pPr>
      <w:r>
        <w:t>Thermal evidence never becomes a claim that visitors caused bleaching.</w:t>
      </w:r>
    </w:p>
    <w:p>
      <w:pPr>
        <w:pStyle w:val="Heading1"/>
        <w:keepNext/>
        <w:spacing w:before="200" w:after="100"/>
      </w:pPr>
      <w:r>
        <w:t>1.3 Observed national context</w:t>
      </w:r>
    </w:p>
    <w:p>
      <w:pPr>
        <w:spacing w:line="360" w:lineRule="auto" w:after="140"/>
      </w:pPr>
      <w:r>
        <w:rPr>
          <w:b w:val="0"/>
          <w:i w:val="0"/>
          <w:color w:val="18323F"/>
        </w:rPr>
        <w:t>The unweighted mean live coral cover among surveyed island observations was 57.1% in 2012 and 39.8% in 2025. Survey composition changes across years, so this descriptive line should not be read as a fixed-panel national estimate.</w:t>
      </w:r>
    </w:p>
    <w:p>
      <w:r>
        <w:br w:type="page"/>
      </w:r>
    </w:p>
    <w:p>
      <w:pPr>
        <w:pStyle w:val="Heading1"/>
        <w:keepNext/>
        <w:spacing w:before="200" w:after="100"/>
      </w:pPr>
      <w:r>
        <w:t>2. Data and provenance</w:t>
      </w:r>
    </w:p>
    <w:tbl>
      <w:tblPr>
        <w:tblW w:type="auto" w:w="0"/>
        <w:jc w:val="center"/>
        <w:tblLayout w:type="fixed"/>
        <w:tblLook w:firstColumn="1" w:firstRow="1" w:lastColumn="0" w:lastRow="0" w:noHBand="0" w:noVBand="1" w:val="04A0"/>
      </w:tblPr>
      <w:tblGrid>
        <w:gridCol w:w="3264"/>
        <w:gridCol w:w="3264"/>
        <w:gridCol w:w="3264"/>
      </w:tblGrid>
      <w:tr>
        <w:tc>
          <w:tcPr>
            <w:tcW w:type="dxa" w:w="2448"/>
            <w:vAlign w:val="center"/>
            <w:shd w:fill="12304A"/>
          </w:tcPr>
          <w:p>
            <w:pPr>
              <w:spacing w:after="0"/>
            </w:pPr>
            <w:r/>
            <w:r>
              <w:rPr>
                <w:rFonts w:ascii="Times New Roman" w:hAnsi="Times New Roman"/>
                <w:b/>
                <w:color w:val="FFFFFF"/>
                <w:sz w:val="18"/>
              </w:rPr>
              <w:t>Source</w:t>
            </w:r>
          </w:p>
        </w:tc>
        <w:tc>
          <w:tcPr>
            <w:tcW w:type="dxa" w:w="4032"/>
            <w:vAlign w:val="center"/>
            <w:shd w:fill="12304A"/>
          </w:tcPr>
          <w:p>
            <w:pPr>
              <w:spacing w:after="0"/>
            </w:pPr>
            <w:r/>
            <w:r>
              <w:rPr>
                <w:rFonts w:ascii="Times New Roman" w:hAnsi="Times New Roman"/>
                <w:b/>
                <w:color w:val="FFFFFF"/>
                <w:sz w:val="18"/>
              </w:rPr>
              <w:t>Role</w:t>
            </w:r>
          </w:p>
        </w:tc>
        <w:tc>
          <w:tcPr>
            <w:tcW w:type="dxa" w:w="2880"/>
            <w:vAlign w:val="center"/>
            <w:shd w:fill="12304A"/>
          </w:tcPr>
          <w:p>
            <w:pPr>
              <w:spacing w:after="0"/>
            </w:pPr>
            <w:r/>
            <w:r>
              <w:rPr>
                <w:rFonts w:ascii="Times New Roman" w:hAnsi="Times New Roman"/>
                <w:b/>
                <w:color w:val="FFFFFF"/>
                <w:sz w:val="18"/>
              </w:rPr>
              <w:t>Treatment</w:t>
            </w:r>
          </w:p>
        </w:tc>
      </w:tr>
      <w:tr>
        <w:tc>
          <w:tcPr>
            <w:tcW w:type="dxa" w:w="2448"/>
            <w:vAlign w:val="center"/>
            <w:shd w:fill="EAF3F6"/>
          </w:tcPr>
          <w:p>
            <w:pPr>
              <w:spacing w:after="0"/>
            </w:pPr>
            <w:r/>
            <w:r>
              <w:rPr>
                <w:rFonts w:ascii="Times New Roman" w:hAnsi="Times New Roman"/>
                <w:b w:val="0"/>
                <w:color w:val="18323F"/>
                <w:sz w:val="17"/>
              </w:rPr>
              <w:t>Reef Check Malaysia annual reports</w:t>
            </w:r>
          </w:p>
        </w:tc>
        <w:tc>
          <w:tcPr>
            <w:tcW w:type="dxa" w:w="4032"/>
            <w:vAlign w:val="center"/>
            <w:shd w:fill="EAF3F6"/>
          </w:tcPr>
          <w:p>
            <w:pPr>
              <w:spacing w:after="0"/>
            </w:pPr>
            <w:r/>
            <w:r>
              <w:rPr>
                <w:rFonts w:ascii="Times New Roman" w:hAnsi="Times New Roman"/>
                <w:b w:val="0"/>
                <w:color w:val="18323F"/>
                <w:sz w:val="17"/>
              </w:rPr>
              <w:t>Island-year coral, substrate, fish, invertebrate and narrative indicators</w:t>
            </w:r>
          </w:p>
        </w:tc>
        <w:tc>
          <w:tcPr>
            <w:tcW w:type="dxa" w:w="2880"/>
            <w:vAlign w:val="center"/>
            <w:shd w:fill="EAF3F6"/>
          </w:tcPr>
          <w:p>
            <w:pPr>
              <w:spacing w:after="0"/>
            </w:pPr>
            <w:r/>
            <w:r>
              <w:rPr>
                <w:rFonts w:ascii="Times New Roman" w:hAnsi="Times New Roman"/>
                <w:b w:val="0"/>
                <w:color w:val="18323F"/>
                <w:sz w:val="17"/>
              </w:rPr>
              <w:t>Primary ecological evidence; confidence field retained</w:t>
            </w:r>
          </w:p>
        </w:tc>
      </w:tr>
      <w:tr>
        <w:tc>
          <w:tcPr>
            <w:tcW w:type="dxa" w:w="2448"/>
            <w:vAlign w:val="center"/>
          </w:tcPr>
          <w:p>
            <w:pPr>
              <w:spacing w:after="0"/>
            </w:pPr>
            <w:r/>
            <w:r>
              <w:rPr>
                <w:rFonts w:ascii="Times New Roman" w:hAnsi="Times New Roman"/>
                <w:b w:val="0"/>
                <w:color w:val="18323F"/>
                <w:sz w:val="17"/>
              </w:rPr>
              <w:t>NOAA Coral Reef Watch</w:t>
            </w:r>
          </w:p>
        </w:tc>
        <w:tc>
          <w:tcPr>
            <w:tcW w:type="dxa" w:w="4032"/>
            <w:vAlign w:val="center"/>
          </w:tcPr>
          <w:p>
            <w:pPr>
              <w:spacing w:after="0"/>
            </w:pPr>
            <w:r/>
            <w:r>
              <w:rPr>
                <w:rFonts w:ascii="Times New Roman" w:hAnsi="Times New Roman"/>
                <w:b w:val="0"/>
                <w:color w:val="18323F"/>
                <w:sz w:val="17"/>
              </w:rPr>
              <w:t>Sea-surface temperature anomaly and Degree Heating Weeks</w:t>
            </w:r>
          </w:p>
        </w:tc>
        <w:tc>
          <w:tcPr>
            <w:tcW w:type="dxa" w:w="2880"/>
            <w:vAlign w:val="center"/>
          </w:tcPr>
          <w:p>
            <w:pPr>
              <w:spacing w:after="0"/>
            </w:pPr>
            <w:r/>
            <w:r>
              <w:rPr>
                <w:rFonts w:ascii="Times New Roman" w:hAnsi="Times New Roman"/>
                <w:b w:val="0"/>
                <w:color w:val="18323F"/>
                <w:sz w:val="17"/>
              </w:rPr>
              <w:t>Matched to regional stations; missing remains blank</w:t>
            </w:r>
          </w:p>
        </w:tc>
      </w:tr>
      <w:tr>
        <w:tc>
          <w:tcPr>
            <w:tcW w:type="dxa" w:w="2448"/>
            <w:vAlign w:val="center"/>
            <w:shd w:fill="EAF3F6"/>
          </w:tcPr>
          <w:p>
            <w:pPr>
              <w:spacing w:after="0"/>
            </w:pPr>
            <w:r/>
            <w:r>
              <w:rPr>
                <w:rFonts w:ascii="Times New Roman" w:hAnsi="Times New Roman"/>
                <w:b w:val="0"/>
                <w:color w:val="18323F"/>
                <w:sz w:val="17"/>
              </w:rPr>
              <w:t>OpenDOSM tourism and GDP series</w:t>
            </w:r>
          </w:p>
        </w:tc>
        <w:tc>
          <w:tcPr>
            <w:tcW w:type="dxa" w:w="4032"/>
            <w:vAlign w:val="center"/>
            <w:shd w:fill="EAF3F6"/>
          </w:tcPr>
          <w:p>
            <w:pPr>
              <w:spacing w:after="0"/>
            </w:pPr>
            <w:r/>
            <w:r>
              <w:rPr>
                <w:rFonts w:ascii="Times New Roman" w:hAnsi="Times New Roman"/>
                <w:b w:val="0"/>
                <w:color w:val="18323F"/>
                <w:sz w:val="17"/>
              </w:rPr>
              <w:t>National/state descriptive context</w:t>
            </w:r>
          </w:p>
        </w:tc>
        <w:tc>
          <w:tcPr>
            <w:tcW w:type="dxa" w:w="2880"/>
            <w:vAlign w:val="center"/>
            <w:shd w:fill="EAF3F6"/>
          </w:tcPr>
          <w:p>
            <w:pPr>
              <w:spacing w:after="0"/>
            </w:pPr>
            <w:r/>
            <w:r>
              <w:rPr>
                <w:rFonts w:ascii="Times New Roman" w:hAnsi="Times New Roman"/>
                <w:b w:val="0"/>
                <w:color w:val="18323F"/>
                <w:sz w:val="17"/>
              </w:rPr>
              <w:t>Not downscaled into model features</w:t>
            </w:r>
          </w:p>
        </w:tc>
      </w:tr>
      <w:tr>
        <w:tc>
          <w:tcPr>
            <w:tcW w:type="dxa" w:w="2448"/>
            <w:vAlign w:val="center"/>
          </w:tcPr>
          <w:p>
            <w:pPr>
              <w:spacing w:after="0"/>
            </w:pPr>
            <w:r/>
            <w:r>
              <w:rPr>
                <w:rFonts w:ascii="Times New Roman" w:hAnsi="Times New Roman"/>
                <w:b w:val="0"/>
                <w:color w:val="18323F"/>
                <w:sz w:val="17"/>
              </w:rPr>
              <w:t>DOSM Datathon 2026 booklet</w:t>
            </w:r>
          </w:p>
        </w:tc>
        <w:tc>
          <w:tcPr>
            <w:tcW w:type="dxa" w:w="4032"/>
            <w:vAlign w:val="center"/>
          </w:tcPr>
          <w:p>
            <w:pPr>
              <w:spacing w:after="0"/>
            </w:pPr>
            <w:r/>
            <w:r>
              <w:rPr>
                <w:rFonts w:ascii="Times New Roman" w:hAnsi="Times New Roman"/>
                <w:b w:val="0"/>
                <w:color w:val="18323F"/>
                <w:sz w:val="17"/>
              </w:rPr>
              <w:t>Submission and evidence rules</w:t>
            </w:r>
          </w:p>
        </w:tc>
        <w:tc>
          <w:tcPr>
            <w:tcW w:type="dxa" w:w="2880"/>
            <w:vAlign w:val="center"/>
          </w:tcPr>
          <w:p>
            <w:pPr>
              <w:spacing w:after="0"/>
            </w:pPr>
            <w:r/>
            <w:r>
              <w:rPr>
                <w:rFonts w:ascii="Times New Roman" w:hAnsi="Times New Roman"/>
                <w:b w:val="0"/>
                <w:color w:val="18323F"/>
                <w:sz w:val="17"/>
              </w:rPr>
              <w:t>No simulated or fabricated observations</w:t>
            </w:r>
          </w:p>
        </w:tc>
      </w:tr>
    </w:tbl>
    <w:p>
      <w:pPr>
        <w:pStyle w:val="Heading1"/>
        <w:keepNext/>
        <w:spacing w:before="200" w:after="100"/>
      </w:pPr>
      <w:r>
        <w:t>2.1 Data quality controls</w:t>
      </w:r>
    </w:p>
    <w:p>
      <w:pPr>
        <w:pStyle w:val="ListBullet"/>
        <w:spacing w:line="360" w:lineRule="auto" w:after="80"/>
      </w:pPr>
      <w:r>
        <w:t>404 processed island-year rows and 46 retained fields.</w:t>
      </w:r>
    </w:p>
    <w:p>
      <w:pPr>
        <w:pStyle w:val="ListBullet"/>
        <w:spacing w:line="360" w:lineRule="auto" w:after="80"/>
      </w:pPr>
      <w:r>
        <w:t>NOAA rows use the published DHW field, not the adjacent threshold-exceedance field.</w:t>
      </w:r>
    </w:p>
    <w:p>
      <w:pPr>
        <w:pStyle w:val="ListBullet"/>
        <w:spacing w:line="360" w:lineRule="auto" w:after="80"/>
      </w:pPr>
      <w:r>
        <w:t>Coordinates, marine-park labels, source confidence, and extraction source are retained for audit.</w:t>
      </w:r>
    </w:p>
    <w:p>
      <w:pPr>
        <w:pStyle w:val="ListBullet"/>
        <w:spacing w:line="360" w:lineRule="auto" w:after="80"/>
      </w:pPr>
      <w:r>
        <w:t>First observations without a previous survey have no change-rate target and are excluded from transition modeling.</w:t>
      </w:r>
    </w:p>
    <w:p>
      <w:pPr>
        <w:pStyle w:val="Heading1"/>
        <w:keepNext/>
        <w:spacing w:before="200" w:after="100"/>
      </w:pPr>
      <w:r>
        <w:t>2.2 Known evidence limitations</w:t>
      </w:r>
    </w:p>
    <w:p>
      <w:pPr>
        <w:spacing w:line="360" w:lineRule="auto" w:after="140"/>
      </w:pPr>
      <w:r>
        <w:rPr>
          <w:b w:val="0"/>
          <w:i w:val="0"/>
          <w:color w:val="18323F"/>
        </w:rPr>
        <w:t>Survey coverage is uneven across islands and years. Narrative impact flags indicate that a stressor was mentioned in a report; they are not continuous measurements of intensity. Regional NOAA stations do not replace in-water temperature loggers. Results should be refreshed whenever extraction corrections or new survey years become available.</w:t>
      </w:r>
    </w:p>
    <w:p>
      <w:r>
        <w:br w:type="page"/>
      </w:r>
    </w:p>
    <w:p>
      <w:pPr>
        <w:pStyle w:val="Heading1"/>
        <w:keepNext/>
        <w:spacing w:before="200" w:after="100"/>
      </w:pPr>
      <w:r>
        <w:t>3. Modeling method</w:t>
      </w:r>
    </w:p>
    <w:p>
      <w:pPr>
        <w:spacing w:line="360" w:lineRule="auto" w:after="140"/>
      </w:pPr>
      <w:r>
        <w:rPr>
          <w:b w:val="0"/>
          <w:i w:val="0"/>
          <w:color w:val="18323F"/>
        </w:rPr>
        <w:t>Each training example uses conditions recorded for an island at one survey and predicts the annualized live-coral-cover change observed at that island's next survey. Rows are ordered within island before the target is created. Evaluation uses the latest five target years as separate test periods; every test year is trained only on earlier target years.</w:t>
      </w:r>
    </w:p>
    <w:p>
      <w:pPr>
        <w:pStyle w:val="Heading1"/>
        <w:keepNext/>
        <w:spacing w:before="200" w:after="100"/>
      </w:pPr>
      <w:r>
        <w:t>3.1 Compared models</w:t>
      </w:r>
    </w:p>
    <w:tbl>
      <w:tblPr>
        <w:tblW w:type="auto" w:w="0"/>
        <w:jc w:val="center"/>
        <w:tblLayout w:type="fixed"/>
        <w:tblLook w:firstColumn="1" w:firstRow="1" w:lastColumn="0" w:lastRow="0" w:noHBand="0" w:noVBand="1" w:val="04A0"/>
      </w:tblPr>
      <w:tblGrid>
        <w:gridCol w:w="2448"/>
        <w:gridCol w:w="2448"/>
        <w:gridCol w:w="2448"/>
        <w:gridCol w:w="2448"/>
      </w:tblGrid>
      <w:tr>
        <w:tc>
          <w:tcPr>
            <w:tcW w:type="dxa" w:w="3456"/>
            <w:vAlign w:val="center"/>
            <w:shd w:fill="12304A"/>
          </w:tcPr>
          <w:p>
            <w:pPr>
              <w:spacing w:after="0"/>
            </w:pPr>
            <w:r/>
            <w:r>
              <w:rPr>
                <w:rFonts w:ascii="Times New Roman" w:hAnsi="Times New Roman"/>
                <w:b/>
                <w:color w:val="FFFFFF"/>
                <w:sz w:val="18"/>
              </w:rPr>
              <w:t>Model</w:t>
            </w:r>
          </w:p>
        </w:tc>
        <w:tc>
          <w:tcPr>
            <w:tcW w:type="dxa" w:w="1872"/>
            <w:vAlign w:val="center"/>
            <w:shd w:fill="12304A"/>
          </w:tcPr>
          <w:p>
            <w:pPr>
              <w:spacing w:after="0"/>
            </w:pPr>
            <w:r/>
            <w:r>
              <w:rPr>
                <w:rFonts w:ascii="Times New Roman" w:hAnsi="Times New Roman"/>
                <w:b/>
                <w:color w:val="FFFFFF"/>
                <w:sz w:val="18"/>
              </w:rPr>
              <w:t>MAE (pp/yr)</w:t>
            </w:r>
          </w:p>
        </w:tc>
        <w:tc>
          <w:tcPr>
            <w:tcW w:type="dxa" w:w="1872"/>
            <w:vAlign w:val="center"/>
            <w:shd w:fill="12304A"/>
          </w:tcPr>
          <w:p>
            <w:pPr>
              <w:spacing w:after="0"/>
            </w:pPr>
            <w:r/>
            <w:r>
              <w:rPr>
                <w:rFonts w:ascii="Times New Roman" w:hAnsi="Times New Roman"/>
                <w:b/>
                <w:color w:val="FFFFFF"/>
                <w:sz w:val="18"/>
              </w:rPr>
              <w:t>RMSE (pp/yr)</w:t>
            </w:r>
          </w:p>
        </w:tc>
        <w:tc>
          <w:tcPr>
            <w:tcW w:type="dxa" w:w="1440"/>
            <w:vAlign w:val="center"/>
            <w:shd w:fill="12304A"/>
          </w:tcPr>
          <w:p>
            <w:pPr>
              <w:spacing w:after="0"/>
            </w:pPr>
            <w:r/>
            <w:r>
              <w:rPr>
                <w:rFonts w:ascii="Times New Roman" w:hAnsi="Times New Roman"/>
                <w:b/>
                <w:color w:val="FFFFFF"/>
                <w:sz w:val="18"/>
              </w:rPr>
              <w:t>R²</w:t>
            </w:r>
          </w:p>
        </w:tc>
      </w:tr>
      <w:tr>
        <w:tc>
          <w:tcPr>
            <w:tcW w:type="dxa" w:w="3456"/>
            <w:vAlign w:val="center"/>
            <w:shd w:fill="EAF3F6"/>
          </w:tcPr>
          <w:p>
            <w:pPr>
              <w:spacing w:after="0"/>
            </w:pPr>
            <w:r/>
            <w:r>
              <w:rPr>
                <w:rFonts w:ascii="Times New Roman" w:hAnsi="Times New Roman"/>
                <w:b w:val="0"/>
                <w:color w:val="18323F"/>
                <w:sz w:val="17"/>
              </w:rPr>
              <w:t>Baseline mean</w:t>
            </w:r>
          </w:p>
        </w:tc>
        <w:tc>
          <w:tcPr>
            <w:tcW w:type="dxa" w:w="1872"/>
            <w:vAlign w:val="center"/>
            <w:shd w:fill="EAF3F6"/>
          </w:tcPr>
          <w:p>
            <w:pPr>
              <w:spacing w:after="0"/>
            </w:pPr>
            <w:r/>
            <w:r>
              <w:rPr>
                <w:rFonts w:ascii="Times New Roman" w:hAnsi="Times New Roman"/>
                <w:b w:val="0"/>
                <w:color w:val="18323F"/>
                <w:sz w:val="17"/>
              </w:rPr>
              <w:t>5.991</w:t>
            </w:r>
          </w:p>
        </w:tc>
        <w:tc>
          <w:tcPr>
            <w:tcW w:type="dxa" w:w="1872"/>
            <w:vAlign w:val="center"/>
            <w:shd w:fill="EAF3F6"/>
          </w:tcPr>
          <w:p>
            <w:pPr>
              <w:spacing w:after="0"/>
            </w:pPr>
            <w:r/>
            <w:r>
              <w:rPr>
                <w:rFonts w:ascii="Times New Roman" w:hAnsi="Times New Roman"/>
                <w:b w:val="0"/>
                <w:color w:val="18323F"/>
                <w:sz w:val="17"/>
              </w:rPr>
              <w:t>8.100</w:t>
            </w:r>
          </w:p>
        </w:tc>
        <w:tc>
          <w:tcPr>
            <w:tcW w:type="dxa" w:w="1440"/>
            <w:vAlign w:val="center"/>
            <w:shd w:fill="EAF3F6"/>
          </w:tcPr>
          <w:p>
            <w:pPr>
              <w:spacing w:after="0"/>
            </w:pPr>
            <w:r/>
            <w:r>
              <w:rPr>
                <w:rFonts w:ascii="Times New Roman" w:hAnsi="Times New Roman"/>
                <w:b w:val="0"/>
                <w:color w:val="18323F"/>
                <w:sz w:val="17"/>
              </w:rPr>
              <w:t>-0.019</w:t>
            </w:r>
          </w:p>
        </w:tc>
      </w:tr>
      <w:tr>
        <w:tc>
          <w:tcPr>
            <w:tcW w:type="dxa" w:w="3456"/>
            <w:vAlign w:val="center"/>
          </w:tcPr>
          <w:p>
            <w:pPr>
              <w:spacing w:after="0"/>
            </w:pPr>
            <w:r/>
            <w:r>
              <w:rPr>
                <w:rFonts w:ascii="Times New Roman" w:hAnsi="Times New Roman"/>
                <w:b w:val="0"/>
                <w:color w:val="18323F"/>
                <w:sz w:val="17"/>
              </w:rPr>
              <w:t>Ridge regression</w:t>
            </w:r>
          </w:p>
        </w:tc>
        <w:tc>
          <w:tcPr>
            <w:tcW w:type="dxa" w:w="1872"/>
            <w:vAlign w:val="center"/>
          </w:tcPr>
          <w:p>
            <w:pPr>
              <w:spacing w:after="0"/>
            </w:pPr>
            <w:r/>
            <w:r>
              <w:rPr>
                <w:rFonts w:ascii="Times New Roman" w:hAnsi="Times New Roman"/>
                <w:b w:val="0"/>
                <w:color w:val="18323F"/>
                <w:sz w:val="17"/>
              </w:rPr>
              <w:t>5.993</w:t>
            </w:r>
          </w:p>
        </w:tc>
        <w:tc>
          <w:tcPr>
            <w:tcW w:type="dxa" w:w="1872"/>
            <w:vAlign w:val="center"/>
          </w:tcPr>
          <w:p>
            <w:pPr>
              <w:spacing w:after="0"/>
            </w:pPr>
            <w:r/>
            <w:r>
              <w:rPr>
                <w:rFonts w:ascii="Times New Roman" w:hAnsi="Times New Roman"/>
                <w:b w:val="0"/>
                <w:color w:val="18323F"/>
                <w:sz w:val="17"/>
              </w:rPr>
              <w:t>7.909</w:t>
            </w:r>
          </w:p>
        </w:tc>
        <w:tc>
          <w:tcPr>
            <w:tcW w:type="dxa" w:w="1440"/>
            <w:vAlign w:val="center"/>
          </w:tcPr>
          <w:p>
            <w:pPr>
              <w:spacing w:after="0"/>
            </w:pPr>
            <w:r/>
            <w:r>
              <w:rPr>
                <w:rFonts w:ascii="Times New Roman" w:hAnsi="Times New Roman"/>
                <w:b w:val="0"/>
                <w:color w:val="18323F"/>
                <w:sz w:val="17"/>
              </w:rPr>
              <w:t>0.029</w:t>
            </w:r>
          </w:p>
        </w:tc>
      </w:tr>
      <w:tr>
        <w:tc>
          <w:tcPr>
            <w:tcW w:type="dxa" w:w="3456"/>
            <w:vAlign w:val="center"/>
            <w:shd w:fill="EAF3F6"/>
          </w:tcPr>
          <w:p>
            <w:pPr>
              <w:spacing w:after="0"/>
            </w:pPr>
            <w:r/>
            <w:r>
              <w:rPr>
                <w:rFonts w:ascii="Times New Roman" w:hAnsi="Times New Roman"/>
                <w:b w:val="0"/>
                <w:color w:val="18323F"/>
                <w:sz w:val="17"/>
              </w:rPr>
              <w:t>Gradient boosting</w:t>
            </w:r>
          </w:p>
        </w:tc>
        <w:tc>
          <w:tcPr>
            <w:tcW w:type="dxa" w:w="1872"/>
            <w:vAlign w:val="center"/>
            <w:shd w:fill="EAF3F6"/>
          </w:tcPr>
          <w:p>
            <w:pPr>
              <w:spacing w:after="0"/>
            </w:pPr>
            <w:r/>
            <w:r>
              <w:rPr>
                <w:rFonts w:ascii="Times New Roman" w:hAnsi="Times New Roman"/>
                <w:b w:val="0"/>
                <w:color w:val="18323F"/>
                <w:sz w:val="17"/>
              </w:rPr>
              <w:t>5.902</w:t>
            </w:r>
          </w:p>
        </w:tc>
        <w:tc>
          <w:tcPr>
            <w:tcW w:type="dxa" w:w="1872"/>
            <w:vAlign w:val="center"/>
            <w:shd w:fill="EAF3F6"/>
          </w:tcPr>
          <w:p>
            <w:pPr>
              <w:spacing w:after="0"/>
            </w:pPr>
            <w:r/>
            <w:r>
              <w:rPr>
                <w:rFonts w:ascii="Times New Roman" w:hAnsi="Times New Roman"/>
                <w:b w:val="0"/>
                <w:color w:val="18323F"/>
                <w:sz w:val="17"/>
              </w:rPr>
              <w:t>7.817</w:t>
            </w:r>
          </w:p>
        </w:tc>
        <w:tc>
          <w:tcPr>
            <w:tcW w:type="dxa" w:w="1440"/>
            <w:vAlign w:val="center"/>
            <w:shd w:fill="EAF3F6"/>
          </w:tcPr>
          <w:p>
            <w:pPr>
              <w:spacing w:after="0"/>
            </w:pPr>
            <w:r/>
            <w:r>
              <w:rPr>
                <w:rFonts w:ascii="Times New Roman" w:hAnsi="Times New Roman"/>
                <w:b w:val="0"/>
                <w:color w:val="18323F"/>
                <w:sz w:val="17"/>
              </w:rPr>
              <w:t>0.051</w:t>
            </w:r>
          </w:p>
        </w:tc>
      </w:tr>
      <w:tr>
        <w:tc>
          <w:tcPr>
            <w:tcW w:type="dxa" w:w="3456"/>
            <w:vAlign w:val="center"/>
          </w:tcPr>
          <w:p>
            <w:pPr>
              <w:spacing w:after="0"/>
            </w:pPr>
            <w:r/>
            <w:r>
              <w:rPr>
                <w:rFonts w:ascii="Times New Roman" w:hAnsi="Times New Roman"/>
                <w:b w:val="0"/>
                <w:color w:val="18323F"/>
                <w:sz w:val="17"/>
              </w:rPr>
              <w:t>Random forest</w:t>
            </w:r>
          </w:p>
        </w:tc>
        <w:tc>
          <w:tcPr>
            <w:tcW w:type="dxa" w:w="1872"/>
            <w:vAlign w:val="center"/>
          </w:tcPr>
          <w:p>
            <w:pPr>
              <w:spacing w:after="0"/>
            </w:pPr>
            <w:r/>
            <w:r>
              <w:rPr>
                <w:rFonts w:ascii="Times New Roman" w:hAnsi="Times New Roman"/>
                <w:b w:val="0"/>
                <w:color w:val="18323F"/>
                <w:sz w:val="17"/>
              </w:rPr>
              <w:t>6.123</w:t>
            </w:r>
          </w:p>
        </w:tc>
        <w:tc>
          <w:tcPr>
            <w:tcW w:type="dxa" w:w="1872"/>
            <w:vAlign w:val="center"/>
          </w:tcPr>
          <w:p>
            <w:pPr>
              <w:spacing w:after="0"/>
            </w:pPr>
            <w:r/>
            <w:r>
              <w:rPr>
                <w:rFonts w:ascii="Times New Roman" w:hAnsi="Times New Roman"/>
                <w:b w:val="0"/>
                <w:color w:val="18323F"/>
                <w:sz w:val="17"/>
              </w:rPr>
              <w:t>8.073</w:t>
            </w:r>
          </w:p>
        </w:tc>
        <w:tc>
          <w:tcPr>
            <w:tcW w:type="dxa" w:w="1440"/>
            <w:vAlign w:val="center"/>
          </w:tcPr>
          <w:p>
            <w:pPr>
              <w:spacing w:after="0"/>
            </w:pPr>
            <w:r/>
            <w:r>
              <w:rPr>
                <w:rFonts w:ascii="Times New Roman" w:hAnsi="Times New Roman"/>
                <w:b w:val="0"/>
                <w:color w:val="18323F"/>
                <w:sz w:val="17"/>
              </w:rPr>
              <w:t>-0.012</w:t>
            </w:r>
          </w:p>
        </w:tc>
      </w:tr>
    </w:tbl>
    <w:p>
      <w:pPr>
        <w:pStyle w:val="Heading1"/>
        <w:keepNext/>
        <w:spacing w:before="200" w:after="100"/>
      </w:pPr>
      <w:r>
        <w:t>3.2 Model selection</w:t>
      </w:r>
    </w:p>
    <w:p>
      <w:pPr>
        <w:spacing w:line="360" w:lineRule="auto" w:after="140"/>
      </w:pPr>
      <w:r>
        <w:rPr>
          <w:b w:val="0"/>
          <w:i w:val="0"/>
          <w:color w:val="18323F"/>
        </w:rPr>
        <w:t>Gradient Boosting had the lowest forward-test MAE (5.902 pp/yr). The difference from the baseline is only 1.5%; therefore the model is retained only for relative screening. The dashboard keeps the baseline comparison and R² visible so users cannot mistake the ranking for high-accuracy forecasting.</w:t>
      </w:r>
    </w:p>
    <w:p>
      <w:pPr>
        <w:jc w:val="center"/>
      </w:pPr>
      <w:r>
        <w:drawing>
          <wp:inline xmlns:a="http://schemas.openxmlformats.org/drawingml/2006/main" xmlns:pic="http://schemas.openxmlformats.org/drawingml/2006/picture">
            <wp:extent cx="5486400" cy="3086100"/>
            <wp:docPr id="1" name="Picture 1"/>
            <wp:cNvGraphicFramePr>
              <a:graphicFrameLocks noChangeAspect="1"/>
            </wp:cNvGraphicFramePr>
            <a:graphic>
              <a:graphicData uri="http://schemas.openxmlformats.org/drawingml/2006/picture">
                <pic:pic>
                  <pic:nvPicPr>
                    <pic:cNvPr id="0" name="fig1_model_performance_cv.png"/>
                    <pic:cNvPicPr/>
                  </pic:nvPicPr>
                  <pic:blipFill>
                    <a:blip r:embed="rId11"/>
                    <a:stretch>
                      <a:fillRect/>
                    </a:stretch>
                  </pic:blipFill>
                  <pic:spPr>
                    <a:xfrm>
                      <a:off x="0" y="0"/>
                      <a:ext cx="5486400" cy="3086100"/>
                    </a:xfrm>
                    <a:prstGeom prst="rect"/>
                  </pic:spPr>
                </pic:pic>
              </a:graphicData>
            </a:graphic>
          </wp:inline>
        </w:drawing>
      </w:r>
    </w:p>
    <w:p>
      <w:pPr>
        <w:spacing w:after="160"/>
        <w:jc w:val="center"/>
      </w:pPr>
      <w:r>
        <w:rPr>
          <w:i/>
          <w:sz w:val="18"/>
        </w:rPr>
        <w:t>Figure 1. Forward-test model comparison. Lower MAE and RMSE are better.</w:t>
      </w:r>
    </w:p>
    <w:p>
      <w:r>
        <w:br w:type="page"/>
      </w:r>
    </w:p>
    <w:p>
      <w:pPr>
        <w:pStyle w:val="Heading1"/>
        <w:keepNext/>
        <w:spacing w:before="200" w:after="100"/>
      </w:pPr>
      <w:r>
        <w:t>4. Results and interpretation</w:t>
      </w:r>
    </w:p>
    <w:p>
      <w:pPr>
        <w:jc w:val="center"/>
      </w:pPr>
      <w:r>
        <w:drawing>
          <wp:inline xmlns:a="http://schemas.openxmlformats.org/drawingml/2006/main" xmlns:pic="http://schemas.openxmlformats.org/drawingml/2006/picture">
            <wp:extent cx="5486400" cy="4389120"/>
            <wp:docPr id="2" name="Picture 2"/>
            <wp:cNvGraphicFramePr>
              <a:graphicFrameLocks noChangeAspect="1"/>
            </wp:cNvGraphicFramePr>
            <a:graphic>
              <a:graphicData uri="http://schemas.openxmlformats.org/drawingml/2006/picture">
                <pic:pic>
                  <pic:nvPicPr>
                    <pic:cNvPr id="0" name="fig2_actual_vs_predicted.png"/>
                    <pic:cNvPicPr/>
                  </pic:nvPicPr>
                  <pic:blipFill>
                    <a:blip r:embed="rId12"/>
                    <a:stretch>
                      <a:fillRect/>
                    </a:stretch>
                  </pic:blipFill>
                  <pic:spPr>
                    <a:xfrm>
                      <a:off x="0" y="0"/>
                      <a:ext cx="5486400" cy="4389120"/>
                    </a:xfrm>
                    <a:prstGeom prst="rect"/>
                  </pic:spPr>
                </pic:pic>
              </a:graphicData>
            </a:graphic>
          </wp:inline>
        </w:drawing>
      </w:r>
    </w:p>
    <w:p>
      <w:pPr>
        <w:spacing w:after="160"/>
        <w:jc w:val="center"/>
      </w:pPr>
      <w:r>
        <w:rPr>
          <w:i/>
          <w:sz w:val="18"/>
        </w:rPr>
        <w:t>Figure 2. Held-forward observations versus predictions for the selected model.</w:t>
      </w:r>
    </w:p>
    <w:p>
      <w:pPr>
        <w:spacing w:line="360" w:lineRule="auto" w:after="140"/>
      </w:pPr>
      <w:r>
        <w:rPr>
          <w:b w:val="0"/>
          <w:i w:val="0"/>
          <w:color w:val="18323F"/>
        </w:rPr>
        <w:t>Predictions remain concentrated around the centre of the observed distribution and do not reproduce extreme annual changes well. Wide empirical prediction bands are shown in the dashboard. This behaviour is consistent with the low positive R² and reinforces the need for field verification.</w:t>
      </w:r>
    </w:p>
    <w:p>
      <w:pPr>
        <w:jc w:val="center"/>
      </w:pPr>
      <w:r>
        <w:drawing>
          <wp:inline xmlns:a="http://schemas.openxmlformats.org/drawingml/2006/main" xmlns:pic="http://schemas.openxmlformats.org/drawingml/2006/picture">
            <wp:extent cx="5486400" cy="3657600"/>
            <wp:docPr id="3" name="Picture 3"/>
            <wp:cNvGraphicFramePr>
              <a:graphicFrameLocks noChangeAspect="1"/>
            </wp:cNvGraphicFramePr>
            <a:graphic>
              <a:graphicData uri="http://schemas.openxmlformats.org/drawingml/2006/picture">
                <pic:pic>
                  <pic:nvPicPr>
                    <pic:cNvPr id="0" name="fig3_feature_importance.png"/>
                    <pic:cNvPicPr/>
                  </pic:nvPicPr>
                  <pic:blipFill>
                    <a:blip r:embed="rId13"/>
                    <a:stretch>
                      <a:fillRect/>
                    </a:stretch>
                  </pic:blipFill>
                  <pic:spPr>
                    <a:xfrm>
                      <a:off x="0" y="0"/>
                      <a:ext cx="5486400" cy="3657600"/>
                    </a:xfrm>
                    <a:prstGeom prst="rect"/>
                  </pic:spPr>
                </pic:pic>
              </a:graphicData>
            </a:graphic>
          </wp:inline>
        </w:drawing>
      </w:r>
    </w:p>
    <w:p>
      <w:pPr>
        <w:spacing w:after="160"/>
        <w:jc w:val="center"/>
      </w:pPr>
      <w:r>
        <w:rPr>
          <w:i/>
          <w:sz w:val="18"/>
        </w:rPr>
        <w:t>Figure 3. Forward-test permutation importance. Values indicate predictive association, not causation.</w:t>
      </w:r>
    </w:p>
    <w:p>
      <w:r>
        <w:br w:type="page"/>
      </w:r>
    </w:p>
    <w:p>
      <w:pPr>
        <w:pStyle w:val="Heading1"/>
        <w:keepNext/>
        <w:spacing w:before="200" w:after="100"/>
      </w:pPr>
      <w:r>
        <w:t>4.1 Factor relationships</w:t>
      </w:r>
    </w:p>
    <w:p>
      <w:pPr>
        <w:jc w:val="center"/>
      </w:pPr>
      <w:r>
        <w:drawing>
          <wp:inline xmlns:a="http://schemas.openxmlformats.org/drawingml/2006/main" xmlns:pic="http://schemas.openxmlformats.org/drawingml/2006/picture">
            <wp:extent cx="5943600" cy="2011680"/>
            <wp:docPr id="4" name="Picture 4"/>
            <wp:cNvGraphicFramePr>
              <a:graphicFrameLocks noChangeAspect="1"/>
            </wp:cNvGraphicFramePr>
            <a:graphic>
              <a:graphicData uri="http://schemas.openxmlformats.org/drawingml/2006/picture">
                <pic:pic>
                  <pic:nvPicPr>
                    <pic:cNvPr id="0" name="fig4_factor_relationships.png"/>
                    <pic:cNvPicPr/>
                  </pic:nvPicPr>
                  <pic:blipFill>
                    <a:blip r:embed="rId14"/>
                    <a:stretch>
                      <a:fillRect/>
                    </a:stretch>
                  </pic:blipFill>
                  <pic:spPr>
                    <a:xfrm>
                      <a:off x="0" y="0"/>
                      <a:ext cx="5943600" cy="2011680"/>
                    </a:xfrm>
                    <a:prstGeom prst="rect"/>
                  </pic:spPr>
                </pic:pic>
              </a:graphicData>
            </a:graphic>
          </wp:inline>
        </w:drawing>
      </w:r>
    </w:p>
    <w:p>
      <w:pPr>
        <w:spacing w:after="160"/>
        <w:jc w:val="center"/>
      </w:pPr>
      <w:r>
        <w:rPr>
          <w:i/>
          <w:sz w:val="18"/>
        </w:rPr>
        <w:t>Figure 4. Factors measured at the current observation versus the next observed coral-cover change. These are descriptive lagged associations, not causal effects.</w:t>
      </w:r>
    </w:p>
    <w:p>
      <w:pPr>
        <w:spacing w:line="360" w:lineRule="auto" w:after="140"/>
      </w:pPr>
      <w:r>
        <w:rPr>
          <w:b w:val="0"/>
          <w:i w:val="0"/>
          <w:color w:val="18323F"/>
        </w:rPr>
        <w:t>Maximum NOAA DHW had a weak negative Spearman relationship with the next observed coral-cover change (rho -0.105, p=0.051, n=348). The mean next change was -0.55 pp/year for DHW below 1 and -1.38 pp/year for DHW at least 4. This pattern is directionally consistent with heat stress, but the regional station match, irregular surveys, repeated islands and unmeasured local events prevent causal interpretation.</w:t>
      </w:r>
    </w:p>
    <w:p>
      <w:pPr>
        <w:spacing w:line="360" w:lineRule="auto" w:after="140"/>
      </w:pPr>
      <w:r>
        <w:rPr>
          <w:b w:val="0"/>
          <w:i w:val="0"/>
          <w:color w:val="18323F"/>
        </w:rPr>
        <w:t>Narrative anchor, trash and bleaching flags did not show strong group separation in this sample. Absence of a narrative mention is not confirmed absence, so these indicators remain evidence prompts rather than causal or predictive conclusions.</w:t>
      </w:r>
    </w:p>
    <w:p>
      <w:r>
        <w:br w:type="page"/>
      </w:r>
    </w:p>
    <w:p>
      <w:pPr>
        <w:pStyle w:val="Heading1"/>
        <w:keepNext/>
        <w:spacing w:before="200" w:after="100"/>
      </w:pPr>
      <w:r>
        <w:t>5. Priority output</w:t>
      </w:r>
    </w:p>
    <w:p>
      <w:pPr>
        <w:spacing w:line="360" w:lineRule="auto" w:after="140"/>
      </w:pPr>
      <w:r>
        <w:rPr>
          <w:b w:val="0"/>
          <w:i w:val="0"/>
          <w:color w:val="18323F"/>
        </w:rPr>
        <w:t>The latest available record for each island is scored by the final model. The top quartile is labelled ‘High screening priority’; all other islands remain in ‘Monitor’. Evidence and recommended actions are rule-based and intentionally conservative.</w:t>
      </w:r>
    </w:p>
    <w:tbl>
      <w:tblPr>
        <w:tblW w:type="auto" w:w="0"/>
        <w:jc w:val="center"/>
        <w:tblLayout w:type="fixed"/>
        <w:tblLook w:firstColumn="1" w:firstRow="1" w:lastColumn="0" w:lastRow="0" w:noHBand="0" w:noVBand="1" w:val="04A0"/>
      </w:tblPr>
      <w:tblGrid>
        <w:gridCol w:w="1632"/>
        <w:gridCol w:w="1632"/>
        <w:gridCol w:w="1632"/>
        <w:gridCol w:w="1632"/>
        <w:gridCol w:w="1632"/>
        <w:gridCol w:w="1632"/>
      </w:tblGrid>
      <w:tr>
        <w:tc>
          <w:tcPr>
            <w:tcW w:type="dxa" w:w="648"/>
            <w:vAlign w:val="center"/>
            <w:shd w:fill="12304A"/>
          </w:tcPr>
          <w:p>
            <w:pPr>
              <w:spacing w:after="0"/>
            </w:pPr>
            <w:r/>
            <w:r>
              <w:rPr>
                <w:rFonts w:ascii="Times New Roman" w:hAnsi="Times New Roman"/>
                <w:b/>
                <w:color w:val="FFFFFF"/>
                <w:sz w:val="18"/>
              </w:rPr>
              <w:t>Rank</w:t>
            </w:r>
          </w:p>
        </w:tc>
        <w:tc>
          <w:tcPr>
            <w:tcW w:type="dxa" w:w="1440"/>
            <w:vAlign w:val="center"/>
            <w:shd w:fill="12304A"/>
          </w:tcPr>
          <w:p>
            <w:pPr>
              <w:spacing w:after="0"/>
            </w:pPr>
            <w:r/>
            <w:r>
              <w:rPr>
                <w:rFonts w:ascii="Times New Roman" w:hAnsi="Times New Roman"/>
                <w:b/>
                <w:color w:val="FFFFFF"/>
                <w:sz w:val="18"/>
              </w:rPr>
              <w:t>Island</w:t>
            </w:r>
          </w:p>
        </w:tc>
        <w:tc>
          <w:tcPr>
            <w:tcW w:type="dxa" w:w="1080"/>
            <w:vAlign w:val="center"/>
            <w:shd w:fill="12304A"/>
          </w:tcPr>
          <w:p>
            <w:pPr>
              <w:spacing w:after="0"/>
            </w:pPr>
            <w:r/>
            <w:r>
              <w:rPr>
                <w:rFonts w:ascii="Times New Roman" w:hAnsi="Times New Roman"/>
                <w:b/>
                <w:color w:val="FFFFFF"/>
                <w:sz w:val="18"/>
              </w:rPr>
              <w:t>State</w:t>
            </w:r>
          </w:p>
        </w:tc>
        <w:tc>
          <w:tcPr>
            <w:tcW w:type="dxa" w:w="1080"/>
            <w:vAlign w:val="center"/>
            <w:shd w:fill="12304A"/>
          </w:tcPr>
          <w:p>
            <w:pPr>
              <w:spacing w:after="0"/>
            </w:pPr>
            <w:r/>
            <w:r>
              <w:rPr>
                <w:rFonts w:ascii="Times New Roman" w:hAnsi="Times New Roman"/>
                <w:b/>
                <w:color w:val="FFFFFF"/>
                <w:sz w:val="18"/>
              </w:rPr>
              <w:t>Prediction</w:t>
            </w:r>
          </w:p>
        </w:tc>
        <w:tc>
          <w:tcPr>
            <w:tcW w:type="dxa" w:w="2160"/>
            <w:vAlign w:val="center"/>
            <w:shd w:fill="12304A"/>
          </w:tcPr>
          <w:p>
            <w:pPr>
              <w:spacing w:after="0"/>
            </w:pPr>
            <w:r/>
            <w:r>
              <w:rPr>
                <w:rFonts w:ascii="Times New Roman" w:hAnsi="Times New Roman"/>
                <w:b/>
                <w:color w:val="FFFFFF"/>
                <w:sz w:val="18"/>
              </w:rPr>
              <w:t>Observed evidence</w:t>
            </w:r>
          </w:p>
        </w:tc>
        <w:tc>
          <w:tcPr>
            <w:tcW w:type="dxa" w:w="2592"/>
            <w:vAlign w:val="center"/>
            <w:shd w:fill="12304A"/>
          </w:tcPr>
          <w:p>
            <w:pPr>
              <w:spacing w:after="0"/>
            </w:pPr>
            <w:r/>
            <w:r>
              <w:rPr>
                <w:rFonts w:ascii="Times New Roman" w:hAnsi="Times New Roman"/>
                <w:b/>
                <w:color w:val="FFFFFF"/>
                <w:sz w:val="18"/>
              </w:rPr>
              <w:t>Next step</w:t>
            </w:r>
          </w:p>
        </w:tc>
      </w:tr>
      <w:tr>
        <w:tc>
          <w:tcPr>
            <w:tcW w:type="dxa" w:w="648"/>
            <w:vAlign w:val="center"/>
            <w:shd w:fill="EAF3F6"/>
          </w:tcPr>
          <w:p>
            <w:pPr>
              <w:spacing w:after="0"/>
            </w:pPr>
            <w:r/>
            <w:r>
              <w:rPr>
                <w:rFonts w:ascii="Times New Roman" w:hAnsi="Times New Roman"/>
                <w:b w:val="0"/>
                <w:color w:val="18323F"/>
                <w:sz w:val="17"/>
              </w:rPr>
              <w:t>1</w:t>
            </w:r>
          </w:p>
        </w:tc>
        <w:tc>
          <w:tcPr>
            <w:tcW w:type="dxa" w:w="1440"/>
            <w:vAlign w:val="center"/>
            <w:shd w:fill="EAF3F6"/>
          </w:tcPr>
          <w:p>
            <w:pPr>
              <w:spacing w:after="0"/>
            </w:pPr>
            <w:r/>
            <w:r>
              <w:rPr>
                <w:rFonts w:ascii="Times New Roman" w:hAnsi="Times New Roman"/>
                <w:b w:val="0"/>
                <w:color w:val="18323F"/>
                <w:sz w:val="17"/>
              </w:rPr>
              <w:t>Labuan</w:t>
            </w:r>
          </w:p>
        </w:tc>
        <w:tc>
          <w:tcPr>
            <w:tcW w:type="dxa" w:w="1080"/>
            <w:vAlign w:val="center"/>
            <w:shd w:fill="EAF3F6"/>
          </w:tcPr>
          <w:p>
            <w:pPr>
              <w:spacing w:after="0"/>
            </w:pPr>
            <w:r/>
            <w:r>
              <w:rPr>
                <w:rFonts w:ascii="Times New Roman" w:hAnsi="Times New Roman"/>
                <w:b w:val="0"/>
                <w:color w:val="18323F"/>
                <w:sz w:val="17"/>
              </w:rPr>
              <w:t>Sabah</w:t>
            </w:r>
          </w:p>
        </w:tc>
        <w:tc>
          <w:tcPr>
            <w:tcW w:type="dxa" w:w="1080"/>
            <w:vAlign w:val="center"/>
            <w:shd w:fill="EAF3F6"/>
          </w:tcPr>
          <w:p>
            <w:pPr>
              <w:spacing w:after="0"/>
            </w:pPr>
            <w:r/>
            <w:r>
              <w:rPr>
                <w:rFonts w:ascii="Times New Roman" w:hAnsi="Times New Roman"/>
                <w:b w:val="0"/>
                <w:color w:val="18323F"/>
                <w:sz w:val="17"/>
              </w:rPr>
              <w:t>-12.0</w:t>
            </w:r>
          </w:p>
        </w:tc>
        <w:tc>
          <w:tcPr>
            <w:tcW w:type="dxa" w:w="2160"/>
            <w:vAlign w:val="center"/>
            <w:shd w:fill="EAF3F6"/>
          </w:tcPr>
          <w:p>
            <w:pPr>
              <w:spacing w:after="0"/>
            </w:pPr>
            <w:r/>
            <w:r>
              <w:rPr>
                <w:rFonts w:ascii="Times New Roman" w:hAnsi="Times New Roman"/>
                <w:b w:val="0"/>
                <w:color w:val="18323F"/>
                <w:sz w:val="17"/>
              </w:rPr>
              <w:t>NOAA thermal stress observed</w:t>
            </w:r>
          </w:p>
        </w:tc>
        <w:tc>
          <w:tcPr>
            <w:tcW w:type="dxa" w:w="2592"/>
            <w:vAlign w:val="center"/>
            <w:shd w:fill="EAF3F6"/>
          </w:tcPr>
          <w:p>
            <w:pPr>
              <w:spacing w:after="0"/>
            </w:pPr>
            <w:r/>
            <w:r>
              <w:rPr>
                <w:rFonts w:ascii="Times New Roman" w:hAnsi="Times New Roman"/>
                <w:b w:val="0"/>
                <w:color w:val="18323F"/>
                <w:sz w:val="17"/>
              </w:rPr>
              <w:t>Coordinate bleaching survey; do not attribute thermal loss to visitors</w:t>
            </w:r>
          </w:p>
        </w:tc>
      </w:tr>
      <w:tr>
        <w:tc>
          <w:tcPr>
            <w:tcW w:type="dxa" w:w="648"/>
            <w:vAlign w:val="center"/>
          </w:tcPr>
          <w:p>
            <w:pPr>
              <w:spacing w:after="0"/>
            </w:pPr>
            <w:r/>
            <w:r>
              <w:rPr>
                <w:rFonts w:ascii="Times New Roman" w:hAnsi="Times New Roman"/>
                <w:b w:val="0"/>
                <w:color w:val="18323F"/>
                <w:sz w:val="17"/>
              </w:rPr>
              <w:t>2</w:t>
            </w:r>
          </w:p>
        </w:tc>
        <w:tc>
          <w:tcPr>
            <w:tcW w:type="dxa" w:w="1440"/>
            <w:vAlign w:val="center"/>
          </w:tcPr>
          <w:p>
            <w:pPr>
              <w:spacing w:after="0"/>
            </w:pPr>
            <w:r/>
            <w:r>
              <w:rPr>
                <w:rFonts w:ascii="Times New Roman" w:hAnsi="Times New Roman"/>
                <w:b w:val="0"/>
                <w:color w:val="18323F"/>
                <w:sz w:val="17"/>
              </w:rPr>
              <w:t>Kapas</w:t>
            </w:r>
          </w:p>
        </w:tc>
        <w:tc>
          <w:tcPr>
            <w:tcW w:type="dxa" w:w="1080"/>
            <w:vAlign w:val="center"/>
          </w:tcPr>
          <w:p>
            <w:pPr>
              <w:spacing w:after="0"/>
            </w:pPr>
            <w:r/>
            <w:r>
              <w:rPr>
                <w:rFonts w:ascii="Times New Roman" w:hAnsi="Times New Roman"/>
                <w:b w:val="0"/>
                <w:color w:val="18323F"/>
                <w:sz w:val="17"/>
              </w:rPr>
              <w:t>Terengganu</w:t>
            </w:r>
          </w:p>
        </w:tc>
        <w:tc>
          <w:tcPr>
            <w:tcW w:type="dxa" w:w="1080"/>
            <w:vAlign w:val="center"/>
          </w:tcPr>
          <w:p>
            <w:pPr>
              <w:spacing w:after="0"/>
            </w:pPr>
            <w:r/>
            <w:r>
              <w:rPr>
                <w:rFonts w:ascii="Times New Roman" w:hAnsi="Times New Roman"/>
                <w:b w:val="0"/>
                <w:color w:val="18323F"/>
                <w:sz w:val="17"/>
              </w:rPr>
              <w:t>-4.5</w:t>
            </w:r>
          </w:p>
        </w:tc>
        <w:tc>
          <w:tcPr>
            <w:tcW w:type="dxa" w:w="2160"/>
            <w:vAlign w:val="center"/>
          </w:tcPr>
          <w:p>
            <w:pPr>
              <w:spacing w:after="0"/>
            </w:pPr>
            <w:r/>
            <w:r>
              <w:rPr>
                <w:rFonts w:ascii="Times New Roman" w:hAnsi="Times New Roman"/>
                <w:b w:val="0"/>
                <w:color w:val="18323F"/>
                <w:sz w:val="17"/>
              </w:rPr>
              <w:t>Modelled decline; no single dominant observed stressor</w:t>
            </w:r>
          </w:p>
        </w:tc>
        <w:tc>
          <w:tcPr>
            <w:tcW w:type="dxa" w:w="2592"/>
            <w:vAlign w:val="center"/>
          </w:tcPr>
          <w:p>
            <w:pPr>
              <w:spacing w:after="0"/>
            </w:pPr>
            <w:r/>
            <w:r>
              <w:rPr>
                <w:rFonts w:ascii="Times New Roman" w:hAnsi="Times New Roman"/>
                <w:b w:val="0"/>
                <w:color w:val="18323F"/>
                <w:sz w:val="17"/>
              </w:rPr>
              <w:t>Prioritise field validation before imposing restrictions</w:t>
            </w:r>
          </w:p>
        </w:tc>
      </w:tr>
      <w:tr>
        <w:tc>
          <w:tcPr>
            <w:tcW w:type="dxa" w:w="648"/>
            <w:vAlign w:val="center"/>
            <w:shd w:fill="EAF3F6"/>
          </w:tcPr>
          <w:p>
            <w:pPr>
              <w:spacing w:after="0"/>
            </w:pPr>
            <w:r/>
            <w:r>
              <w:rPr>
                <w:rFonts w:ascii="Times New Roman" w:hAnsi="Times New Roman"/>
                <w:b w:val="0"/>
                <w:color w:val="18323F"/>
                <w:sz w:val="17"/>
              </w:rPr>
              <w:t>3</w:t>
            </w:r>
          </w:p>
        </w:tc>
        <w:tc>
          <w:tcPr>
            <w:tcW w:type="dxa" w:w="1440"/>
            <w:vAlign w:val="center"/>
            <w:shd w:fill="EAF3F6"/>
          </w:tcPr>
          <w:p>
            <w:pPr>
              <w:spacing w:after="0"/>
            </w:pPr>
            <w:r/>
            <w:r>
              <w:rPr>
                <w:rFonts w:ascii="Times New Roman" w:hAnsi="Times New Roman"/>
                <w:b w:val="0"/>
                <w:color w:val="18323F"/>
                <w:sz w:val="17"/>
              </w:rPr>
              <w:t>Lankayan</w:t>
            </w:r>
          </w:p>
        </w:tc>
        <w:tc>
          <w:tcPr>
            <w:tcW w:type="dxa" w:w="1080"/>
            <w:vAlign w:val="center"/>
            <w:shd w:fill="EAF3F6"/>
          </w:tcPr>
          <w:p>
            <w:pPr>
              <w:spacing w:after="0"/>
            </w:pPr>
            <w:r/>
            <w:r>
              <w:rPr>
                <w:rFonts w:ascii="Times New Roman" w:hAnsi="Times New Roman"/>
                <w:b w:val="0"/>
                <w:color w:val="18323F"/>
                <w:sz w:val="17"/>
              </w:rPr>
              <w:t>Sabah</w:t>
            </w:r>
          </w:p>
        </w:tc>
        <w:tc>
          <w:tcPr>
            <w:tcW w:type="dxa" w:w="1080"/>
            <w:vAlign w:val="center"/>
            <w:shd w:fill="EAF3F6"/>
          </w:tcPr>
          <w:p>
            <w:pPr>
              <w:spacing w:after="0"/>
            </w:pPr>
            <w:r/>
            <w:r>
              <w:rPr>
                <w:rFonts w:ascii="Times New Roman" w:hAnsi="Times New Roman"/>
                <w:b w:val="0"/>
                <w:color w:val="18323F"/>
                <w:sz w:val="17"/>
              </w:rPr>
              <w:t>-3.8</w:t>
            </w:r>
          </w:p>
        </w:tc>
        <w:tc>
          <w:tcPr>
            <w:tcW w:type="dxa" w:w="2160"/>
            <w:vAlign w:val="center"/>
            <w:shd w:fill="EAF3F6"/>
          </w:tcPr>
          <w:p>
            <w:pPr>
              <w:spacing w:after="0"/>
            </w:pPr>
            <w:r/>
            <w:r>
              <w:rPr>
                <w:rFonts w:ascii="Times New Roman" w:hAnsi="Times New Roman"/>
                <w:b w:val="0"/>
                <w:color w:val="18323F"/>
                <w:sz w:val="17"/>
              </w:rPr>
              <w:t>NOAA thermal stress observed</w:t>
            </w:r>
          </w:p>
        </w:tc>
        <w:tc>
          <w:tcPr>
            <w:tcW w:type="dxa" w:w="2592"/>
            <w:vAlign w:val="center"/>
            <w:shd w:fill="EAF3F6"/>
          </w:tcPr>
          <w:p>
            <w:pPr>
              <w:spacing w:after="0"/>
            </w:pPr>
            <w:r/>
            <w:r>
              <w:rPr>
                <w:rFonts w:ascii="Times New Roman" w:hAnsi="Times New Roman"/>
                <w:b w:val="0"/>
                <w:color w:val="18323F"/>
                <w:sz w:val="17"/>
              </w:rPr>
              <w:t>Coordinate bleaching survey; do not attribute thermal loss to visitors</w:t>
            </w:r>
          </w:p>
        </w:tc>
      </w:tr>
      <w:tr>
        <w:tc>
          <w:tcPr>
            <w:tcW w:type="dxa" w:w="648"/>
            <w:vAlign w:val="center"/>
          </w:tcPr>
          <w:p>
            <w:pPr>
              <w:spacing w:after="0"/>
            </w:pPr>
            <w:r/>
            <w:r>
              <w:rPr>
                <w:rFonts w:ascii="Times New Roman" w:hAnsi="Times New Roman"/>
                <w:b w:val="0"/>
                <w:color w:val="18323F"/>
                <w:sz w:val="17"/>
              </w:rPr>
              <w:t>4</w:t>
            </w:r>
          </w:p>
        </w:tc>
        <w:tc>
          <w:tcPr>
            <w:tcW w:type="dxa" w:w="1440"/>
            <w:vAlign w:val="center"/>
          </w:tcPr>
          <w:p>
            <w:pPr>
              <w:spacing w:after="0"/>
            </w:pPr>
            <w:r/>
            <w:r>
              <w:rPr>
                <w:rFonts w:ascii="Times New Roman" w:hAnsi="Times New Roman"/>
                <w:b w:val="0"/>
                <w:color w:val="18323F"/>
                <w:sz w:val="17"/>
              </w:rPr>
              <w:t>Seri Buat</w:t>
            </w:r>
          </w:p>
        </w:tc>
        <w:tc>
          <w:tcPr>
            <w:tcW w:type="dxa" w:w="1080"/>
            <w:vAlign w:val="center"/>
          </w:tcPr>
          <w:p>
            <w:pPr>
              <w:spacing w:after="0"/>
            </w:pPr>
            <w:r/>
            <w:r>
              <w:rPr>
                <w:rFonts w:ascii="Times New Roman" w:hAnsi="Times New Roman"/>
                <w:b w:val="0"/>
                <w:color w:val="18323F"/>
                <w:sz w:val="17"/>
              </w:rPr>
              <w:t>Pahang</w:t>
            </w:r>
          </w:p>
        </w:tc>
        <w:tc>
          <w:tcPr>
            <w:tcW w:type="dxa" w:w="1080"/>
            <w:vAlign w:val="center"/>
          </w:tcPr>
          <w:p>
            <w:pPr>
              <w:spacing w:after="0"/>
            </w:pPr>
            <w:r/>
            <w:r>
              <w:rPr>
                <w:rFonts w:ascii="Times New Roman" w:hAnsi="Times New Roman"/>
                <w:b w:val="0"/>
                <w:color w:val="18323F"/>
                <w:sz w:val="17"/>
              </w:rPr>
              <w:t>-3.6</w:t>
            </w:r>
          </w:p>
        </w:tc>
        <w:tc>
          <w:tcPr>
            <w:tcW w:type="dxa" w:w="2160"/>
            <w:vAlign w:val="center"/>
          </w:tcPr>
          <w:p>
            <w:pPr>
              <w:spacing w:after="0"/>
            </w:pPr>
            <w:r/>
            <w:r>
              <w:rPr>
                <w:rFonts w:ascii="Times New Roman" w:hAnsi="Times New Roman"/>
                <w:b w:val="0"/>
                <w:color w:val="18323F"/>
                <w:sz w:val="17"/>
              </w:rPr>
              <w:t>Anchor impact mentioned in Reef Check report</w:t>
            </w:r>
          </w:p>
        </w:tc>
        <w:tc>
          <w:tcPr>
            <w:tcW w:type="dxa" w:w="2592"/>
            <w:vAlign w:val="center"/>
          </w:tcPr>
          <w:p>
            <w:pPr>
              <w:spacing w:after="0"/>
            </w:pPr>
            <w:r/>
            <w:r>
              <w:rPr>
                <w:rFonts w:ascii="Times New Roman" w:hAnsi="Times New Roman"/>
                <w:b w:val="0"/>
                <w:color w:val="18323F"/>
                <w:sz w:val="17"/>
              </w:rPr>
              <w:t>Inspect mooring availability and anchoring controls</w:t>
            </w:r>
          </w:p>
        </w:tc>
      </w:tr>
      <w:tr>
        <w:tc>
          <w:tcPr>
            <w:tcW w:type="dxa" w:w="648"/>
            <w:vAlign w:val="center"/>
            <w:shd w:fill="EAF3F6"/>
          </w:tcPr>
          <w:p>
            <w:pPr>
              <w:spacing w:after="0"/>
            </w:pPr>
            <w:r/>
            <w:r>
              <w:rPr>
                <w:rFonts w:ascii="Times New Roman" w:hAnsi="Times New Roman"/>
                <w:b w:val="0"/>
                <w:color w:val="18323F"/>
                <w:sz w:val="17"/>
              </w:rPr>
              <w:t>5</w:t>
            </w:r>
          </w:p>
        </w:tc>
        <w:tc>
          <w:tcPr>
            <w:tcW w:type="dxa" w:w="1440"/>
            <w:vAlign w:val="center"/>
            <w:shd w:fill="EAF3F6"/>
          </w:tcPr>
          <w:p>
            <w:pPr>
              <w:spacing w:after="0"/>
            </w:pPr>
            <w:r/>
            <w:r>
              <w:rPr>
                <w:rFonts w:ascii="Times New Roman" w:hAnsi="Times New Roman"/>
                <w:b w:val="0"/>
                <w:color w:val="18323F"/>
                <w:sz w:val="17"/>
              </w:rPr>
              <w:t>Mertang</w:t>
            </w:r>
          </w:p>
        </w:tc>
        <w:tc>
          <w:tcPr>
            <w:tcW w:type="dxa" w:w="1080"/>
            <w:vAlign w:val="center"/>
            <w:shd w:fill="EAF3F6"/>
          </w:tcPr>
          <w:p>
            <w:pPr>
              <w:spacing w:after="0"/>
            </w:pPr>
            <w:r/>
            <w:r>
              <w:rPr>
                <w:rFonts w:ascii="Times New Roman" w:hAnsi="Times New Roman"/>
                <w:b w:val="0"/>
                <w:color w:val="18323F"/>
                <w:sz w:val="17"/>
              </w:rPr>
              <w:t>Johor</w:t>
            </w:r>
          </w:p>
        </w:tc>
        <w:tc>
          <w:tcPr>
            <w:tcW w:type="dxa" w:w="1080"/>
            <w:vAlign w:val="center"/>
            <w:shd w:fill="EAF3F6"/>
          </w:tcPr>
          <w:p>
            <w:pPr>
              <w:spacing w:after="0"/>
            </w:pPr>
            <w:r/>
            <w:r>
              <w:rPr>
                <w:rFonts w:ascii="Times New Roman" w:hAnsi="Times New Roman"/>
                <w:b w:val="0"/>
                <w:color w:val="18323F"/>
                <w:sz w:val="17"/>
              </w:rPr>
              <w:t>-3.4</w:t>
            </w:r>
          </w:p>
        </w:tc>
        <w:tc>
          <w:tcPr>
            <w:tcW w:type="dxa" w:w="2160"/>
            <w:vAlign w:val="center"/>
            <w:shd w:fill="EAF3F6"/>
          </w:tcPr>
          <w:p>
            <w:pPr>
              <w:spacing w:after="0"/>
            </w:pPr>
            <w:r/>
            <w:r>
              <w:rPr>
                <w:rFonts w:ascii="Times New Roman" w:hAnsi="Times New Roman"/>
                <w:b w:val="0"/>
                <w:color w:val="18323F"/>
                <w:sz w:val="17"/>
              </w:rPr>
              <w:t>Anchor impact mentioned in Reef Check report</w:t>
            </w:r>
          </w:p>
        </w:tc>
        <w:tc>
          <w:tcPr>
            <w:tcW w:type="dxa" w:w="2592"/>
            <w:vAlign w:val="center"/>
            <w:shd w:fill="EAF3F6"/>
          </w:tcPr>
          <w:p>
            <w:pPr>
              <w:spacing w:after="0"/>
            </w:pPr>
            <w:r/>
            <w:r>
              <w:rPr>
                <w:rFonts w:ascii="Times New Roman" w:hAnsi="Times New Roman"/>
                <w:b w:val="0"/>
                <w:color w:val="18323F"/>
                <w:sz w:val="17"/>
              </w:rPr>
              <w:t>Inspect mooring availability and anchoring controls</w:t>
            </w:r>
          </w:p>
        </w:tc>
      </w:tr>
      <w:tr>
        <w:tc>
          <w:tcPr>
            <w:tcW w:type="dxa" w:w="648"/>
            <w:vAlign w:val="center"/>
          </w:tcPr>
          <w:p>
            <w:pPr>
              <w:spacing w:after="0"/>
            </w:pPr>
            <w:r/>
            <w:r>
              <w:rPr>
                <w:rFonts w:ascii="Times New Roman" w:hAnsi="Times New Roman"/>
                <w:b w:val="0"/>
                <w:color w:val="18323F"/>
                <w:sz w:val="17"/>
              </w:rPr>
              <w:t>6</w:t>
            </w:r>
          </w:p>
        </w:tc>
        <w:tc>
          <w:tcPr>
            <w:tcW w:type="dxa" w:w="1440"/>
            <w:vAlign w:val="center"/>
          </w:tcPr>
          <w:p>
            <w:pPr>
              <w:spacing w:after="0"/>
            </w:pPr>
            <w:r/>
            <w:r>
              <w:rPr>
                <w:rFonts w:ascii="Times New Roman" w:hAnsi="Times New Roman"/>
                <w:b w:val="0"/>
                <w:color w:val="18323F"/>
                <w:sz w:val="17"/>
              </w:rPr>
              <w:t>Mensirip</w:t>
            </w:r>
          </w:p>
        </w:tc>
        <w:tc>
          <w:tcPr>
            <w:tcW w:type="dxa" w:w="1080"/>
            <w:vAlign w:val="center"/>
          </w:tcPr>
          <w:p>
            <w:pPr>
              <w:spacing w:after="0"/>
            </w:pPr>
            <w:r/>
            <w:r>
              <w:rPr>
                <w:rFonts w:ascii="Times New Roman" w:hAnsi="Times New Roman"/>
                <w:b w:val="0"/>
                <w:color w:val="18323F"/>
                <w:sz w:val="17"/>
              </w:rPr>
              <w:t>Johor</w:t>
            </w:r>
          </w:p>
        </w:tc>
        <w:tc>
          <w:tcPr>
            <w:tcW w:type="dxa" w:w="1080"/>
            <w:vAlign w:val="center"/>
          </w:tcPr>
          <w:p>
            <w:pPr>
              <w:spacing w:after="0"/>
            </w:pPr>
            <w:r/>
            <w:r>
              <w:rPr>
                <w:rFonts w:ascii="Times New Roman" w:hAnsi="Times New Roman"/>
                <w:b w:val="0"/>
                <w:color w:val="18323F"/>
                <w:sz w:val="17"/>
              </w:rPr>
              <w:t>-3.2</w:t>
            </w:r>
          </w:p>
        </w:tc>
        <w:tc>
          <w:tcPr>
            <w:tcW w:type="dxa" w:w="2160"/>
            <w:vAlign w:val="center"/>
          </w:tcPr>
          <w:p>
            <w:pPr>
              <w:spacing w:after="0"/>
            </w:pPr>
            <w:r/>
            <w:r>
              <w:rPr>
                <w:rFonts w:ascii="Times New Roman" w:hAnsi="Times New Roman"/>
                <w:b w:val="0"/>
                <w:color w:val="18323F"/>
                <w:sz w:val="17"/>
              </w:rPr>
              <w:t>Waste or pollution indicator is elevated</w:t>
            </w:r>
          </w:p>
        </w:tc>
        <w:tc>
          <w:tcPr>
            <w:tcW w:type="dxa" w:w="2592"/>
            <w:vAlign w:val="center"/>
          </w:tcPr>
          <w:p>
            <w:pPr>
              <w:spacing w:after="0"/>
            </w:pPr>
            <w:r/>
            <w:r>
              <w:rPr>
                <w:rFonts w:ascii="Times New Roman" w:hAnsi="Times New Roman"/>
                <w:b w:val="0"/>
                <w:color w:val="18323F"/>
                <w:sz w:val="17"/>
              </w:rPr>
              <w:t>Inspect waste and wastewater controls</w:t>
            </w:r>
          </w:p>
        </w:tc>
      </w:tr>
      <w:tr>
        <w:tc>
          <w:tcPr>
            <w:tcW w:type="dxa" w:w="648"/>
            <w:vAlign w:val="center"/>
            <w:shd w:fill="EAF3F6"/>
          </w:tcPr>
          <w:p>
            <w:pPr>
              <w:spacing w:after="0"/>
            </w:pPr>
            <w:r/>
            <w:r>
              <w:rPr>
                <w:rFonts w:ascii="Times New Roman" w:hAnsi="Times New Roman"/>
                <w:b w:val="0"/>
                <w:color w:val="18323F"/>
                <w:sz w:val="17"/>
              </w:rPr>
              <w:t>7</w:t>
            </w:r>
          </w:p>
        </w:tc>
        <w:tc>
          <w:tcPr>
            <w:tcW w:type="dxa" w:w="1440"/>
            <w:vAlign w:val="center"/>
            <w:shd w:fill="EAF3F6"/>
          </w:tcPr>
          <w:p>
            <w:pPr>
              <w:spacing w:after="0"/>
            </w:pPr>
            <w:r/>
            <w:r>
              <w:rPr>
                <w:rFonts w:ascii="Times New Roman" w:hAnsi="Times New Roman"/>
                <w:b w:val="0"/>
                <w:color w:val="18323F"/>
                <w:sz w:val="17"/>
              </w:rPr>
              <w:t>Tenggol</w:t>
            </w:r>
          </w:p>
        </w:tc>
        <w:tc>
          <w:tcPr>
            <w:tcW w:type="dxa" w:w="1080"/>
            <w:vAlign w:val="center"/>
            <w:shd w:fill="EAF3F6"/>
          </w:tcPr>
          <w:p>
            <w:pPr>
              <w:spacing w:after="0"/>
            </w:pPr>
            <w:r/>
            <w:r>
              <w:rPr>
                <w:rFonts w:ascii="Times New Roman" w:hAnsi="Times New Roman"/>
                <w:b w:val="0"/>
                <w:color w:val="18323F"/>
                <w:sz w:val="17"/>
              </w:rPr>
              <w:t>Terengganu</w:t>
            </w:r>
          </w:p>
        </w:tc>
        <w:tc>
          <w:tcPr>
            <w:tcW w:type="dxa" w:w="1080"/>
            <w:vAlign w:val="center"/>
            <w:shd w:fill="EAF3F6"/>
          </w:tcPr>
          <w:p>
            <w:pPr>
              <w:spacing w:after="0"/>
            </w:pPr>
            <w:r/>
            <w:r>
              <w:rPr>
                <w:rFonts w:ascii="Times New Roman" w:hAnsi="Times New Roman"/>
                <w:b w:val="0"/>
                <w:color w:val="18323F"/>
                <w:sz w:val="17"/>
              </w:rPr>
              <w:t>-3.1</w:t>
            </w:r>
          </w:p>
        </w:tc>
        <w:tc>
          <w:tcPr>
            <w:tcW w:type="dxa" w:w="2160"/>
            <w:vAlign w:val="center"/>
            <w:shd w:fill="EAF3F6"/>
          </w:tcPr>
          <w:p>
            <w:pPr>
              <w:spacing w:after="0"/>
            </w:pPr>
            <w:r/>
            <w:r>
              <w:rPr>
                <w:rFonts w:ascii="Times New Roman" w:hAnsi="Times New Roman"/>
                <w:b w:val="0"/>
                <w:color w:val="18323F"/>
                <w:sz w:val="17"/>
              </w:rPr>
              <w:t>Waste or pollution indicator is elevated</w:t>
            </w:r>
          </w:p>
        </w:tc>
        <w:tc>
          <w:tcPr>
            <w:tcW w:type="dxa" w:w="2592"/>
            <w:vAlign w:val="center"/>
            <w:shd w:fill="EAF3F6"/>
          </w:tcPr>
          <w:p>
            <w:pPr>
              <w:spacing w:after="0"/>
            </w:pPr>
            <w:r/>
            <w:r>
              <w:rPr>
                <w:rFonts w:ascii="Times New Roman" w:hAnsi="Times New Roman"/>
                <w:b w:val="0"/>
                <w:color w:val="18323F"/>
                <w:sz w:val="17"/>
              </w:rPr>
              <w:t>Inspect waste and wastewater controls</w:t>
            </w:r>
          </w:p>
        </w:tc>
      </w:tr>
      <w:tr>
        <w:tc>
          <w:tcPr>
            <w:tcW w:type="dxa" w:w="648"/>
            <w:vAlign w:val="center"/>
          </w:tcPr>
          <w:p>
            <w:pPr>
              <w:spacing w:after="0"/>
            </w:pPr>
            <w:r/>
            <w:r>
              <w:rPr>
                <w:rFonts w:ascii="Times New Roman" w:hAnsi="Times New Roman"/>
                <w:b w:val="0"/>
                <w:color w:val="18323F"/>
                <w:sz w:val="17"/>
              </w:rPr>
              <w:t>8</w:t>
            </w:r>
          </w:p>
        </w:tc>
        <w:tc>
          <w:tcPr>
            <w:tcW w:type="dxa" w:w="1440"/>
            <w:vAlign w:val="center"/>
          </w:tcPr>
          <w:p>
            <w:pPr>
              <w:spacing w:after="0"/>
            </w:pPr>
            <w:r/>
            <w:r>
              <w:rPr>
                <w:rFonts w:ascii="Times New Roman" w:hAnsi="Times New Roman"/>
                <w:b w:val="0"/>
                <w:color w:val="18323F"/>
                <w:sz w:val="17"/>
              </w:rPr>
              <w:t>Sibu</w:t>
            </w:r>
          </w:p>
        </w:tc>
        <w:tc>
          <w:tcPr>
            <w:tcW w:type="dxa" w:w="1080"/>
            <w:vAlign w:val="center"/>
          </w:tcPr>
          <w:p>
            <w:pPr>
              <w:spacing w:after="0"/>
            </w:pPr>
            <w:r/>
            <w:r>
              <w:rPr>
                <w:rFonts w:ascii="Times New Roman" w:hAnsi="Times New Roman"/>
                <w:b w:val="0"/>
                <w:color w:val="18323F"/>
                <w:sz w:val="17"/>
              </w:rPr>
              <w:t>Johor</w:t>
            </w:r>
          </w:p>
        </w:tc>
        <w:tc>
          <w:tcPr>
            <w:tcW w:type="dxa" w:w="1080"/>
            <w:vAlign w:val="center"/>
          </w:tcPr>
          <w:p>
            <w:pPr>
              <w:spacing w:after="0"/>
            </w:pPr>
            <w:r/>
            <w:r>
              <w:rPr>
                <w:rFonts w:ascii="Times New Roman" w:hAnsi="Times New Roman"/>
                <w:b w:val="0"/>
                <w:color w:val="18323F"/>
                <w:sz w:val="17"/>
              </w:rPr>
              <w:t>-3.1</w:t>
            </w:r>
          </w:p>
        </w:tc>
        <w:tc>
          <w:tcPr>
            <w:tcW w:type="dxa" w:w="2160"/>
            <w:vAlign w:val="center"/>
          </w:tcPr>
          <w:p>
            <w:pPr>
              <w:spacing w:after="0"/>
            </w:pPr>
            <w:r/>
            <w:r>
              <w:rPr>
                <w:rFonts w:ascii="Times New Roman" w:hAnsi="Times New Roman"/>
                <w:b w:val="0"/>
                <w:color w:val="18323F"/>
                <w:sz w:val="17"/>
              </w:rPr>
              <w:t>Anchor impact mentioned in Reef Check report</w:t>
            </w:r>
          </w:p>
        </w:tc>
        <w:tc>
          <w:tcPr>
            <w:tcW w:type="dxa" w:w="2592"/>
            <w:vAlign w:val="center"/>
          </w:tcPr>
          <w:p>
            <w:pPr>
              <w:spacing w:after="0"/>
            </w:pPr>
            <w:r/>
            <w:r>
              <w:rPr>
                <w:rFonts w:ascii="Times New Roman" w:hAnsi="Times New Roman"/>
                <w:b w:val="0"/>
                <w:color w:val="18323F"/>
                <w:sz w:val="17"/>
              </w:rPr>
              <w:t>Inspect mooring availability and anchoring controls</w:t>
            </w:r>
          </w:p>
        </w:tc>
      </w:tr>
      <w:tr>
        <w:tc>
          <w:tcPr>
            <w:tcW w:type="dxa" w:w="648"/>
            <w:vAlign w:val="center"/>
            <w:shd w:fill="EAF3F6"/>
          </w:tcPr>
          <w:p>
            <w:pPr>
              <w:spacing w:after="0"/>
            </w:pPr>
            <w:r/>
            <w:r>
              <w:rPr>
                <w:rFonts w:ascii="Times New Roman" w:hAnsi="Times New Roman"/>
                <w:b w:val="0"/>
                <w:color w:val="18323F"/>
                <w:sz w:val="17"/>
              </w:rPr>
              <w:t>9</w:t>
            </w:r>
          </w:p>
        </w:tc>
        <w:tc>
          <w:tcPr>
            <w:tcW w:type="dxa" w:w="1440"/>
            <w:vAlign w:val="center"/>
            <w:shd w:fill="EAF3F6"/>
          </w:tcPr>
          <w:p>
            <w:pPr>
              <w:spacing w:after="0"/>
            </w:pPr>
            <w:r/>
            <w:r>
              <w:rPr>
                <w:rFonts w:ascii="Times New Roman" w:hAnsi="Times New Roman"/>
                <w:b w:val="0"/>
                <w:color w:val="18323F"/>
                <w:sz w:val="17"/>
              </w:rPr>
              <w:t>Tinggi</w:t>
            </w:r>
          </w:p>
        </w:tc>
        <w:tc>
          <w:tcPr>
            <w:tcW w:type="dxa" w:w="1080"/>
            <w:vAlign w:val="center"/>
            <w:shd w:fill="EAF3F6"/>
          </w:tcPr>
          <w:p>
            <w:pPr>
              <w:spacing w:after="0"/>
            </w:pPr>
            <w:r/>
            <w:r>
              <w:rPr>
                <w:rFonts w:ascii="Times New Roman" w:hAnsi="Times New Roman"/>
                <w:b w:val="0"/>
                <w:color w:val="18323F"/>
                <w:sz w:val="17"/>
              </w:rPr>
              <w:t>Johor</w:t>
            </w:r>
          </w:p>
        </w:tc>
        <w:tc>
          <w:tcPr>
            <w:tcW w:type="dxa" w:w="1080"/>
            <w:vAlign w:val="center"/>
            <w:shd w:fill="EAF3F6"/>
          </w:tcPr>
          <w:p>
            <w:pPr>
              <w:spacing w:after="0"/>
            </w:pPr>
            <w:r/>
            <w:r>
              <w:rPr>
                <w:rFonts w:ascii="Times New Roman" w:hAnsi="Times New Roman"/>
                <w:b w:val="0"/>
                <w:color w:val="18323F"/>
                <w:sz w:val="17"/>
              </w:rPr>
              <w:t>-3.0</w:t>
            </w:r>
          </w:p>
        </w:tc>
        <w:tc>
          <w:tcPr>
            <w:tcW w:type="dxa" w:w="2160"/>
            <w:vAlign w:val="center"/>
            <w:shd w:fill="EAF3F6"/>
          </w:tcPr>
          <w:p>
            <w:pPr>
              <w:spacing w:after="0"/>
            </w:pPr>
            <w:r/>
            <w:r>
              <w:rPr>
                <w:rFonts w:ascii="Times New Roman" w:hAnsi="Times New Roman"/>
                <w:b w:val="0"/>
                <w:color w:val="18323F"/>
                <w:sz w:val="17"/>
              </w:rPr>
              <w:t>Anchor impact mentioned in Reef Check report</w:t>
            </w:r>
          </w:p>
        </w:tc>
        <w:tc>
          <w:tcPr>
            <w:tcW w:type="dxa" w:w="2592"/>
            <w:vAlign w:val="center"/>
            <w:shd w:fill="EAF3F6"/>
          </w:tcPr>
          <w:p>
            <w:pPr>
              <w:spacing w:after="0"/>
            </w:pPr>
            <w:r/>
            <w:r>
              <w:rPr>
                <w:rFonts w:ascii="Times New Roman" w:hAnsi="Times New Roman"/>
                <w:b w:val="0"/>
                <w:color w:val="18323F"/>
                <w:sz w:val="17"/>
              </w:rPr>
              <w:t>Inspect mooring availability and anchoring controls</w:t>
            </w:r>
          </w:p>
        </w:tc>
      </w:tr>
      <w:tr>
        <w:tc>
          <w:tcPr>
            <w:tcW w:type="dxa" w:w="648"/>
            <w:vAlign w:val="center"/>
          </w:tcPr>
          <w:p>
            <w:pPr>
              <w:spacing w:after="0"/>
            </w:pPr>
            <w:r/>
            <w:r>
              <w:rPr>
                <w:rFonts w:ascii="Times New Roman" w:hAnsi="Times New Roman"/>
                <w:b w:val="0"/>
                <w:color w:val="18323F"/>
                <w:sz w:val="17"/>
              </w:rPr>
              <w:t>10</w:t>
            </w:r>
          </w:p>
        </w:tc>
        <w:tc>
          <w:tcPr>
            <w:tcW w:type="dxa" w:w="1440"/>
            <w:vAlign w:val="center"/>
          </w:tcPr>
          <w:p>
            <w:pPr>
              <w:spacing w:after="0"/>
            </w:pPr>
            <w:r/>
            <w:r>
              <w:rPr>
                <w:rFonts w:ascii="Times New Roman" w:hAnsi="Times New Roman"/>
                <w:b w:val="0"/>
                <w:color w:val="18323F"/>
                <w:sz w:val="17"/>
              </w:rPr>
              <w:t>Tun Sakaran Marine Park</w:t>
            </w:r>
          </w:p>
        </w:tc>
        <w:tc>
          <w:tcPr>
            <w:tcW w:type="dxa" w:w="1080"/>
            <w:vAlign w:val="center"/>
          </w:tcPr>
          <w:p>
            <w:pPr>
              <w:spacing w:after="0"/>
            </w:pPr>
            <w:r/>
            <w:r>
              <w:rPr>
                <w:rFonts w:ascii="Times New Roman" w:hAnsi="Times New Roman"/>
                <w:b w:val="0"/>
                <w:color w:val="18323F"/>
                <w:sz w:val="17"/>
              </w:rPr>
              <w:t>Sabah</w:t>
            </w:r>
          </w:p>
        </w:tc>
        <w:tc>
          <w:tcPr>
            <w:tcW w:type="dxa" w:w="1080"/>
            <w:vAlign w:val="center"/>
          </w:tcPr>
          <w:p>
            <w:pPr>
              <w:spacing w:after="0"/>
            </w:pPr>
            <w:r/>
            <w:r>
              <w:rPr>
                <w:rFonts w:ascii="Times New Roman" w:hAnsi="Times New Roman"/>
                <w:b w:val="0"/>
                <w:color w:val="18323F"/>
                <w:sz w:val="17"/>
              </w:rPr>
              <w:t>-3.0</w:t>
            </w:r>
          </w:p>
        </w:tc>
        <w:tc>
          <w:tcPr>
            <w:tcW w:type="dxa" w:w="2160"/>
            <w:vAlign w:val="center"/>
          </w:tcPr>
          <w:p>
            <w:pPr>
              <w:spacing w:after="0"/>
            </w:pPr>
            <w:r/>
            <w:r>
              <w:rPr>
                <w:rFonts w:ascii="Times New Roman" w:hAnsi="Times New Roman"/>
                <w:b w:val="0"/>
                <w:color w:val="18323F"/>
                <w:sz w:val="17"/>
              </w:rPr>
              <w:t>NOAA thermal stress observed</w:t>
            </w:r>
          </w:p>
        </w:tc>
        <w:tc>
          <w:tcPr>
            <w:tcW w:type="dxa" w:w="2592"/>
            <w:vAlign w:val="center"/>
          </w:tcPr>
          <w:p>
            <w:pPr>
              <w:spacing w:after="0"/>
            </w:pPr>
            <w:r/>
            <w:r>
              <w:rPr>
                <w:rFonts w:ascii="Times New Roman" w:hAnsi="Times New Roman"/>
                <w:b w:val="0"/>
                <w:color w:val="18323F"/>
                <w:sz w:val="17"/>
              </w:rPr>
              <w:t>Coordinate bleaching survey; do not attribute thermal loss to visitors</w:t>
            </w:r>
          </w:p>
        </w:tc>
      </w:tr>
    </w:tbl>
    <w:p>
      <w:pPr>
        <w:pStyle w:val="Heading2"/>
        <w:keepNext/>
        <w:spacing w:before="200" w:after="100"/>
      </w:pPr>
      <w:r>
        <w:t>5.1 Evidence-to-action rules</w:t>
      </w:r>
    </w:p>
    <w:p>
      <w:pPr>
        <w:pStyle w:val="ListBullet"/>
        <w:spacing w:line="360" w:lineRule="auto" w:after="80"/>
      </w:pPr>
      <w:r>
        <w:t>DHW ≥ 4: coordinate bleaching assessment; do not attribute heat-driven loss to visitors.</w:t>
      </w:r>
    </w:p>
    <w:p>
      <w:pPr>
        <w:pStyle w:val="ListBullet"/>
        <w:spacing w:line="360" w:lineRule="auto" w:after="80"/>
      </w:pPr>
      <w:r>
        <w:t>Anchor impact mentioned: inspect mooring availability and anchoring controls.</w:t>
      </w:r>
    </w:p>
    <w:p>
      <w:pPr>
        <w:pStyle w:val="ListBullet"/>
        <w:spacing w:line="360" w:lineRule="auto" w:after="80"/>
      </w:pPr>
      <w:r>
        <w:t>Waste/pollution indicator elevated: inspect waste and wastewater controls.</w:t>
      </w:r>
    </w:p>
    <w:p>
      <w:pPr>
        <w:pStyle w:val="ListBullet"/>
        <w:spacing w:line="360" w:lineRule="auto" w:after="80"/>
      </w:pPr>
      <w:r>
        <w:t>No dominant observed stressor: prioritise field validation before restrictions.</w:t>
      </w:r>
    </w:p>
    <w:p>
      <w:r>
        <w:br w:type="page"/>
      </w:r>
    </w:p>
    <w:p>
      <w:pPr>
        <w:pStyle w:val="Heading1"/>
        <w:keepNext/>
        <w:spacing w:before="200" w:after="100"/>
      </w:pPr>
      <w:r>
        <w:t>6. Dashboard and operating workflow</w:t>
      </w:r>
    </w:p>
    <w:p>
      <w:pPr>
        <w:jc w:val="center"/>
      </w:pPr>
      <w:r>
        <w:drawing>
          <wp:inline xmlns:a="http://schemas.openxmlformats.org/drawingml/2006/main" xmlns:pic="http://schemas.openxmlformats.org/drawingml/2006/picture">
            <wp:extent cx="6035040" cy="4406537"/>
            <wp:docPr id="5" name="Picture 5"/>
            <wp:cNvGraphicFramePr>
              <a:graphicFrameLocks noChangeAspect="1"/>
            </wp:cNvGraphicFramePr>
            <a:graphic>
              <a:graphicData uri="http://schemas.openxmlformats.org/drawingml/2006/picture">
                <pic:pic>
                  <pic:nvPicPr>
                    <pic:cNvPr id="0" name="Dashboard.png"/>
                    <pic:cNvPicPr/>
                  </pic:nvPicPr>
                  <pic:blipFill>
                    <a:blip r:embed="rId15"/>
                    <a:stretch>
                      <a:fillRect/>
                    </a:stretch>
                  </pic:blipFill>
                  <pic:spPr>
                    <a:xfrm>
                      <a:off x="0" y="0"/>
                      <a:ext cx="6035040" cy="4406537"/>
                    </a:xfrm>
                    <a:prstGeom prst="rect"/>
                  </pic:spPr>
                </pic:pic>
              </a:graphicData>
            </a:graphic>
          </wp:inline>
        </w:drawing>
      </w:r>
    </w:p>
    <w:p>
      <w:pPr>
        <w:spacing w:after="160"/>
        <w:jc w:val="center"/>
      </w:pPr>
      <w:r>
        <w:rPr>
          <w:i/>
          <w:sz w:val="18"/>
        </w:rPr>
        <w:t>Figure 5. Interactive Excel dashboard. The yellow island selector drives formula-linked evidence and actions.</w:t>
      </w:r>
    </w:p>
    <w:p>
      <w:pPr>
        <w:pStyle w:val="Heading2"/>
        <w:keepNext/>
        <w:spacing w:before="200" w:after="100"/>
      </w:pPr>
      <w:r>
        <w:t>6.1 Recommended operating cycle</w:t>
      </w:r>
    </w:p>
    <w:tbl>
      <w:tblPr>
        <w:tblW w:type="auto" w:w="0"/>
        <w:jc w:val="center"/>
        <w:tblLayout w:type="fixed"/>
        <w:tblLook w:firstColumn="1" w:firstRow="1" w:lastColumn="0" w:lastRow="0" w:noHBand="0" w:noVBand="1" w:val="04A0"/>
      </w:tblPr>
      <w:tblGrid>
        <w:gridCol w:w="3264"/>
        <w:gridCol w:w="3264"/>
        <w:gridCol w:w="3264"/>
      </w:tblGrid>
      <w:tr>
        <w:tc>
          <w:tcPr>
            <w:tcW w:type="dxa" w:w="1296"/>
            <w:vAlign w:val="center"/>
            <w:shd w:fill="12304A"/>
          </w:tcPr>
          <w:p>
            <w:pPr>
              <w:spacing w:after="0"/>
            </w:pPr>
            <w:r/>
            <w:r>
              <w:rPr>
                <w:rFonts w:ascii="Times New Roman" w:hAnsi="Times New Roman"/>
                <w:b/>
                <w:color w:val="FFFFFF"/>
                <w:sz w:val="18"/>
              </w:rPr>
              <w:t>Step</w:t>
            </w:r>
          </w:p>
        </w:tc>
        <w:tc>
          <w:tcPr>
            <w:tcW w:type="dxa" w:w="2160"/>
            <w:vAlign w:val="center"/>
            <w:shd w:fill="12304A"/>
          </w:tcPr>
          <w:p>
            <w:pPr>
              <w:spacing w:after="0"/>
            </w:pPr>
            <w:r/>
            <w:r>
              <w:rPr>
                <w:rFonts w:ascii="Times New Roman" w:hAnsi="Times New Roman"/>
                <w:b/>
                <w:color w:val="FFFFFF"/>
                <w:sz w:val="18"/>
              </w:rPr>
              <w:t>Owner</w:t>
            </w:r>
          </w:p>
        </w:tc>
        <w:tc>
          <w:tcPr>
            <w:tcW w:type="dxa" w:w="5760"/>
            <w:vAlign w:val="center"/>
            <w:shd w:fill="12304A"/>
          </w:tcPr>
          <w:p>
            <w:pPr>
              <w:spacing w:after="0"/>
            </w:pPr>
            <w:r/>
            <w:r>
              <w:rPr>
                <w:rFonts w:ascii="Times New Roman" w:hAnsi="Times New Roman"/>
                <w:b/>
                <w:color w:val="FFFFFF"/>
                <w:sz w:val="18"/>
              </w:rPr>
              <w:t>Action</w:t>
            </w:r>
          </w:p>
        </w:tc>
      </w:tr>
      <w:tr>
        <w:tc>
          <w:tcPr>
            <w:tcW w:type="dxa" w:w="1296"/>
            <w:vAlign w:val="center"/>
            <w:shd w:fill="EAF3F6"/>
          </w:tcPr>
          <w:p>
            <w:pPr>
              <w:spacing w:after="0"/>
            </w:pPr>
            <w:r/>
            <w:r>
              <w:rPr>
                <w:rFonts w:ascii="Times New Roman" w:hAnsi="Times New Roman"/>
                <w:b w:val="0"/>
                <w:color w:val="18323F"/>
                <w:sz w:val="17"/>
              </w:rPr>
              <w:t>1. Refresh</w:t>
            </w:r>
          </w:p>
        </w:tc>
        <w:tc>
          <w:tcPr>
            <w:tcW w:type="dxa" w:w="2160"/>
            <w:vAlign w:val="center"/>
            <w:shd w:fill="EAF3F6"/>
          </w:tcPr>
          <w:p>
            <w:pPr>
              <w:spacing w:after="0"/>
            </w:pPr>
            <w:r/>
            <w:r>
              <w:rPr>
                <w:rFonts w:ascii="Times New Roman" w:hAnsi="Times New Roman"/>
                <w:b w:val="0"/>
                <w:color w:val="18323F"/>
                <w:sz w:val="17"/>
              </w:rPr>
              <w:t>Data analyst</w:t>
            </w:r>
          </w:p>
        </w:tc>
        <w:tc>
          <w:tcPr>
            <w:tcW w:type="dxa" w:w="5760"/>
            <w:vAlign w:val="center"/>
            <w:shd w:fill="EAF3F6"/>
          </w:tcPr>
          <w:p>
            <w:pPr>
              <w:spacing w:after="0"/>
            </w:pPr>
            <w:r/>
            <w:r>
              <w:rPr>
                <w:rFonts w:ascii="Times New Roman" w:hAnsi="Times New Roman"/>
                <w:b w:val="0"/>
                <w:color w:val="18323F"/>
                <w:sz w:val="17"/>
              </w:rPr>
              <w:t>Run preprocessing and model scripts after new reports arrive</w:t>
            </w:r>
          </w:p>
        </w:tc>
      </w:tr>
      <w:tr>
        <w:tc>
          <w:tcPr>
            <w:tcW w:type="dxa" w:w="1296"/>
            <w:vAlign w:val="center"/>
          </w:tcPr>
          <w:p>
            <w:pPr>
              <w:spacing w:after="0"/>
            </w:pPr>
            <w:r/>
            <w:r>
              <w:rPr>
                <w:rFonts w:ascii="Times New Roman" w:hAnsi="Times New Roman"/>
                <w:b w:val="0"/>
                <w:color w:val="18323F"/>
                <w:sz w:val="17"/>
              </w:rPr>
              <w:t>2. Review</w:t>
            </w:r>
          </w:p>
        </w:tc>
        <w:tc>
          <w:tcPr>
            <w:tcW w:type="dxa" w:w="2160"/>
            <w:vAlign w:val="center"/>
          </w:tcPr>
          <w:p>
            <w:pPr>
              <w:spacing w:after="0"/>
            </w:pPr>
            <w:r/>
            <w:r>
              <w:rPr>
                <w:rFonts w:ascii="Times New Roman" w:hAnsi="Times New Roman"/>
                <w:b w:val="0"/>
                <w:color w:val="18323F"/>
                <w:sz w:val="17"/>
              </w:rPr>
              <w:t>Reef scientist</w:t>
            </w:r>
          </w:p>
        </w:tc>
        <w:tc>
          <w:tcPr>
            <w:tcW w:type="dxa" w:w="5760"/>
            <w:vAlign w:val="center"/>
          </w:tcPr>
          <w:p>
            <w:pPr>
              <w:spacing w:after="0"/>
            </w:pPr>
            <w:r/>
            <w:r>
              <w:rPr>
                <w:rFonts w:ascii="Times New Roman" w:hAnsi="Times New Roman"/>
                <w:b w:val="0"/>
                <w:color w:val="18323F"/>
                <w:sz w:val="17"/>
              </w:rPr>
              <w:t>Check source confidence, uncertainty, and observed stressors</w:t>
            </w:r>
          </w:p>
        </w:tc>
      </w:tr>
      <w:tr>
        <w:tc>
          <w:tcPr>
            <w:tcW w:type="dxa" w:w="1296"/>
            <w:vAlign w:val="center"/>
            <w:shd w:fill="EAF3F6"/>
          </w:tcPr>
          <w:p>
            <w:pPr>
              <w:spacing w:after="0"/>
            </w:pPr>
            <w:r/>
            <w:r>
              <w:rPr>
                <w:rFonts w:ascii="Times New Roman" w:hAnsi="Times New Roman"/>
                <w:b w:val="0"/>
                <w:color w:val="18323F"/>
                <w:sz w:val="17"/>
              </w:rPr>
              <w:t>3. Verify</w:t>
            </w:r>
          </w:p>
        </w:tc>
        <w:tc>
          <w:tcPr>
            <w:tcW w:type="dxa" w:w="2160"/>
            <w:vAlign w:val="center"/>
            <w:shd w:fill="EAF3F6"/>
          </w:tcPr>
          <w:p>
            <w:pPr>
              <w:spacing w:after="0"/>
            </w:pPr>
            <w:r/>
            <w:r>
              <w:rPr>
                <w:rFonts w:ascii="Times New Roman" w:hAnsi="Times New Roman"/>
                <w:b w:val="0"/>
                <w:color w:val="18323F"/>
                <w:sz w:val="17"/>
              </w:rPr>
              <w:t>Marine-park team</w:t>
            </w:r>
          </w:p>
        </w:tc>
        <w:tc>
          <w:tcPr>
            <w:tcW w:type="dxa" w:w="5760"/>
            <w:vAlign w:val="center"/>
            <w:shd w:fill="EAF3F6"/>
          </w:tcPr>
          <w:p>
            <w:pPr>
              <w:spacing w:after="0"/>
            </w:pPr>
            <w:r/>
            <w:r>
              <w:rPr>
                <w:rFonts w:ascii="Times New Roman" w:hAnsi="Times New Roman"/>
                <w:b w:val="0"/>
                <w:color w:val="18323F"/>
                <w:sz w:val="17"/>
              </w:rPr>
              <w:t>Conduct targeted field checks before enforcement</w:t>
            </w:r>
          </w:p>
        </w:tc>
      </w:tr>
      <w:tr>
        <w:tc>
          <w:tcPr>
            <w:tcW w:type="dxa" w:w="1296"/>
            <w:vAlign w:val="center"/>
          </w:tcPr>
          <w:p>
            <w:pPr>
              <w:spacing w:after="0"/>
            </w:pPr>
            <w:r/>
            <w:r>
              <w:rPr>
                <w:rFonts w:ascii="Times New Roman" w:hAnsi="Times New Roman"/>
                <w:b w:val="0"/>
                <w:color w:val="18323F"/>
                <w:sz w:val="17"/>
              </w:rPr>
              <w:t>4. Record</w:t>
            </w:r>
          </w:p>
        </w:tc>
        <w:tc>
          <w:tcPr>
            <w:tcW w:type="dxa" w:w="2160"/>
            <w:vAlign w:val="center"/>
          </w:tcPr>
          <w:p>
            <w:pPr>
              <w:spacing w:after="0"/>
            </w:pPr>
            <w:r/>
            <w:r>
              <w:rPr>
                <w:rFonts w:ascii="Times New Roman" w:hAnsi="Times New Roman"/>
                <w:b w:val="0"/>
                <w:color w:val="18323F"/>
                <w:sz w:val="17"/>
              </w:rPr>
              <w:t>Programme lead</w:t>
            </w:r>
          </w:p>
        </w:tc>
        <w:tc>
          <w:tcPr>
            <w:tcW w:type="dxa" w:w="5760"/>
            <w:vAlign w:val="center"/>
          </w:tcPr>
          <w:p>
            <w:pPr>
              <w:spacing w:after="0"/>
            </w:pPr>
            <w:r/>
            <w:r>
              <w:rPr>
                <w:rFonts w:ascii="Times New Roman" w:hAnsi="Times New Roman"/>
                <w:b w:val="0"/>
                <w:color w:val="18323F"/>
                <w:sz w:val="17"/>
              </w:rPr>
              <w:t>Log action, outcome, and corrected evidence for the next cycle</w:t>
            </w:r>
          </w:p>
        </w:tc>
      </w:tr>
    </w:tbl>
    <w:p>
      <w:r>
        <w:br w:type="page"/>
      </w:r>
    </w:p>
    <w:p>
      <w:pPr>
        <w:pStyle w:val="Heading1"/>
        <w:keepNext/>
        <w:spacing w:before="200" w:after="100"/>
      </w:pPr>
      <w:r>
        <w:t>7. Limitations, next data, and conclusion</w:t>
      </w:r>
    </w:p>
    <w:p>
      <w:pPr>
        <w:pStyle w:val="Heading2"/>
        <w:keepNext/>
        <w:spacing w:before="200" w:after="100"/>
      </w:pPr>
      <w:r>
        <w:t>7.1 Limitations</w:t>
      </w:r>
    </w:p>
    <w:p>
      <w:pPr>
        <w:pStyle w:val="ListBullet"/>
        <w:spacing w:line="360" w:lineRule="auto" w:after="80"/>
      </w:pPr>
      <w:r>
        <w:t>The evaluation sample is small and temporally irregular; several island histories are sparse.</w:t>
      </w:r>
    </w:p>
    <w:p>
      <w:pPr>
        <w:pStyle w:val="ListBullet"/>
        <w:spacing w:line="360" w:lineRule="auto" w:after="80"/>
      </w:pPr>
      <w:r>
        <w:t>The model's 1.5% MAE gain and R² 0.051 are weak; rank stability should be monitored after each refresh.</w:t>
      </w:r>
    </w:p>
    <w:p>
      <w:pPr>
        <w:pStyle w:val="ListBullet"/>
        <w:spacing w:line="360" w:lineRule="auto" w:after="80"/>
      </w:pPr>
      <w:r>
        <w:t>No island-level visitor count, vessel movement, wastewater load, enforcement, or revenue series is available in the modeled table.</w:t>
      </w:r>
    </w:p>
    <w:p>
      <w:pPr>
        <w:pStyle w:val="ListBullet"/>
        <w:spacing w:line="360" w:lineRule="auto" w:after="80"/>
      </w:pPr>
      <w:r>
        <w:t>Prediction bands are empirical and should not be treated as formal confidence intervals for policy liability.</w:t>
      </w:r>
    </w:p>
    <w:p>
      <w:pPr>
        <w:pStyle w:val="Heading2"/>
        <w:keepNext/>
        <w:spacing w:before="200" w:after="100"/>
      </w:pPr>
      <w:r>
        <w:t>7.2 Project assumptions</w:t>
      </w:r>
    </w:p>
    <w:tbl>
      <w:tblPr>
        <w:tblW w:type="auto" w:w="0"/>
        <w:jc w:val="center"/>
        <w:tblLayout w:type="fixed"/>
        <w:tblLook w:firstColumn="1" w:firstRow="1" w:lastColumn="0" w:lastRow="0" w:noHBand="0" w:noVBand="1" w:val="04A0"/>
      </w:tblPr>
      <w:tblGrid>
        <w:gridCol w:w="3264"/>
        <w:gridCol w:w="3264"/>
        <w:gridCol w:w="3264"/>
      </w:tblGrid>
      <w:tr>
        <w:tc>
          <w:tcPr>
            <w:tcW w:type="dxa" w:w="3168"/>
            <w:vAlign w:val="center"/>
            <w:shd w:fill="12304A"/>
          </w:tcPr>
          <w:p>
            <w:pPr>
              <w:spacing w:after="0"/>
            </w:pPr>
            <w:r/>
            <w:r>
              <w:rPr>
                <w:rFonts w:ascii="Times New Roman" w:hAnsi="Times New Roman"/>
                <w:b/>
                <w:color w:val="FFFFFF"/>
                <w:sz w:val="18"/>
              </w:rPr>
              <w:t>Assumption</w:t>
            </w:r>
          </w:p>
        </w:tc>
        <w:tc>
          <w:tcPr>
            <w:tcW w:type="dxa" w:w="2880"/>
            <w:vAlign w:val="center"/>
            <w:shd w:fill="12304A"/>
          </w:tcPr>
          <w:p>
            <w:pPr>
              <w:spacing w:after="0"/>
            </w:pPr>
            <w:r/>
            <w:r>
              <w:rPr>
                <w:rFonts w:ascii="Times New Roman" w:hAnsi="Times New Roman"/>
                <w:b/>
                <w:color w:val="FFFFFF"/>
                <w:sz w:val="18"/>
              </w:rPr>
              <w:t>Risk</w:t>
            </w:r>
          </w:p>
        </w:tc>
        <w:tc>
          <w:tcPr>
            <w:tcW w:type="dxa" w:w="3168"/>
            <w:vAlign w:val="center"/>
            <w:shd w:fill="12304A"/>
          </w:tcPr>
          <w:p>
            <w:pPr>
              <w:spacing w:after="0"/>
            </w:pPr>
            <w:r/>
            <w:r>
              <w:rPr>
                <w:rFonts w:ascii="Times New Roman" w:hAnsi="Times New Roman"/>
                <w:b/>
                <w:color w:val="FFFFFF"/>
                <w:sz w:val="18"/>
              </w:rPr>
              <w:t>Mitigation</w:t>
            </w:r>
          </w:p>
        </w:tc>
      </w:tr>
      <w:tr>
        <w:tc>
          <w:tcPr>
            <w:tcW w:type="dxa" w:w="3168"/>
            <w:vAlign w:val="center"/>
            <w:shd w:fill="EAF3F6"/>
          </w:tcPr>
          <w:p>
            <w:pPr>
              <w:spacing w:after="0"/>
            </w:pPr>
            <w:r/>
            <w:r>
              <w:rPr>
                <w:rFonts w:ascii="Times New Roman" w:hAnsi="Times New Roman"/>
                <w:b w:val="0"/>
                <w:color w:val="18323F"/>
                <w:sz w:val="17"/>
              </w:rPr>
              <w:t>Island names represent comparable monitoring units</w:t>
            </w:r>
          </w:p>
        </w:tc>
        <w:tc>
          <w:tcPr>
            <w:tcW w:type="dxa" w:w="2880"/>
            <w:vAlign w:val="center"/>
            <w:shd w:fill="EAF3F6"/>
          </w:tcPr>
          <w:p>
            <w:pPr>
              <w:spacing w:after="0"/>
            </w:pPr>
            <w:r/>
            <w:r>
              <w:rPr>
                <w:rFonts w:ascii="Times New Roman" w:hAnsi="Times New Roman"/>
                <w:b w:val="0"/>
                <w:color w:val="18323F"/>
                <w:sz w:val="17"/>
              </w:rPr>
              <w:t>Site composition may change</w:t>
            </w:r>
          </w:p>
        </w:tc>
        <w:tc>
          <w:tcPr>
            <w:tcW w:type="dxa" w:w="3168"/>
            <w:vAlign w:val="center"/>
            <w:shd w:fill="EAF3F6"/>
          </w:tcPr>
          <w:p>
            <w:pPr>
              <w:spacing w:after="0"/>
            </w:pPr>
            <w:r/>
            <w:r>
              <w:rPr>
                <w:rFonts w:ascii="Times New Roman" w:hAnsi="Times New Roman"/>
                <w:b w:val="0"/>
                <w:color w:val="18323F"/>
                <w:sz w:val="17"/>
              </w:rPr>
              <w:t>Retain source confidence and verify large movements</w:t>
            </w:r>
          </w:p>
        </w:tc>
      </w:tr>
      <w:tr>
        <w:tc>
          <w:tcPr>
            <w:tcW w:type="dxa" w:w="3168"/>
            <w:vAlign w:val="center"/>
          </w:tcPr>
          <w:p>
            <w:pPr>
              <w:spacing w:after="0"/>
            </w:pPr>
            <w:r/>
            <w:r>
              <w:rPr>
                <w:rFonts w:ascii="Times New Roman" w:hAnsi="Times New Roman"/>
                <w:b w:val="0"/>
                <w:color w:val="18323F"/>
                <w:sz w:val="17"/>
              </w:rPr>
              <w:t>Live coral cover is sufficiently comparable across reports</w:t>
            </w:r>
          </w:p>
        </w:tc>
        <w:tc>
          <w:tcPr>
            <w:tcW w:type="dxa" w:w="2880"/>
            <w:vAlign w:val="center"/>
          </w:tcPr>
          <w:p>
            <w:pPr>
              <w:spacing w:after="0"/>
            </w:pPr>
            <w:r/>
            <w:r>
              <w:rPr>
                <w:rFonts w:ascii="Times New Roman" w:hAnsi="Times New Roman"/>
                <w:b w:val="0"/>
                <w:color w:val="18323F"/>
                <w:sz w:val="17"/>
              </w:rPr>
              <w:t>Method or observer changes may affect values</w:t>
            </w:r>
          </w:p>
        </w:tc>
        <w:tc>
          <w:tcPr>
            <w:tcW w:type="dxa" w:w="3168"/>
            <w:vAlign w:val="center"/>
          </w:tcPr>
          <w:p>
            <w:pPr>
              <w:spacing w:after="0"/>
            </w:pPr>
            <w:r/>
            <w:r>
              <w:rPr>
                <w:rFonts w:ascii="Times New Roman" w:hAnsi="Times New Roman"/>
                <w:b w:val="0"/>
                <w:color w:val="18323F"/>
                <w:sz w:val="17"/>
              </w:rPr>
              <w:t>Use results for screening only</w:t>
            </w:r>
          </w:p>
        </w:tc>
      </w:tr>
      <w:tr>
        <w:tc>
          <w:tcPr>
            <w:tcW w:type="dxa" w:w="3168"/>
            <w:vAlign w:val="center"/>
            <w:shd w:fill="EAF3F6"/>
          </w:tcPr>
          <w:p>
            <w:pPr>
              <w:spacing w:after="0"/>
            </w:pPr>
            <w:r/>
            <w:r>
              <w:rPr>
                <w:rFonts w:ascii="Times New Roman" w:hAnsi="Times New Roman"/>
                <w:b w:val="0"/>
                <w:color w:val="18323F"/>
                <w:sz w:val="17"/>
              </w:rPr>
              <w:t>Annualized change is approximately linear between surveys</w:t>
            </w:r>
          </w:p>
        </w:tc>
        <w:tc>
          <w:tcPr>
            <w:tcW w:type="dxa" w:w="2880"/>
            <w:vAlign w:val="center"/>
            <w:shd w:fill="EAF3F6"/>
          </w:tcPr>
          <w:p>
            <w:pPr>
              <w:spacing w:after="0"/>
            </w:pPr>
            <w:r/>
            <w:r>
              <w:rPr>
                <w:rFonts w:ascii="Times New Roman" w:hAnsi="Times New Roman"/>
                <w:b w:val="0"/>
                <w:color w:val="18323F"/>
                <w:sz w:val="17"/>
              </w:rPr>
              <w:t>Intermediate disturbance and recovery are unseen</w:t>
            </w:r>
          </w:p>
        </w:tc>
        <w:tc>
          <w:tcPr>
            <w:tcW w:type="dxa" w:w="3168"/>
            <w:vAlign w:val="center"/>
            <w:shd w:fill="EAF3F6"/>
          </w:tcPr>
          <w:p>
            <w:pPr>
              <w:spacing w:after="0"/>
            </w:pPr>
            <w:r/>
            <w:r>
              <w:rPr>
                <w:rFonts w:ascii="Times New Roman" w:hAnsi="Times New Roman"/>
                <w:b w:val="0"/>
                <w:color w:val="18323F"/>
                <w:sz w:val="17"/>
              </w:rPr>
              <w:t>Keep survey and target years explicit</w:t>
            </w:r>
          </w:p>
        </w:tc>
      </w:tr>
      <w:tr>
        <w:tc>
          <w:tcPr>
            <w:tcW w:type="dxa" w:w="3168"/>
            <w:vAlign w:val="center"/>
          </w:tcPr>
          <w:p>
            <w:pPr>
              <w:spacing w:after="0"/>
            </w:pPr>
            <w:r/>
            <w:r>
              <w:rPr>
                <w:rFonts w:ascii="Times New Roman" w:hAnsi="Times New Roman"/>
                <w:b w:val="0"/>
                <w:color w:val="18323F"/>
                <w:sz w:val="17"/>
              </w:rPr>
              <w:t>NOAA regional station represents broad heat exposure</w:t>
            </w:r>
          </w:p>
        </w:tc>
        <w:tc>
          <w:tcPr>
            <w:tcW w:type="dxa" w:w="2880"/>
            <w:vAlign w:val="center"/>
          </w:tcPr>
          <w:p>
            <w:pPr>
              <w:spacing w:after="0"/>
            </w:pPr>
            <w:r/>
            <w:r>
              <w:rPr>
                <w:rFonts w:ascii="Times New Roman" w:hAnsi="Times New Roman"/>
                <w:b w:val="0"/>
                <w:color w:val="18323F"/>
                <w:sz w:val="17"/>
              </w:rPr>
              <w:t>Local reef temperature can differ</w:t>
            </w:r>
          </w:p>
        </w:tc>
        <w:tc>
          <w:tcPr>
            <w:tcW w:type="dxa" w:w="3168"/>
            <w:vAlign w:val="center"/>
          </w:tcPr>
          <w:p>
            <w:pPr>
              <w:spacing w:after="0"/>
            </w:pPr>
            <w:r/>
            <w:r>
              <w:rPr>
                <w:rFonts w:ascii="Times New Roman" w:hAnsi="Times New Roman"/>
                <w:b w:val="0"/>
                <w:color w:val="18323F"/>
                <w:sz w:val="17"/>
              </w:rPr>
              <w:t>Request in-water confirmation</w:t>
            </w:r>
          </w:p>
        </w:tc>
      </w:tr>
      <w:tr>
        <w:tc>
          <w:tcPr>
            <w:tcW w:type="dxa" w:w="3168"/>
            <w:vAlign w:val="center"/>
            <w:shd w:fill="EAF3F6"/>
          </w:tcPr>
          <w:p>
            <w:pPr>
              <w:spacing w:after="0"/>
            </w:pPr>
            <w:r/>
            <w:r>
              <w:rPr>
                <w:rFonts w:ascii="Times New Roman" w:hAnsi="Times New Roman"/>
                <w:b w:val="0"/>
                <w:color w:val="18323F"/>
                <w:sz w:val="17"/>
              </w:rPr>
              <w:t>No narrative mention is uncertain absence</w:t>
            </w:r>
          </w:p>
        </w:tc>
        <w:tc>
          <w:tcPr>
            <w:tcW w:type="dxa" w:w="2880"/>
            <w:vAlign w:val="center"/>
            <w:shd w:fill="EAF3F6"/>
          </w:tcPr>
          <w:p>
            <w:pPr>
              <w:spacing w:after="0"/>
            </w:pPr>
            <w:r/>
            <w:r>
              <w:rPr>
                <w:rFonts w:ascii="Times New Roman" w:hAnsi="Times New Roman"/>
                <w:b w:val="0"/>
                <w:color w:val="18323F"/>
                <w:sz w:val="17"/>
              </w:rPr>
              <w:t>Reporting intensity varies</w:t>
            </w:r>
          </w:p>
        </w:tc>
        <w:tc>
          <w:tcPr>
            <w:tcW w:type="dxa" w:w="3168"/>
            <w:vAlign w:val="center"/>
            <w:shd w:fill="EAF3F6"/>
          </w:tcPr>
          <w:p>
            <w:pPr>
              <w:spacing w:after="0"/>
            </w:pPr>
            <w:r/>
            <w:r>
              <w:rPr>
                <w:rFonts w:ascii="Times New Roman" w:hAnsi="Times New Roman"/>
                <w:b w:val="0"/>
                <w:color w:val="18323F"/>
                <w:sz w:val="17"/>
              </w:rPr>
              <w:t>Treat flags as evidence prompts</w:t>
            </w:r>
          </w:p>
        </w:tc>
      </w:tr>
      <w:tr>
        <w:tc>
          <w:tcPr>
            <w:tcW w:type="dxa" w:w="3168"/>
            <w:vAlign w:val="center"/>
          </w:tcPr>
          <w:p>
            <w:pPr>
              <w:spacing w:after="0"/>
            </w:pPr>
            <w:r/>
            <w:r>
              <w:rPr>
                <w:rFonts w:ascii="Times New Roman" w:hAnsi="Times New Roman"/>
                <w:b w:val="0"/>
                <w:color w:val="18323F"/>
                <w:sz w:val="17"/>
              </w:rPr>
              <w:t>The top quartile is a workload queue</w:t>
            </w:r>
          </w:p>
        </w:tc>
        <w:tc>
          <w:tcPr>
            <w:tcW w:type="dxa" w:w="2880"/>
            <w:vAlign w:val="center"/>
          </w:tcPr>
          <w:p>
            <w:pPr>
              <w:spacing w:after="0"/>
            </w:pPr>
            <w:r/>
            <w:r>
              <w:rPr>
                <w:rFonts w:ascii="Times New Roman" w:hAnsi="Times New Roman"/>
                <w:b w:val="0"/>
                <w:color w:val="18323F"/>
                <w:sz w:val="17"/>
              </w:rPr>
              <w:t>It is not a scientific threshold</w:t>
            </w:r>
          </w:p>
        </w:tc>
        <w:tc>
          <w:tcPr>
            <w:tcW w:type="dxa" w:w="3168"/>
            <w:vAlign w:val="center"/>
          </w:tcPr>
          <w:p>
            <w:pPr>
              <w:spacing w:after="0"/>
            </w:pPr>
            <w:r/>
            <w:r>
              <w:rPr>
                <w:rFonts w:ascii="Times New Roman" w:hAnsi="Times New Roman"/>
                <w:b w:val="0"/>
                <w:color w:val="18323F"/>
                <w:sz w:val="17"/>
              </w:rPr>
              <w:t>Require field verification</w:t>
            </w:r>
          </w:p>
        </w:tc>
      </w:tr>
    </w:tbl>
    <w:p>
      <w:pPr>
        <w:spacing w:line="360" w:lineRule="auto" w:after="140"/>
      </w:pPr>
      <w:r>
        <w:rPr>
          <w:b w:val="0"/>
          <w:i w:val="0"/>
          <w:color w:val="60727C"/>
        </w:rPr>
        <w:t>The full assumption register is maintained in docs/assumptions.md. OpenDOSM state and national totals are explicitly not assumed to measure individual-island tourism pressure.</w:t>
      </w:r>
    </w:p>
    <w:p>
      <w:pPr>
        <w:pStyle w:val="Heading2"/>
        <w:keepNext/>
        <w:spacing w:before="200" w:after="100"/>
      </w:pPr>
      <w:r>
        <w:t>7.3 Highest-value next data</w:t>
      </w:r>
    </w:p>
    <w:p>
      <w:pPr>
        <w:spacing w:line="360" w:lineRule="auto" w:after="140"/>
      </w:pPr>
      <w:r>
        <w:rPr>
          <w:b w:val="0"/>
          <w:i w:val="0"/>
          <w:color w:val="18323F"/>
        </w:rPr>
        <w:t>The most useful enhancement is not a larger algorithm. It is island-level operational data: daily visitors, boat trips, mooring use, wastewater discharge, closures, bleaching observations, and consistent site-level survey identifiers. Those measurements would allow explicit pressure-response analysis and later testing of intervention effects.</w:t>
      </w:r>
    </w:p>
    <w:p>
      <w:pPr>
        <w:pStyle w:val="Heading2"/>
        <w:keepNext/>
        <w:spacing w:before="200" w:after="100"/>
      </w:pPr>
      <w:r>
        <w:t>7.4 Conclusion</w:t>
      </w:r>
    </w:p>
    <w:p>
      <w:pPr>
        <w:spacing w:line="360" w:lineRule="auto" w:after="140"/>
      </w:pPr>
      <w:r>
        <w:rPr>
          <w:b/>
          <w:i w:val="0"/>
          <w:color w:val="18323F"/>
        </w:rPr>
        <w:t>ReefSafe turns heterogeneous public evidence into a transparent queue for field verification. Its professional value lies in traceability and restraint: the dashboard shows what is observed, what is predicted, how uncertain the prediction is, and what claim the data cannot support.</w:t>
      </w:r>
    </w:p>
    <w:p>
      <w:pPr>
        <w:pStyle w:val="Heading2"/>
        <w:keepNext/>
        <w:spacing w:before="200" w:after="100"/>
      </w:pPr>
      <w:r>
        <w:t>References and reproducibility</w:t>
      </w:r>
    </w:p>
    <w:p>
      <w:pPr>
        <w:spacing w:line="360" w:lineRule="auto" w:after="140"/>
      </w:pPr>
      <w:r>
        <w:rPr>
          <w:b w:val="0"/>
          <w:i w:val="0"/>
          <w:color w:val="60727C"/>
        </w:rPr>
        <w:t>Primary evidence: Reef Check Malaysia annual survey reports; NOAA Coral Reef Watch station time series; OpenDOSM structured tourism/GDP files; DOSM Datathon 2026 booklet. Reproducible commands and packaged source files are listed in the repository README and dashboard-package README. Processed data: data/processed/master_reef_tourism_dataset.csv. Evaluation: data/processed/model_evaluation_metrics.csv. Diagnostics: data/processed/factor_relationships.csv and heat_category_summary.csv.</w:t>
      </w:r>
    </w:p>
    <w:sectPr w:rsidR="00FC693F" w:rsidRPr="0006063C" w:rsidSect="00034616">
      <w:headerReference w:type="default" r:id="rId9"/>
      <w:footerReference w:type="default" r:id="rId10"/>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1F6E8C"/>
        <w:sz w:val="18"/>
      </w:rPr>
      <w:t>ReefSafe | DOSM Datathon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230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6E8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b/>
      <w:color w:val="12304A"/>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