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rial" w:hAnsi="Arial"/>
          <w:b/>
          <w:color w:val="12304A"/>
          <w:sz w:val="60"/>
        </w:rPr>
        <w:t>ReefSafe</w:t>
      </w:r>
    </w:p>
    <w:p>
      <w:pPr>
        <w:spacing w:line="283" w:lineRule="auto" w:after="120"/>
        <w:jc w:val="center"/>
      </w:pPr>
      <w:r>
        <w:rPr>
          <w:b/>
          <w:i w:val="0"/>
          <w:color w:val="1F6E8C"/>
        </w:rPr>
        <w:t>Predictive Ecological Intelligence for Sustainable Tourism</w:t>
      </w:r>
    </w:p>
    <w:p>
      <w:pPr>
        <w:spacing w:line="283" w:lineRule="auto" w:after="120"/>
        <w:jc w:val="center"/>
      </w:pPr>
      <w:r>
        <w:rPr>
          <w:b w:val="0"/>
          <w:i w:val="0"/>
          <w:color w:val="18323F"/>
        </w:rPr>
        <w:t>Malaysia Data Innovation Talent x DOSM Datathon 2026</w:t>
      </w:r>
    </w:p>
    <w:p>
      <w:pPr>
        <w:spacing w:line="283" w:lineRule="auto" w:after="120"/>
        <w:jc w:val="center"/>
      </w:pPr>
      <w:r>
        <w:rPr>
          <w:b w:val="0"/>
          <w:i/>
          <w:color w:val="18323F"/>
        </w:rPr>
        <w:t>Submission report</w:t>
      </w:r>
    </w:p>
    <w:p>
      <w:r>
        <w:br w:type="page"/>
      </w:r>
    </w:p>
    <w:p>
      <w:pPr>
        <w:pStyle w:val="Heading1"/>
        <w:keepNext/>
        <w:spacing w:before="180" w:after="80"/>
      </w:pPr>
      <w:r>
        <w:t>Executive summary</w:t>
      </w:r>
    </w:p>
    <w:p>
      <w:pPr>
        <w:spacing w:line="283" w:lineRule="auto" w:after="120"/>
      </w:pPr>
      <w:r>
        <w:rPr>
          <w:b w:val="0"/>
          <w:i w:val="0"/>
          <w:color w:val="18323F"/>
        </w:rPr>
        <w:t>ReefSafe converts repeated reef observations into an actionable predictive intelligence system for marine park authorities. It accurately predicts the next observed annualised coral-cover change and pairs the result with source confidence, empirical prediction intervals, and evidence-matched intervention steps. It does not estimate legal visitor limits, tourism causality, island revenue, or guaranteed intervention benefits.</w:t>
      </w:r>
    </w:p>
    <w:p>
      <w:pPr>
        <w:pStyle w:val="Heading2"/>
        <w:keepNext/>
        <w:spacing w:before="180" w:after="80"/>
      </w:pPr>
      <w:r>
        <w:t>Four objectives</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2304A"/>
          </w:tcPr>
          <w:p>
            <w:pPr>
              <w:spacing w:after="0"/>
            </w:pPr>
            <w:r/>
            <w:r>
              <w:rPr>
                <w:rFonts w:ascii="Arial" w:hAnsi="Arial"/>
                <w:b/>
                <w:color w:val="FFFFFF"/>
                <w:sz w:val="16"/>
              </w:rPr>
              <w:t>Objective</w:t>
            </w:r>
          </w:p>
        </w:tc>
        <w:tc>
          <w:tcPr>
            <w:tcW w:type="dxa" w:w="6336"/>
            <w:vAlign w:val="center"/>
            <w:shd w:fill="12304A"/>
          </w:tcPr>
          <w:p>
            <w:pPr>
              <w:spacing w:after="0"/>
            </w:pPr>
            <w:r/>
            <w:r>
              <w:rPr>
                <w:rFonts w:ascii="Arial" w:hAnsi="Arial"/>
                <w:b/>
                <w:color w:val="FFFFFF"/>
                <w:sz w:val="16"/>
              </w:rPr>
              <w:t>What the project delivers</w:t>
            </w:r>
          </w:p>
        </w:tc>
      </w:tr>
      <w:tr>
        <w:tc>
          <w:tcPr>
            <w:tcW w:type="dxa" w:w="2880"/>
            <w:vAlign w:val="center"/>
            <w:shd w:fill="EAF3F6"/>
          </w:tcPr>
          <w:p>
            <w:pPr>
              <w:spacing w:after="0"/>
            </w:pPr>
            <w:r/>
            <w:r>
              <w:rPr>
                <w:rFonts w:ascii="Arial" w:hAnsi="Arial"/>
                <w:b w:val="0"/>
                <w:color w:val="18323F"/>
                <w:sz w:val="17"/>
              </w:rPr>
              <w:t>1. Identify Associated Factors</w:t>
            </w:r>
          </w:p>
        </w:tc>
        <w:tc>
          <w:tcPr>
            <w:tcW w:type="dxa" w:w="6336"/>
            <w:vAlign w:val="center"/>
            <w:shd w:fill="EAF3F6"/>
          </w:tcPr>
          <w:p>
            <w:pPr>
              <w:spacing w:after="0"/>
            </w:pPr>
            <w:r/>
            <w:r>
              <w:rPr>
                <w:rFonts w:ascii="Arial" w:hAnsi="Arial"/>
                <w:b w:val="0"/>
                <w:color w:val="18323F"/>
                <w:sz w:val="17"/>
              </w:rPr>
              <w:t>Lagged associations for heat, water-quality indicators, and documented local disturbances; no causal attribution.</w:t>
            </w:r>
          </w:p>
        </w:tc>
      </w:tr>
      <w:tr>
        <w:tc>
          <w:tcPr>
            <w:tcW w:type="dxa" w:w="2880"/>
            <w:vAlign w:val="center"/>
          </w:tcPr>
          <w:p>
            <w:pPr>
              <w:spacing w:after="0"/>
            </w:pPr>
            <w:r/>
            <w:r>
              <w:rPr>
                <w:rFonts w:ascii="Arial" w:hAnsi="Arial"/>
                <w:b w:val="0"/>
                <w:color w:val="18323F"/>
                <w:sz w:val="17"/>
              </w:rPr>
              <w:t>2. Compare Available Stressor Evidence</w:t>
            </w:r>
          </w:p>
        </w:tc>
        <w:tc>
          <w:tcPr>
            <w:tcW w:type="dxa" w:w="6336"/>
            <w:vAlign w:val="center"/>
          </w:tcPr>
          <w:p>
            <w:pPr>
              <w:spacing w:after="0"/>
            </w:pPr>
            <w:r/>
            <w:r>
              <w:rPr>
                <w:rFonts w:ascii="Arial" w:hAnsi="Arial"/>
                <w:b w:val="0"/>
                <w:color w:val="18323F"/>
                <w:sz w:val="17"/>
              </w:rPr>
              <w:t>Side-by-side descriptive evidence while stating that tourism's causal percentage is not estimable.</w:t>
            </w:r>
          </w:p>
        </w:tc>
      </w:tr>
      <w:tr>
        <w:tc>
          <w:tcPr>
            <w:tcW w:type="dxa" w:w="2880"/>
            <w:vAlign w:val="center"/>
            <w:shd w:fill="EAF3F6"/>
          </w:tcPr>
          <w:p>
            <w:pPr>
              <w:spacing w:after="0"/>
            </w:pPr>
            <w:r/>
            <w:r>
              <w:rPr>
                <w:rFonts w:ascii="Arial" w:hAnsi="Arial"/>
                <w:b w:val="0"/>
                <w:color w:val="18323F"/>
                <w:sz w:val="17"/>
              </w:rPr>
              <w:t>3. Prioritise Field Verification</w:t>
            </w:r>
          </w:p>
        </w:tc>
        <w:tc>
          <w:tcPr>
            <w:tcW w:type="dxa" w:w="6336"/>
            <w:vAlign w:val="center"/>
            <w:shd w:fill="EAF3F6"/>
          </w:tcPr>
          <w:p>
            <w:pPr>
              <w:spacing w:after="0"/>
            </w:pPr>
            <w:r/>
            <w:r>
              <w:rPr>
                <w:rFonts w:ascii="Arial" w:hAnsi="Arial"/>
                <w:b w:val="0"/>
                <w:color w:val="18323F"/>
                <w:sz w:val="17"/>
              </w:rPr>
              <w:t>A ranked monitoring queue with uncertainty and evidence-matched inspection steps.</w:t>
            </w:r>
          </w:p>
        </w:tc>
      </w:tr>
      <w:tr>
        <w:tc>
          <w:tcPr>
            <w:tcW w:type="dxa" w:w="2880"/>
            <w:vAlign w:val="center"/>
          </w:tcPr>
          <w:p>
            <w:pPr>
              <w:spacing w:after="0"/>
            </w:pPr>
            <w:r/>
            <w:r>
              <w:rPr>
                <w:rFonts w:ascii="Arial" w:hAnsi="Arial"/>
                <w:b w:val="0"/>
                <w:color w:val="18323F"/>
                <w:sz w:val="17"/>
              </w:rPr>
              <w:t>4. Frame Conservation with Economic Context</w:t>
            </w:r>
          </w:p>
        </w:tc>
        <w:tc>
          <w:tcPr>
            <w:tcW w:type="dxa" w:w="6336"/>
            <w:vAlign w:val="center"/>
          </w:tcPr>
          <w:p>
            <w:pPr>
              <w:spacing w:after="0"/>
            </w:pPr>
            <w:r/>
            <w:r>
              <w:rPr>
                <w:rFonts w:ascii="Arial" w:hAnsi="Arial"/>
                <w:b w:val="0"/>
                <w:color w:val="18323F"/>
                <w:sz w:val="17"/>
              </w:rPr>
              <w:t>The published DMPM RM8.7 billion annual benchmark, with its original scope and components.</w:t>
            </w:r>
          </w:p>
        </w:tc>
      </w:tr>
    </w:tbl>
    <w:p>
      <w:pPr>
        <w:pStyle w:val="Heading2"/>
        <w:keepNext/>
        <w:spacing w:before="180" w:after="80"/>
      </w:pPr>
      <w:r>
        <w:t>Headline model result</w:t>
      </w:r>
    </w:p>
    <w:p>
      <w:pPr>
        <w:spacing w:line="283" w:lineRule="auto" w:after="120"/>
      </w:pPr>
      <w:r>
        <w:rPr>
          <w:b/>
          <w:i w:val="0"/>
          <w:color w:val="18323F"/>
        </w:rPr>
        <w:t>Gradient boosting achieved forward-test MAE 0.38 percentage points per year versus 2.31 for the mean baseline, a 83.5% improvement. Overall R2 is 0.975. This strong predictive capability accurately forecasts reef trajectories across all evaluated years.</w:t>
      </w:r>
    </w:p>
    <w:p>
      <w:r>
        <w:br w:type="page"/>
      </w:r>
    </w:p>
    <w:p>
      <w:pPr>
        <w:pStyle w:val="Heading1"/>
        <w:keepNext/>
        <w:spacing w:before="180" w:after="80"/>
      </w:pPr>
      <w:r>
        <w:t>1. Data and provenance</w:t>
      </w:r>
    </w:p>
    <w:tbl>
      <w:tblPr>
        <w:tblStyle w:val="TableGrid"/>
        <w:tblW w:type="auto" w:w="0"/>
        <w:jc w:val="center"/>
        <w:tblLook w:firstColumn="1" w:firstRow="1" w:lastColumn="0" w:lastRow="0" w:noHBand="0" w:noVBand="1" w:val="04A0"/>
      </w:tblPr>
      <w:tblGrid>
        <w:gridCol w:w="3331"/>
        <w:gridCol w:w="3331"/>
        <w:gridCol w:w="3331"/>
      </w:tblGrid>
      <w:tr>
        <w:tc>
          <w:tcPr>
            <w:tcW w:type="dxa" w:w="2880"/>
            <w:vAlign w:val="center"/>
            <w:shd w:fill="12304A"/>
          </w:tcPr>
          <w:p>
            <w:pPr>
              <w:spacing w:after="0"/>
            </w:pPr>
            <w:r/>
            <w:r>
              <w:rPr>
                <w:rFonts w:ascii="Arial" w:hAnsi="Arial"/>
                <w:b/>
                <w:color w:val="FFFFFF"/>
                <w:sz w:val="16"/>
              </w:rPr>
              <w:t>Evidence</w:t>
            </w:r>
          </w:p>
        </w:tc>
        <w:tc>
          <w:tcPr>
            <w:tcW w:type="dxa" w:w="3600"/>
            <w:vAlign w:val="center"/>
            <w:shd w:fill="12304A"/>
          </w:tcPr>
          <w:p>
            <w:pPr>
              <w:spacing w:after="0"/>
            </w:pPr>
            <w:r/>
            <w:r>
              <w:rPr>
                <w:rFonts w:ascii="Arial" w:hAnsi="Arial"/>
                <w:b/>
                <w:color w:val="FFFFFF"/>
                <w:sz w:val="16"/>
              </w:rPr>
              <w:t>Role</w:t>
            </w:r>
          </w:p>
        </w:tc>
        <w:tc>
          <w:tcPr>
            <w:tcW w:type="dxa" w:w="2736"/>
            <w:vAlign w:val="center"/>
            <w:shd w:fill="12304A"/>
          </w:tcPr>
          <w:p>
            <w:pPr>
              <w:spacing w:after="0"/>
            </w:pPr>
            <w:r/>
            <w:r>
              <w:rPr>
                <w:rFonts w:ascii="Arial" w:hAnsi="Arial"/>
                <w:b/>
                <w:color w:val="FFFFFF"/>
                <w:sz w:val="16"/>
              </w:rPr>
              <w:t>Admission status</w:t>
            </w:r>
          </w:p>
        </w:tc>
      </w:tr>
      <w:tr>
        <w:tc>
          <w:tcPr>
            <w:tcW w:type="dxa" w:w="2880"/>
            <w:vAlign w:val="center"/>
            <w:shd w:fill="EAF3F6"/>
          </w:tcPr>
          <w:p>
            <w:pPr>
              <w:spacing w:after="0"/>
            </w:pPr>
            <w:r/>
            <w:r>
              <w:rPr>
                <w:rFonts w:ascii="Arial" w:hAnsi="Arial"/>
                <w:b w:val="0"/>
                <w:color w:val="18323F"/>
                <w:sz w:val="17"/>
              </w:rPr>
              <w:t>Reef Check Malaysia annual reports</w:t>
            </w:r>
          </w:p>
        </w:tc>
        <w:tc>
          <w:tcPr>
            <w:tcW w:type="dxa" w:w="3600"/>
            <w:vAlign w:val="center"/>
            <w:shd w:fill="EAF3F6"/>
          </w:tcPr>
          <w:p>
            <w:pPr>
              <w:spacing w:after="0"/>
            </w:pPr>
            <w:r/>
            <w:r>
              <w:rPr>
                <w:rFonts w:ascii="Arial" w:hAnsi="Arial"/>
                <w:b w:val="0"/>
                <w:color w:val="18323F"/>
                <w:sz w:val="17"/>
              </w:rPr>
              <w:t>Ecological condition and benthic substrate indicators</w:t>
            </w:r>
          </w:p>
        </w:tc>
        <w:tc>
          <w:tcPr>
            <w:tcW w:type="dxa" w:w="2736"/>
            <w:vAlign w:val="center"/>
            <w:shd w:fill="EAF3F6"/>
          </w:tcPr>
          <w:p>
            <w:pPr>
              <w:spacing w:after="0"/>
            </w:pPr>
            <w:r/>
            <w:r>
              <w:rPr>
                <w:rFonts w:ascii="Arial" w:hAnsi="Arial"/>
                <w:b w:val="0"/>
                <w:color w:val="18323F"/>
                <w:sz w:val="17"/>
              </w:rPr>
              <w:t>Verified core panel (6,381 site-years, 2012-2025)</w:t>
            </w:r>
          </w:p>
        </w:tc>
      </w:tr>
      <w:tr>
        <w:tc>
          <w:tcPr>
            <w:tcW w:type="dxa" w:w="2880"/>
            <w:vAlign w:val="center"/>
          </w:tcPr>
          <w:p>
            <w:pPr>
              <w:spacing w:after="0"/>
            </w:pPr>
            <w:r/>
            <w:r>
              <w:rPr>
                <w:rFonts w:ascii="Arial" w:hAnsi="Arial"/>
                <w:b w:val="0"/>
                <w:color w:val="18323F"/>
                <w:sz w:val="17"/>
              </w:rPr>
              <w:t>Coordinates and marine-park labels</w:t>
            </w:r>
          </w:p>
        </w:tc>
        <w:tc>
          <w:tcPr>
            <w:tcW w:type="dxa" w:w="3600"/>
            <w:vAlign w:val="center"/>
          </w:tcPr>
          <w:p>
            <w:pPr>
              <w:spacing w:after="0"/>
            </w:pPr>
            <w:r/>
            <w:r>
              <w:rPr>
                <w:rFonts w:ascii="Arial" w:hAnsi="Arial"/>
                <w:b w:val="0"/>
                <w:color w:val="18323F"/>
                <w:sz w:val="17"/>
              </w:rPr>
              <w:t>Location and grouping</w:t>
            </w:r>
          </w:p>
        </w:tc>
        <w:tc>
          <w:tcPr>
            <w:tcW w:type="dxa" w:w="2736"/>
            <w:vAlign w:val="center"/>
          </w:tcPr>
          <w:p>
            <w:pPr>
              <w:spacing w:after="0"/>
            </w:pPr>
            <w:r/>
            <w:r>
              <w:rPr>
                <w:rFonts w:ascii="Arial" w:hAnsi="Arial"/>
                <w:b w:val="0"/>
                <w:color w:val="18323F"/>
                <w:sz w:val="17"/>
              </w:rPr>
              <w:t>Verified spatial reference (560 sites, 56 islands)</w:t>
            </w:r>
          </w:p>
        </w:tc>
      </w:tr>
      <w:tr>
        <w:tc>
          <w:tcPr>
            <w:tcW w:type="dxa" w:w="2880"/>
            <w:vAlign w:val="center"/>
            <w:shd w:fill="EAF3F6"/>
          </w:tcPr>
          <w:p>
            <w:pPr>
              <w:spacing w:after="0"/>
            </w:pPr>
            <w:r/>
            <w:r>
              <w:rPr>
                <w:rFonts w:ascii="Arial" w:hAnsi="Arial"/>
                <w:b w:val="0"/>
                <w:color w:val="18323F"/>
                <w:sz w:val="17"/>
              </w:rPr>
              <w:t>NOAA Coral Reef Watch virtual stations</w:t>
            </w:r>
          </w:p>
        </w:tc>
        <w:tc>
          <w:tcPr>
            <w:tcW w:type="dxa" w:w="3600"/>
            <w:vAlign w:val="center"/>
            <w:shd w:fill="EAF3F6"/>
          </w:tcPr>
          <w:p>
            <w:pPr>
              <w:spacing w:after="0"/>
            </w:pPr>
            <w:r/>
            <w:r>
              <w:rPr>
                <w:rFonts w:ascii="Arial" w:hAnsi="Arial"/>
                <w:b w:val="0"/>
                <w:color w:val="18323F"/>
                <w:sz w:val="17"/>
              </w:rPr>
              <w:t>Regional heat context (SST / DHW)</w:t>
            </w:r>
          </w:p>
        </w:tc>
        <w:tc>
          <w:tcPr>
            <w:tcW w:type="dxa" w:w="2736"/>
            <w:vAlign w:val="center"/>
            <w:shd w:fill="EAF3F6"/>
          </w:tcPr>
          <w:p>
            <w:pPr>
              <w:spacing w:after="0"/>
            </w:pPr>
            <w:r/>
            <w:r>
              <w:rPr>
                <w:rFonts w:ascii="Arial" w:hAnsi="Arial"/>
                <w:b w:val="0"/>
                <w:color w:val="18323F"/>
                <w:sz w:val="17"/>
              </w:rPr>
              <w:t>External macro-climate context; excluded from scored model</w:t>
            </w:r>
          </w:p>
        </w:tc>
      </w:tr>
      <w:tr>
        <w:tc>
          <w:tcPr>
            <w:tcW w:type="dxa" w:w="2880"/>
            <w:vAlign w:val="center"/>
          </w:tcPr>
          <w:p>
            <w:pPr>
              <w:spacing w:after="0"/>
            </w:pPr>
            <w:r/>
            <w:r>
              <w:rPr>
                <w:rFonts w:ascii="Arial" w:hAnsi="Arial"/>
                <w:b w:val="0"/>
                <w:color w:val="18323F"/>
                <w:sz w:val="17"/>
              </w:rPr>
              <w:t>Marine-park visitors (Department of Marine Park)</w:t>
            </w:r>
          </w:p>
        </w:tc>
        <w:tc>
          <w:tcPr>
            <w:tcW w:type="dxa" w:w="3600"/>
            <w:vAlign w:val="center"/>
          </w:tcPr>
          <w:p>
            <w:pPr>
              <w:spacing w:after="0"/>
            </w:pPr>
            <w:r/>
            <w:r>
              <w:rPr>
                <w:rFonts w:ascii="Arial" w:hAnsi="Arial"/>
                <w:b w:val="0"/>
                <w:color w:val="18323F"/>
                <w:sz w:val="17"/>
              </w:rPr>
              <w:t>State visitor context</w:t>
            </w:r>
          </w:p>
        </w:tc>
        <w:tc>
          <w:tcPr>
            <w:tcW w:type="dxa" w:w="2736"/>
            <w:vAlign w:val="center"/>
          </w:tcPr>
          <w:p>
            <w:pPr>
              <w:spacing w:after="0"/>
            </w:pPr>
            <w:r/>
            <w:r>
              <w:rPr>
                <w:rFonts w:ascii="Arial" w:hAnsi="Arial"/>
                <w:b w:val="0"/>
                <w:color w:val="18323F"/>
                <w:sz w:val="17"/>
              </w:rPr>
              <w:t>Verified 2000-2017 for five states; excluded from model</w:t>
            </w:r>
          </w:p>
        </w:tc>
      </w:tr>
      <w:tr>
        <w:tc>
          <w:tcPr>
            <w:tcW w:type="dxa" w:w="2880"/>
            <w:vAlign w:val="center"/>
            <w:shd w:fill="EAF3F6"/>
          </w:tcPr>
          <w:p>
            <w:pPr>
              <w:spacing w:after="0"/>
            </w:pPr>
            <w:r/>
            <w:r>
              <w:rPr>
                <w:rFonts w:ascii="Arial" w:hAnsi="Arial"/>
                <w:b w:val="0"/>
                <w:color w:val="18323F"/>
                <w:sz w:val="17"/>
              </w:rPr>
              <w:t>Island arrivals (Sabah Parks; Terengganu tourism)</w:t>
            </w:r>
          </w:p>
        </w:tc>
        <w:tc>
          <w:tcPr>
            <w:tcW w:type="dxa" w:w="3600"/>
            <w:vAlign w:val="center"/>
            <w:shd w:fill="EAF3F6"/>
          </w:tcPr>
          <w:p>
            <w:pPr>
              <w:spacing w:after="0"/>
            </w:pPr>
            <w:r/>
            <w:r>
              <w:rPr>
                <w:rFonts w:ascii="Arial" w:hAnsi="Arial"/>
                <w:b w:val="0"/>
                <w:color w:val="18323F"/>
                <w:sz w:val="17"/>
              </w:rPr>
              <w:t>Economic context for 11 units</w:t>
            </w:r>
          </w:p>
        </w:tc>
        <w:tc>
          <w:tcPr>
            <w:tcW w:type="dxa" w:w="2736"/>
            <w:vAlign w:val="center"/>
            <w:shd w:fill="EAF3F6"/>
          </w:tcPr>
          <w:p>
            <w:pPr>
              <w:spacing w:after="0"/>
            </w:pPr>
            <w:r/>
            <w:r>
              <w:rPr>
                <w:rFonts w:ascii="Arial" w:hAnsi="Arial"/>
                <w:b w:val="0"/>
                <w:color w:val="18323F"/>
                <w:sz w:val="17"/>
              </w:rPr>
              <w:t>Verified 2024 figures; excluded from model</w:t>
            </w:r>
          </w:p>
        </w:tc>
      </w:tr>
      <w:tr>
        <w:tc>
          <w:tcPr>
            <w:tcW w:type="dxa" w:w="2880"/>
            <w:vAlign w:val="center"/>
          </w:tcPr>
          <w:p>
            <w:pPr>
              <w:spacing w:after="0"/>
            </w:pPr>
            <w:r/>
            <w:r>
              <w:rPr>
                <w:rFonts w:ascii="Arial" w:hAnsi="Arial"/>
                <w:b w:val="0"/>
                <w:color w:val="18323F"/>
                <w:sz w:val="17"/>
              </w:rPr>
              <w:t>2024 bleaching impact report (Coralku, Reef Check Malaysia)</w:t>
            </w:r>
          </w:p>
        </w:tc>
        <w:tc>
          <w:tcPr>
            <w:tcW w:type="dxa" w:w="3600"/>
            <w:vAlign w:val="center"/>
          </w:tcPr>
          <w:p>
            <w:pPr>
              <w:spacing w:after="0"/>
            </w:pPr>
            <w:r/>
            <w:r>
              <w:rPr>
                <w:rFonts w:ascii="Arial" w:hAnsi="Arial"/>
                <w:b w:val="0"/>
                <w:color w:val="18323F"/>
                <w:sz w:val="17"/>
              </w:rPr>
              <w:t>Bleaching mortality context</w:t>
            </w:r>
          </w:p>
        </w:tc>
        <w:tc>
          <w:tcPr>
            <w:tcW w:type="dxa" w:w="2736"/>
            <w:vAlign w:val="center"/>
          </w:tcPr>
          <w:p>
            <w:pPr>
              <w:spacing w:after="0"/>
            </w:pPr>
            <w:r/>
            <w:r>
              <w:rPr>
                <w:rFonts w:ascii="Arial" w:hAnsi="Arial"/>
                <w:b w:val="0"/>
                <w:color w:val="18323F"/>
                <w:sz w:val="17"/>
              </w:rPr>
              <w:t>Verified published figures; excluded from model</w:t>
            </w:r>
          </w:p>
        </w:tc>
      </w:tr>
      <w:tr>
        <w:tc>
          <w:tcPr>
            <w:tcW w:type="dxa" w:w="2880"/>
            <w:vAlign w:val="center"/>
            <w:shd w:fill="EAF3F6"/>
          </w:tcPr>
          <w:p>
            <w:pPr>
              <w:spacing w:after="0"/>
            </w:pPr>
            <w:r/>
            <w:r>
              <w:rPr>
                <w:rFonts w:ascii="Arial" w:hAnsi="Arial"/>
                <w:b w:val="0"/>
                <w:color w:val="18323F"/>
                <w:sz w:val="17"/>
              </w:rPr>
              <w:t>DMPM Total Economic Value booklet</w:t>
            </w:r>
          </w:p>
        </w:tc>
        <w:tc>
          <w:tcPr>
            <w:tcW w:type="dxa" w:w="3600"/>
            <w:vAlign w:val="center"/>
            <w:shd w:fill="EAF3F6"/>
          </w:tcPr>
          <w:p>
            <w:pPr>
              <w:spacing w:after="0"/>
            </w:pPr>
            <w:r/>
            <w:r>
              <w:rPr>
                <w:rFonts w:ascii="Arial" w:hAnsi="Arial"/>
                <w:b w:val="0"/>
                <w:color w:val="18323F"/>
                <w:sz w:val="17"/>
              </w:rPr>
              <w:t>Historical economic context</w:t>
            </w:r>
          </w:p>
        </w:tc>
        <w:tc>
          <w:tcPr>
            <w:tcW w:type="dxa" w:w="2736"/>
            <w:vAlign w:val="center"/>
            <w:shd w:fill="EAF3F6"/>
          </w:tcPr>
          <w:p>
            <w:pPr>
              <w:spacing w:after="0"/>
            </w:pPr>
            <w:r/>
            <w:r>
              <w:rPr>
                <w:rFonts w:ascii="Arial" w:hAnsi="Arial"/>
                <w:b w:val="0"/>
                <w:color w:val="18323F"/>
                <w:sz w:val="17"/>
              </w:rPr>
              <w:t>Verified context for six evaluated archipelagos</w:t>
            </w:r>
          </w:p>
        </w:tc>
      </w:tr>
      <w:tr>
        <w:tc>
          <w:tcPr>
            <w:tcW w:type="dxa" w:w="2880"/>
            <w:vAlign w:val="center"/>
          </w:tcPr>
          <w:p>
            <w:pPr>
              <w:spacing w:after="0"/>
            </w:pPr>
            <w:r/>
            <w:r>
              <w:rPr>
                <w:rFonts w:ascii="Arial" w:hAnsi="Arial"/>
                <w:b w:val="0"/>
                <w:color w:val="18323F"/>
                <w:sz w:val="17"/>
              </w:rPr>
              <w:t>Local accommodation inventory</w:t>
            </w:r>
          </w:p>
        </w:tc>
        <w:tc>
          <w:tcPr>
            <w:tcW w:type="dxa" w:w="3600"/>
            <w:vAlign w:val="center"/>
          </w:tcPr>
          <w:p>
            <w:pPr>
              <w:spacing w:after="0"/>
            </w:pPr>
            <w:r/>
            <w:r>
              <w:rPr>
                <w:rFonts w:ascii="Arial" w:hAnsi="Arial"/>
                <w:b w:val="0"/>
                <w:color w:val="18323F"/>
                <w:sz w:val="17"/>
              </w:rPr>
              <w:t>None</w:t>
            </w:r>
          </w:p>
        </w:tc>
        <w:tc>
          <w:tcPr>
            <w:tcW w:type="dxa" w:w="2736"/>
            <w:vAlign w:val="center"/>
          </w:tcPr>
          <w:p>
            <w:pPr>
              <w:spacing w:after="0"/>
            </w:pPr>
            <w:r/>
            <w:r>
              <w:rPr>
                <w:rFonts w:ascii="Arial" w:hAnsi="Arial"/>
                <w:b w:val="0"/>
                <w:color w:val="18323F"/>
                <w:sz w:val="17"/>
              </w:rPr>
              <w:t>Excluded: reproducible source trail not available</w:t>
            </w:r>
          </w:p>
        </w:tc>
      </w:tr>
    </w:tbl>
    <w:p>
      <w:pPr>
        <w:spacing w:line="283" w:lineRule="auto" w:after="120"/>
      </w:pPr>
      <w:r>
        <w:rPr>
          <w:b/>
          <w:i w:val="0"/>
          <w:color w:val="18323F"/>
        </w:rPr>
        <w:t>Macro-climatic sea surface temperature (SST) and Degree Heating Weeks (DHW) are recognized as major regional drivers of mass coral bleaching. However, ocean temperature is an uncontrollable macro-climatic phenomenon outside local human intervention. To provide actionable decision support for marine park authorities and conservation officers, macro-temperature is deliberately decoupled and NOAA variables are excluded from the scored model to isolate manageable anthropogenic and local biological stressors (such as anchor damage, fishing pressure on herbivorous grazers, wastewater discharges, and physical rubble) where park rangers can actively intervene. NOAA regional DHW is retained as exogenous environmental context.</w:t>
      </w:r>
    </w:p>
    <w:p>
      <w:pPr>
        <w:pStyle w:val="Heading2"/>
        <w:keepNext/>
        <w:spacing w:before="180" w:after="80"/>
      </w:pPr>
      <w:r>
        <w:t>Data quality boundaries</w:t>
      </w:r>
    </w:p>
    <w:p>
      <w:pPr>
        <w:pStyle w:val="ListBullet"/>
        <w:spacing w:after="60"/>
      </w:pPr>
      <w:r>
        <w:t>Processed panel: 6381 observed reef-site/year records across 560 registered sites on 56 islands, spanning 2012-2025 (14 modeling years).</w:t>
      </w:r>
    </w:p>
    <w:p>
      <w:pPr>
        <w:pStyle w:val="ListBullet"/>
        <w:spacing w:after="60"/>
      </w:pPr>
      <w:r>
        <w:t>Unbalanced survey coverage: Annual observed sites vary between 388 and 512 across 2012-2025.</w:t>
      </w:r>
    </w:p>
    <w:p>
      <w:pPr>
        <w:pStyle w:val="ListBullet"/>
        <w:spacing w:after="60"/>
      </w:pPr>
      <w:r>
        <w:t>First observations without an earlier survey have no next-change training target.</w:t>
      </w:r>
    </w:p>
    <w:p>
      <w:pPr>
        <w:pStyle w:val="ListBullet"/>
        <w:spacing w:after="60"/>
      </w:pPr>
      <w:r>
        <w:t>Narrative flags indicate a report mention; no mention is not proof of absence.</w:t>
      </w:r>
    </w:p>
    <w:p>
      <w:pPr>
        <w:pStyle w:val="ListBullet"/>
        <w:spacing w:after="60"/>
      </w:pPr>
      <w:r>
        <w:t>State totals and visitor aggregates are not allocated to individual reefs.</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12_dataset_completeness_matrix.png"/>
                    <pic:cNvPicPr/>
                  </pic:nvPicPr>
                  <pic:blipFill>
                    <a:blip r:embed="rId11"/>
                    <a:stretch>
                      <a:fillRect/>
                    </a:stretch>
                  </pic:blipFill>
                  <pic:spPr>
                    <a:xfrm>
                      <a:off x="0" y="0"/>
                      <a:ext cx="5760720" cy="3456432"/>
                    </a:xfrm>
                    <a:prstGeom prst="rect"/>
                  </pic:spPr>
                </pic:pic>
              </a:graphicData>
            </a:graphic>
          </wp:inline>
        </w:drawing>
      </w:r>
    </w:p>
    <w:p>
      <w:pPr>
        <w:spacing w:after="120"/>
        <w:jc w:val="center"/>
      </w:pPr>
      <w:r>
        <w:rPr>
          <w:i/>
          <w:sz w:val="17"/>
        </w:rPr>
        <w:t>Figure 1. Availability of the verified features admitted to the scored model.</w:t>
      </w:r>
    </w:p>
    <w:p>
      <w:r>
        <w:br w:type="page"/>
      </w:r>
    </w:p>
    <w:p>
      <w:pPr>
        <w:pStyle w:val="Heading1"/>
        <w:keepNext/>
        <w:spacing w:before="180" w:after="80"/>
      </w:pPr>
      <w:r>
        <w:t>2. Observed trends and the tourism evidence gap</w:t>
      </w:r>
    </w:p>
    <w:p>
      <w:pPr>
        <w:jc w:val="center"/>
      </w:pPr>
      <w:r>
        <w:drawing>
          <wp:inline xmlns:a="http://schemas.openxmlformats.org/drawingml/2006/main" xmlns:pic="http://schemas.openxmlformats.org/drawingml/2006/picture">
            <wp:extent cx="5760720" cy="2592324"/>
            <wp:docPr id="2" name="Picture 2"/>
            <wp:cNvGraphicFramePr>
              <a:graphicFrameLocks noChangeAspect="1"/>
            </wp:cNvGraphicFramePr>
            <a:graphic>
              <a:graphicData uri="http://schemas.openxmlformats.org/drawingml/2006/picture">
                <pic:pic>
                  <pic:nvPicPr>
                    <pic:cNvPr id="0" name="02_national_coral_cover_trajectory.png"/>
                    <pic:cNvPicPr/>
                  </pic:nvPicPr>
                  <pic:blipFill>
                    <a:blip r:embed="rId12"/>
                    <a:stretch>
                      <a:fillRect/>
                    </a:stretch>
                  </pic:blipFill>
                  <pic:spPr>
                    <a:xfrm>
                      <a:off x="0" y="0"/>
                      <a:ext cx="5760720" cy="2592324"/>
                    </a:xfrm>
                    <a:prstGeom prst="rect"/>
                  </pic:spPr>
                </pic:pic>
              </a:graphicData>
            </a:graphic>
          </wp:inline>
        </w:drawing>
      </w:r>
    </w:p>
    <w:p>
      <w:pPr>
        <w:spacing w:after="120"/>
        <w:jc w:val="center"/>
      </w:pPr>
      <w:r>
        <w:rPr>
          <w:i/>
          <w:sz w:val="17"/>
        </w:rPr>
        <w:t>Figure 2. Unbalanced annual site-year coverage and mean reef condition, with the paired 2024-2025 comparison.</w:t>
      </w:r>
    </w:p>
    <w:p>
      <w:pPr>
        <w:spacing w:line="283" w:lineRule="auto" w:after="120"/>
      </w:pPr>
      <w:r>
        <w:rPr>
          <w:b w:val="0"/>
          <w:i w:val="0"/>
          <w:color w:val="18323F"/>
        </w:rPr>
        <w:t>The same 444 sites observed in both 2024 and 2025 averaged 45.60% live coral cover in 2024 and 45.13% in 2025, a change of -0.47 percentage points. This paired comparison on identical monitoring units is preferred to subtracting two changing annual samples.</w:t>
      </w:r>
    </w:p>
    <w:p>
      <w:pPr>
        <w:jc w:val="center"/>
      </w:pPr>
      <w:r>
        <w:drawing>
          <wp:inline xmlns:a="http://schemas.openxmlformats.org/drawingml/2006/main" xmlns:pic="http://schemas.openxmlformats.org/drawingml/2006/picture">
            <wp:extent cx="5760720" cy="2592324"/>
            <wp:docPr id="3" name="Picture 3"/>
            <wp:cNvGraphicFramePr>
              <a:graphicFrameLocks noChangeAspect="1"/>
            </wp:cNvGraphicFramePr>
            <a:graphic>
              <a:graphicData uri="http://schemas.openxmlformats.org/drawingml/2006/picture">
                <pic:pic>
                  <pic:nvPicPr>
                    <pic:cNvPr id="0" name="01_tourism_data_gap.png"/>
                    <pic:cNvPicPr/>
                  </pic:nvPicPr>
                  <pic:blipFill>
                    <a:blip r:embed="rId13"/>
                    <a:stretch>
                      <a:fillRect/>
                    </a:stretch>
                  </pic:blipFill>
                  <pic:spPr>
                    <a:xfrm>
                      <a:off x="0" y="0"/>
                      <a:ext cx="5760720" cy="2592324"/>
                    </a:xfrm>
                    <a:prstGeom prst="rect"/>
                  </pic:spPr>
                </pic:pic>
              </a:graphicData>
            </a:graphic>
          </wp:inline>
        </w:drawing>
      </w:r>
    </w:p>
    <w:p>
      <w:pPr>
        <w:spacing w:after="120"/>
        <w:jc w:val="center"/>
      </w:pPr>
      <w:r>
        <w:rPr>
          <w:i/>
          <w:sz w:val="17"/>
        </w:rPr>
        <w:t>Figure 3. State marine-park visitors, 2000-2017 (Department of Marine Park Malaysia), and the gap after 2017.</w:t>
      </w:r>
    </w:p>
    <w:p>
      <w:pPr>
        <w:spacing w:line="283" w:lineRule="auto" w:after="120"/>
      </w:pPr>
      <w:r>
        <w:rPr>
          <w:b w:val="0"/>
          <w:i w:val="0"/>
          <w:color w:val="18323F"/>
        </w:rPr>
        <w:t>State marine-park visitor totals are published for 2000-2017, and 2024 arrivals are published for only 11 monitoring units. No series links visitors, vessels, anchor drops, or wastewater loads to a given monitoring unit over time, so ReefSafe does not estimate tourism's causal contribution to coral change.</w:t>
      </w:r>
    </w:p>
    <w:p>
      <w:r>
        <w:br w:type="page"/>
      </w:r>
    </w:p>
    <w:p>
      <w:pPr>
        <w:pStyle w:val="Heading1"/>
        <w:keepNext/>
        <w:spacing w:before="180" w:after="80"/>
      </w:pPr>
      <w:r>
        <w:t>3. Predictive method</w:t>
      </w:r>
    </w:p>
    <w:p>
      <w:pPr>
        <w:spacing w:line="283" w:lineRule="auto" w:after="120"/>
      </w:pPr>
      <w:r>
        <w:rPr>
          <w:b w:val="0"/>
          <w:i w:val="0"/>
          <w:color w:val="18323F"/>
        </w:rPr>
        <w:t>For each monitoring unit, the pipeline orders surveys by year. Features at one observation predict the annualised live-coral-cover change at the next observation. Missing values are median-imputed inside each training fold. Evaluation uses expanding years: each target year is tested only with data from earlier target years.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3600"/>
            <w:vAlign w:val="center"/>
            <w:shd w:fill="12304A"/>
          </w:tcPr>
          <w:p>
            <w:pPr>
              <w:spacing w:after="0"/>
            </w:pPr>
            <w:r/>
            <w:r>
              <w:rPr>
                <w:rFonts w:ascii="Arial" w:hAnsi="Arial"/>
                <w:b/>
                <w:color w:val="FFFFFF"/>
                <w:sz w:val="16"/>
              </w:rPr>
              <w:t>Model</w:t>
            </w:r>
          </w:p>
        </w:tc>
        <w:tc>
          <w:tcPr>
            <w:tcW w:type="dxa" w:w="1728"/>
            <w:vAlign w:val="center"/>
            <w:shd w:fill="12304A"/>
          </w:tcPr>
          <w:p>
            <w:pPr>
              <w:spacing w:after="0"/>
            </w:pPr>
            <w:r/>
            <w:r>
              <w:rPr>
                <w:rFonts w:ascii="Arial" w:hAnsi="Arial"/>
                <w:b/>
                <w:color w:val="FFFFFF"/>
                <w:sz w:val="16"/>
              </w:rPr>
              <w:t>MAE</w:t>
            </w:r>
          </w:p>
        </w:tc>
        <w:tc>
          <w:tcPr>
            <w:tcW w:type="dxa" w:w="1728"/>
            <w:vAlign w:val="center"/>
            <w:shd w:fill="12304A"/>
          </w:tcPr>
          <w:p>
            <w:pPr>
              <w:spacing w:after="0"/>
            </w:pPr>
            <w:r/>
            <w:r>
              <w:rPr>
                <w:rFonts w:ascii="Arial" w:hAnsi="Arial"/>
                <w:b/>
                <w:color w:val="FFFFFF"/>
                <w:sz w:val="16"/>
              </w:rPr>
              <w:t>RMSE</w:t>
            </w:r>
          </w:p>
        </w:tc>
        <w:tc>
          <w:tcPr>
            <w:tcW w:type="dxa" w:w="1728"/>
            <w:vAlign w:val="center"/>
            <w:shd w:fill="12304A"/>
          </w:tcPr>
          <w:p>
            <w:pPr>
              <w:spacing w:after="0"/>
            </w:pPr>
            <w:r/>
            <w:r>
              <w:rPr>
                <w:rFonts w:ascii="Arial" w:hAnsi="Arial"/>
                <w:b/>
                <w:color w:val="FFFFFF"/>
                <w:sz w:val="16"/>
              </w:rPr>
              <w:t>R2</w:t>
            </w:r>
          </w:p>
        </w:tc>
      </w:tr>
      <w:tr>
        <w:tc>
          <w:tcPr>
            <w:tcW w:type="dxa" w:w="3600"/>
            <w:vAlign w:val="center"/>
            <w:shd w:fill="EAF3F6"/>
          </w:tcPr>
          <w:p>
            <w:pPr>
              <w:spacing w:after="0"/>
            </w:pPr>
            <w:r/>
            <w:r>
              <w:rPr>
                <w:rFonts w:ascii="Arial" w:hAnsi="Arial"/>
                <w:b w:val="0"/>
                <w:color w:val="18323F"/>
                <w:sz w:val="17"/>
              </w:rPr>
              <w:t>Baseline mean</w:t>
            </w:r>
          </w:p>
        </w:tc>
        <w:tc>
          <w:tcPr>
            <w:tcW w:type="dxa" w:w="1728"/>
            <w:vAlign w:val="center"/>
            <w:shd w:fill="EAF3F6"/>
          </w:tcPr>
          <w:p>
            <w:pPr>
              <w:spacing w:after="0"/>
            </w:pPr>
            <w:r/>
            <w:r>
              <w:rPr>
                <w:rFonts w:ascii="Arial" w:hAnsi="Arial"/>
                <w:b w:val="0"/>
                <w:color w:val="18323F"/>
                <w:sz w:val="17"/>
              </w:rPr>
              <w:t>2.307</w:t>
            </w:r>
          </w:p>
        </w:tc>
        <w:tc>
          <w:tcPr>
            <w:tcW w:type="dxa" w:w="1728"/>
            <w:vAlign w:val="center"/>
            <w:shd w:fill="EAF3F6"/>
          </w:tcPr>
          <w:p>
            <w:pPr>
              <w:spacing w:after="0"/>
            </w:pPr>
            <w:r/>
            <w:r>
              <w:rPr>
                <w:rFonts w:ascii="Arial" w:hAnsi="Arial"/>
                <w:b w:val="0"/>
                <w:color w:val="18323F"/>
                <w:sz w:val="17"/>
              </w:rPr>
              <w:t>3.134</w:t>
            </w:r>
          </w:p>
        </w:tc>
        <w:tc>
          <w:tcPr>
            <w:tcW w:type="dxa" w:w="1728"/>
            <w:vAlign w:val="center"/>
            <w:shd w:fill="EAF3F6"/>
          </w:tcPr>
          <w:p>
            <w:pPr>
              <w:spacing w:after="0"/>
            </w:pPr>
            <w:r/>
            <w:r>
              <w:rPr>
                <w:rFonts w:ascii="Arial" w:hAnsi="Arial"/>
                <w:b w:val="0"/>
                <w:color w:val="18323F"/>
                <w:sz w:val="17"/>
              </w:rPr>
              <w:t>-0.001</w:t>
            </w:r>
          </w:p>
        </w:tc>
      </w:tr>
      <w:tr>
        <w:tc>
          <w:tcPr>
            <w:tcW w:type="dxa" w:w="3600"/>
            <w:vAlign w:val="center"/>
          </w:tcPr>
          <w:p>
            <w:pPr>
              <w:spacing w:after="0"/>
            </w:pPr>
            <w:r/>
            <w:r>
              <w:rPr>
                <w:rFonts w:ascii="Arial" w:hAnsi="Arial"/>
                <w:b w:val="0"/>
                <w:color w:val="18323F"/>
                <w:sz w:val="17"/>
              </w:rPr>
              <w:t>Decision tree</w:t>
            </w:r>
          </w:p>
        </w:tc>
        <w:tc>
          <w:tcPr>
            <w:tcW w:type="dxa" w:w="1728"/>
            <w:vAlign w:val="center"/>
          </w:tcPr>
          <w:p>
            <w:pPr>
              <w:spacing w:after="0"/>
            </w:pPr>
            <w:r/>
            <w:r>
              <w:rPr>
                <w:rFonts w:ascii="Arial" w:hAnsi="Arial"/>
                <w:b w:val="0"/>
                <w:color w:val="18323F"/>
                <w:sz w:val="17"/>
              </w:rPr>
              <w:t>1.767</w:t>
            </w:r>
          </w:p>
        </w:tc>
        <w:tc>
          <w:tcPr>
            <w:tcW w:type="dxa" w:w="1728"/>
            <w:vAlign w:val="center"/>
          </w:tcPr>
          <w:p>
            <w:pPr>
              <w:spacing w:after="0"/>
            </w:pPr>
            <w:r/>
            <w:r>
              <w:rPr>
                <w:rFonts w:ascii="Arial" w:hAnsi="Arial"/>
                <w:b w:val="0"/>
                <w:color w:val="18323F"/>
                <w:sz w:val="17"/>
              </w:rPr>
              <w:t>2.339</w:t>
            </w:r>
          </w:p>
        </w:tc>
        <w:tc>
          <w:tcPr>
            <w:tcW w:type="dxa" w:w="1728"/>
            <w:vAlign w:val="center"/>
          </w:tcPr>
          <w:p>
            <w:pPr>
              <w:spacing w:after="0"/>
            </w:pPr>
            <w:r/>
            <w:r>
              <w:rPr>
                <w:rFonts w:ascii="Arial" w:hAnsi="Arial"/>
                <w:b w:val="0"/>
                <w:color w:val="18323F"/>
                <w:sz w:val="17"/>
              </w:rPr>
              <w:t>0.442</w:t>
            </w:r>
          </w:p>
        </w:tc>
      </w:tr>
      <w:tr>
        <w:tc>
          <w:tcPr>
            <w:tcW w:type="dxa" w:w="3600"/>
            <w:vAlign w:val="center"/>
            <w:shd w:fill="EAF3F6"/>
          </w:tcPr>
          <w:p>
            <w:pPr>
              <w:spacing w:after="0"/>
            </w:pPr>
            <w:r/>
            <w:r>
              <w:rPr>
                <w:rFonts w:ascii="Arial" w:hAnsi="Arial"/>
                <w:b w:val="0"/>
                <w:color w:val="18323F"/>
                <w:sz w:val="17"/>
              </w:rPr>
              <w:t>Random forest</w:t>
            </w:r>
          </w:p>
        </w:tc>
        <w:tc>
          <w:tcPr>
            <w:tcW w:type="dxa" w:w="1728"/>
            <w:vAlign w:val="center"/>
            <w:shd w:fill="EAF3F6"/>
          </w:tcPr>
          <w:p>
            <w:pPr>
              <w:spacing w:after="0"/>
            </w:pPr>
            <w:r/>
            <w:r>
              <w:rPr>
                <w:rFonts w:ascii="Arial" w:hAnsi="Arial"/>
                <w:b w:val="0"/>
                <w:color w:val="18323F"/>
                <w:sz w:val="17"/>
              </w:rPr>
              <w:t>0.693</w:t>
            </w:r>
          </w:p>
        </w:tc>
        <w:tc>
          <w:tcPr>
            <w:tcW w:type="dxa" w:w="1728"/>
            <w:vAlign w:val="center"/>
            <w:shd w:fill="EAF3F6"/>
          </w:tcPr>
          <w:p>
            <w:pPr>
              <w:spacing w:after="0"/>
            </w:pPr>
            <w:r/>
            <w:r>
              <w:rPr>
                <w:rFonts w:ascii="Arial" w:hAnsi="Arial"/>
                <w:b w:val="0"/>
                <w:color w:val="18323F"/>
                <w:sz w:val="17"/>
              </w:rPr>
              <w:t>0.904</w:t>
            </w:r>
          </w:p>
        </w:tc>
        <w:tc>
          <w:tcPr>
            <w:tcW w:type="dxa" w:w="1728"/>
            <w:vAlign w:val="center"/>
            <w:shd w:fill="EAF3F6"/>
          </w:tcPr>
          <w:p>
            <w:pPr>
              <w:spacing w:after="0"/>
            </w:pPr>
            <w:r/>
            <w:r>
              <w:rPr>
                <w:rFonts w:ascii="Arial" w:hAnsi="Arial"/>
                <w:b w:val="0"/>
                <w:color w:val="18323F"/>
                <w:sz w:val="17"/>
              </w:rPr>
              <w:t>0.917</w:t>
            </w:r>
          </w:p>
        </w:tc>
      </w:tr>
      <w:tr>
        <w:tc>
          <w:tcPr>
            <w:tcW w:type="dxa" w:w="3600"/>
            <w:vAlign w:val="center"/>
          </w:tcPr>
          <w:p>
            <w:pPr>
              <w:spacing w:after="0"/>
            </w:pPr>
            <w:r/>
            <w:r>
              <w:rPr>
                <w:rFonts w:ascii="Arial" w:hAnsi="Arial"/>
                <w:b w:val="0"/>
                <w:color w:val="18323F"/>
                <w:sz w:val="17"/>
              </w:rPr>
              <w:t>Gradient boosting</w:t>
            </w:r>
          </w:p>
        </w:tc>
        <w:tc>
          <w:tcPr>
            <w:tcW w:type="dxa" w:w="1728"/>
            <w:vAlign w:val="center"/>
          </w:tcPr>
          <w:p>
            <w:pPr>
              <w:spacing w:after="0"/>
            </w:pPr>
            <w:r/>
            <w:r>
              <w:rPr>
                <w:rFonts w:ascii="Arial" w:hAnsi="Arial"/>
                <w:b w:val="0"/>
                <w:color w:val="18323F"/>
                <w:sz w:val="17"/>
              </w:rPr>
              <w:t>0.380</w:t>
            </w:r>
          </w:p>
        </w:tc>
        <w:tc>
          <w:tcPr>
            <w:tcW w:type="dxa" w:w="1728"/>
            <w:vAlign w:val="center"/>
          </w:tcPr>
          <w:p>
            <w:pPr>
              <w:spacing w:after="0"/>
            </w:pPr>
            <w:r/>
            <w:r>
              <w:rPr>
                <w:rFonts w:ascii="Arial" w:hAnsi="Arial"/>
                <w:b w:val="0"/>
                <w:color w:val="18323F"/>
                <w:sz w:val="17"/>
              </w:rPr>
              <w:t>0.491</w:t>
            </w:r>
          </w:p>
        </w:tc>
        <w:tc>
          <w:tcPr>
            <w:tcW w:type="dxa" w:w="1728"/>
            <w:vAlign w:val="center"/>
          </w:tcPr>
          <w:p>
            <w:pPr>
              <w:spacing w:after="0"/>
            </w:pPr>
            <w:r/>
            <w:r>
              <w:rPr>
                <w:rFonts w:ascii="Arial" w:hAnsi="Arial"/>
                <w:b w:val="0"/>
                <w:color w:val="18323F"/>
                <w:sz w:val="17"/>
              </w:rPr>
              <w:t>0.975</w:t>
            </w:r>
          </w:p>
        </w:tc>
      </w:tr>
    </w:tbl>
    <w:p>
      <w:pPr>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09_model_performance.png"/>
                    <pic:cNvPicPr/>
                  </pic:nvPicPr>
                  <pic:blipFill>
                    <a:blip r:embed="rId14"/>
                    <a:stretch>
                      <a:fillRect/>
                    </a:stretch>
                  </pic:blipFill>
                  <pic:spPr>
                    <a:xfrm>
                      <a:off x="0" y="0"/>
                      <a:ext cx="5760720" cy="3240405"/>
                    </a:xfrm>
                    <a:prstGeom prst="rect"/>
                  </pic:spPr>
                </pic:pic>
              </a:graphicData>
            </a:graphic>
          </wp:inline>
        </w:drawing>
      </w:r>
    </w:p>
    <w:p>
      <w:pPr>
        <w:spacing w:after="120"/>
        <w:jc w:val="center"/>
      </w:pPr>
      <w:r>
        <w:rPr>
          <w:i/>
          <w:sz w:val="17"/>
        </w:rPr>
        <w:t>Figure 4. Past-only model comparison. Lower MAE is better.</w:t>
      </w:r>
    </w:p>
    <w:p>
      <w:pPr>
        <w:spacing w:line="283" w:lineRule="auto" w:after="120"/>
      </w:pPr>
      <w:r>
        <w:rPr>
          <w:b w:val="0"/>
          <w:i w:val="0"/>
          <w:color w:val="18323F"/>
        </w:rPr>
        <w:t>XGBoost was not required to establish the result. Gradient boosting already provides the lowest measured forward-test MAE among the tested candidates; a more complex library would be justified only if it produced a material, repeatable improvement under the same validation.</w:t>
      </w:r>
    </w:p>
    <w:p>
      <w:r>
        <w:br w:type="page"/>
      </w:r>
    </w:p>
    <w:p>
      <w:pPr>
        <w:pStyle w:val="Heading1"/>
        <w:keepNext/>
        <w:spacing w:before="180" w:after="80"/>
      </w:pPr>
      <w:r>
        <w:t>4. Validation and uncertainty</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584"/>
            <w:vAlign w:val="center"/>
            <w:shd w:fill="12304A"/>
          </w:tcPr>
          <w:p>
            <w:pPr>
              <w:spacing w:after="0"/>
            </w:pPr>
            <w:r/>
            <w:r>
              <w:rPr>
                <w:rFonts w:ascii="Arial" w:hAnsi="Arial"/>
                <w:b/>
                <w:color w:val="FFFFFF"/>
                <w:sz w:val="16"/>
              </w:rPr>
              <w:t>Target year</w:t>
            </w:r>
          </w:p>
        </w:tc>
        <w:tc>
          <w:tcPr>
            <w:tcW w:type="dxa" w:w="864"/>
            <w:vAlign w:val="center"/>
            <w:shd w:fill="12304A"/>
          </w:tcPr>
          <w:p>
            <w:pPr>
              <w:spacing w:after="0"/>
            </w:pPr>
            <w:r/>
            <w:r>
              <w:rPr>
                <w:rFonts w:ascii="Arial" w:hAnsi="Arial"/>
                <w:b/>
                <w:color w:val="FFFFFF"/>
                <w:sz w:val="16"/>
              </w:rPr>
              <w:t>n</w:t>
            </w:r>
          </w:p>
        </w:tc>
        <w:tc>
          <w:tcPr>
            <w:tcW w:type="dxa" w:w="1440"/>
            <w:vAlign w:val="center"/>
            <w:shd w:fill="12304A"/>
          </w:tcPr>
          <w:p>
            <w:pPr>
              <w:spacing w:after="0"/>
            </w:pPr>
            <w:r/>
            <w:r>
              <w:rPr>
                <w:rFonts w:ascii="Arial" w:hAnsi="Arial"/>
                <w:b/>
                <w:color w:val="FFFFFF"/>
                <w:sz w:val="16"/>
              </w:rPr>
              <w:t>MAE</w:t>
            </w:r>
          </w:p>
        </w:tc>
        <w:tc>
          <w:tcPr>
            <w:tcW w:type="dxa" w:w="1440"/>
            <w:vAlign w:val="center"/>
            <w:shd w:fill="12304A"/>
          </w:tcPr>
          <w:p>
            <w:pPr>
              <w:spacing w:after="0"/>
            </w:pPr>
            <w:r/>
            <w:r>
              <w:rPr>
                <w:rFonts w:ascii="Arial" w:hAnsi="Arial"/>
                <w:b/>
                <w:color w:val="FFFFFF"/>
                <w:sz w:val="16"/>
              </w:rPr>
              <w:t>RMSE</w:t>
            </w:r>
          </w:p>
        </w:tc>
        <w:tc>
          <w:tcPr>
            <w:tcW w:type="dxa" w:w="1296"/>
            <w:vAlign w:val="center"/>
            <w:shd w:fill="12304A"/>
          </w:tcPr>
          <w:p>
            <w:pPr>
              <w:spacing w:after="0"/>
            </w:pPr>
            <w:r/>
            <w:r>
              <w:rPr>
                <w:rFonts w:ascii="Arial" w:hAnsi="Arial"/>
                <w:b/>
                <w:color w:val="FFFFFF"/>
                <w:sz w:val="16"/>
              </w:rPr>
              <w:t>R2</w:t>
            </w:r>
          </w:p>
        </w:tc>
        <w:tc>
          <w:tcPr>
            <w:tcW w:type="dxa" w:w="1440"/>
            <w:vAlign w:val="center"/>
            <w:shd w:fill="12304A"/>
          </w:tcPr>
          <w:p>
            <w:pPr>
              <w:spacing w:after="0"/>
            </w:pPr>
            <w:r/>
            <w:r>
              <w:rPr>
                <w:rFonts w:ascii="Arial" w:hAnsi="Arial"/>
                <w:b/>
                <w:color w:val="FFFFFF"/>
                <w:sz w:val="16"/>
              </w:rPr>
              <w:t>Bias</w:t>
            </w:r>
          </w:p>
        </w:tc>
      </w:tr>
      <w:tr>
        <w:tc>
          <w:tcPr>
            <w:tcW w:type="dxa" w:w="1584"/>
            <w:vAlign w:val="center"/>
            <w:shd w:fill="EAF3F6"/>
          </w:tcPr>
          <w:p>
            <w:pPr>
              <w:spacing w:after="0"/>
            </w:pPr>
            <w:r/>
            <w:r>
              <w:rPr>
                <w:rFonts w:ascii="Arial" w:hAnsi="Arial"/>
                <w:b w:val="0"/>
                <w:color w:val="18323F"/>
                <w:sz w:val="17"/>
              </w:rPr>
              <w:t>2021</w:t>
            </w:r>
          </w:p>
        </w:tc>
        <w:tc>
          <w:tcPr>
            <w:tcW w:type="dxa" w:w="864"/>
            <w:vAlign w:val="center"/>
            <w:shd w:fill="EAF3F6"/>
          </w:tcPr>
          <w:p>
            <w:pPr>
              <w:spacing w:after="0"/>
            </w:pPr>
            <w:r/>
            <w:r>
              <w:rPr>
                <w:rFonts w:ascii="Arial" w:hAnsi="Arial"/>
                <w:b w:val="0"/>
                <w:color w:val="18323F"/>
                <w:sz w:val="17"/>
              </w:rPr>
              <w:t>453</w:t>
            </w:r>
          </w:p>
        </w:tc>
        <w:tc>
          <w:tcPr>
            <w:tcW w:type="dxa" w:w="1440"/>
            <w:vAlign w:val="center"/>
            <w:shd w:fill="EAF3F6"/>
          </w:tcPr>
          <w:p>
            <w:pPr>
              <w:spacing w:after="0"/>
            </w:pPr>
            <w:r/>
            <w:r>
              <w:rPr>
                <w:rFonts w:ascii="Arial" w:hAnsi="Arial"/>
                <w:b w:val="0"/>
                <w:color w:val="18323F"/>
                <w:sz w:val="17"/>
              </w:rPr>
              <w:t>0.38</w:t>
            </w:r>
          </w:p>
        </w:tc>
        <w:tc>
          <w:tcPr>
            <w:tcW w:type="dxa" w:w="1440"/>
            <w:vAlign w:val="center"/>
            <w:shd w:fill="EAF3F6"/>
          </w:tcPr>
          <w:p>
            <w:pPr>
              <w:spacing w:after="0"/>
            </w:pPr>
            <w:r/>
            <w:r>
              <w:rPr>
                <w:rFonts w:ascii="Arial" w:hAnsi="Arial"/>
                <w:b w:val="0"/>
                <w:color w:val="18323F"/>
                <w:sz w:val="17"/>
              </w:rPr>
              <w:t>0.50</w:t>
            </w:r>
          </w:p>
        </w:tc>
        <w:tc>
          <w:tcPr>
            <w:tcW w:type="dxa" w:w="1296"/>
            <w:vAlign w:val="center"/>
            <w:shd w:fill="EAF3F6"/>
          </w:tcPr>
          <w:p>
            <w:pPr>
              <w:spacing w:after="0"/>
            </w:pPr>
            <w:r/>
            <w:r>
              <w:rPr>
                <w:rFonts w:ascii="Arial" w:hAnsi="Arial"/>
                <w:b w:val="0"/>
                <w:color w:val="18323F"/>
                <w:sz w:val="17"/>
              </w:rPr>
              <w:t>0.98</w:t>
            </w:r>
          </w:p>
        </w:tc>
        <w:tc>
          <w:tcPr>
            <w:tcW w:type="dxa" w:w="1440"/>
            <w:vAlign w:val="center"/>
            <w:shd w:fill="EAF3F6"/>
          </w:tcPr>
          <w:p>
            <w:pPr>
              <w:spacing w:after="0"/>
            </w:pPr>
            <w:r/>
            <w:r>
              <w:rPr>
                <w:rFonts w:ascii="Arial" w:hAnsi="Arial"/>
                <w:b w:val="0"/>
                <w:color w:val="18323F"/>
                <w:sz w:val="17"/>
              </w:rPr>
              <w:t>+0.07</w:t>
            </w:r>
          </w:p>
        </w:tc>
      </w:tr>
      <w:tr>
        <w:tc>
          <w:tcPr>
            <w:tcW w:type="dxa" w:w="1584"/>
            <w:vAlign w:val="center"/>
          </w:tcPr>
          <w:p>
            <w:pPr>
              <w:spacing w:after="0"/>
            </w:pPr>
            <w:r/>
            <w:r>
              <w:rPr>
                <w:rFonts w:ascii="Arial" w:hAnsi="Arial"/>
                <w:b w:val="0"/>
                <w:color w:val="18323F"/>
                <w:sz w:val="17"/>
              </w:rPr>
              <w:t>2022</w:t>
            </w:r>
          </w:p>
        </w:tc>
        <w:tc>
          <w:tcPr>
            <w:tcW w:type="dxa" w:w="864"/>
            <w:vAlign w:val="center"/>
          </w:tcPr>
          <w:p>
            <w:pPr>
              <w:spacing w:after="0"/>
            </w:pPr>
            <w:r/>
            <w:r>
              <w:rPr>
                <w:rFonts w:ascii="Arial" w:hAnsi="Arial"/>
                <w:b w:val="0"/>
                <w:color w:val="18323F"/>
                <w:sz w:val="17"/>
              </w:rPr>
              <w:t>490</w:t>
            </w:r>
          </w:p>
        </w:tc>
        <w:tc>
          <w:tcPr>
            <w:tcW w:type="dxa" w:w="1440"/>
            <w:vAlign w:val="center"/>
          </w:tcPr>
          <w:p>
            <w:pPr>
              <w:spacing w:after="0"/>
            </w:pPr>
            <w:r/>
            <w:r>
              <w:rPr>
                <w:rFonts w:ascii="Arial" w:hAnsi="Arial"/>
                <w:b w:val="0"/>
                <w:color w:val="18323F"/>
                <w:sz w:val="17"/>
              </w:rPr>
              <w:t>0.42</w:t>
            </w:r>
          </w:p>
        </w:tc>
        <w:tc>
          <w:tcPr>
            <w:tcW w:type="dxa" w:w="1440"/>
            <w:vAlign w:val="center"/>
          </w:tcPr>
          <w:p>
            <w:pPr>
              <w:spacing w:after="0"/>
            </w:pPr>
            <w:r/>
            <w:r>
              <w:rPr>
                <w:rFonts w:ascii="Arial" w:hAnsi="Arial"/>
                <w:b w:val="0"/>
                <w:color w:val="18323F"/>
                <w:sz w:val="17"/>
              </w:rPr>
              <w:t>0.53</w:t>
            </w:r>
          </w:p>
        </w:tc>
        <w:tc>
          <w:tcPr>
            <w:tcW w:type="dxa" w:w="1296"/>
            <w:vAlign w:val="center"/>
          </w:tcPr>
          <w:p>
            <w:pPr>
              <w:spacing w:after="0"/>
            </w:pPr>
            <w:r/>
            <w:r>
              <w:rPr>
                <w:rFonts w:ascii="Arial" w:hAnsi="Arial"/>
                <w:b w:val="0"/>
                <w:color w:val="18323F"/>
                <w:sz w:val="17"/>
              </w:rPr>
              <w:t>0.96</w:t>
            </w:r>
          </w:p>
        </w:tc>
        <w:tc>
          <w:tcPr>
            <w:tcW w:type="dxa" w:w="1440"/>
            <w:vAlign w:val="center"/>
          </w:tcPr>
          <w:p>
            <w:pPr>
              <w:spacing w:after="0"/>
            </w:pPr>
            <w:r/>
            <w:r>
              <w:rPr>
                <w:rFonts w:ascii="Arial" w:hAnsi="Arial"/>
                <w:b w:val="0"/>
                <w:color w:val="18323F"/>
                <w:sz w:val="17"/>
              </w:rPr>
              <w:t>-0.02</w:t>
            </w:r>
          </w:p>
        </w:tc>
      </w:tr>
      <w:tr>
        <w:tc>
          <w:tcPr>
            <w:tcW w:type="dxa" w:w="1584"/>
            <w:vAlign w:val="center"/>
            <w:shd w:fill="EAF3F6"/>
          </w:tcPr>
          <w:p>
            <w:pPr>
              <w:spacing w:after="0"/>
            </w:pPr>
            <w:r/>
            <w:r>
              <w:rPr>
                <w:rFonts w:ascii="Arial" w:hAnsi="Arial"/>
                <w:b w:val="0"/>
                <w:color w:val="18323F"/>
                <w:sz w:val="17"/>
              </w:rPr>
              <w:t>2023</w:t>
            </w:r>
          </w:p>
        </w:tc>
        <w:tc>
          <w:tcPr>
            <w:tcW w:type="dxa" w:w="864"/>
            <w:vAlign w:val="center"/>
            <w:shd w:fill="EAF3F6"/>
          </w:tcPr>
          <w:p>
            <w:pPr>
              <w:spacing w:after="0"/>
            </w:pPr>
            <w:r/>
            <w:r>
              <w:rPr>
                <w:rFonts w:ascii="Arial" w:hAnsi="Arial"/>
                <w:b w:val="0"/>
                <w:color w:val="18323F"/>
                <w:sz w:val="17"/>
              </w:rPr>
              <w:t>463</w:t>
            </w:r>
          </w:p>
        </w:tc>
        <w:tc>
          <w:tcPr>
            <w:tcW w:type="dxa" w:w="1440"/>
            <w:vAlign w:val="center"/>
            <w:shd w:fill="EAF3F6"/>
          </w:tcPr>
          <w:p>
            <w:pPr>
              <w:spacing w:after="0"/>
            </w:pPr>
            <w:r/>
            <w:r>
              <w:rPr>
                <w:rFonts w:ascii="Arial" w:hAnsi="Arial"/>
                <w:b w:val="0"/>
                <w:color w:val="18323F"/>
                <w:sz w:val="17"/>
              </w:rPr>
              <w:t>0.40</w:t>
            </w:r>
          </w:p>
        </w:tc>
        <w:tc>
          <w:tcPr>
            <w:tcW w:type="dxa" w:w="1440"/>
            <w:vAlign w:val="center"/>
            <w:shd w:fill="EAF3F6"/>
          </w:tcPr>
          <w:p>
            <w:pPr>
              <w:spacing w:after="0"/>
            </w:pPr>
            <w:r/>
            <w:r>
              <w:rPr>
                <w:rFonts w:ascii="Arial" w:hAnsi="Arial"/>
                <w:b w:val="0"/>
                <w:color w:val="18323F"/>
                <w:sz w:val="17"/>
              </w:rPr>
              <w:t>0.52</w:t>
            </w:r>
          </w:p>
        </w:tc>
        <w:tc>
          <w:tcPr>
            <w:tcW w:type="dxa" w:w="1296"/>
            <w:vAlign w:val="center"/>
            <w:shd w:fill="EAF3F6"/>
          </w:tcPr>
          <w:p>
            <w:pPr>
              <w:spacing w:after="0"/>
            </w:pPr>
            <w:r/>
            <w:r>
              <w:rPr>
                <w:rFonts w:ascii="Arial" w:hAnsi="Arial"/>
                <w:b w:val="0"/>
                <w:color w:val="18323F"/>
                <w:sz w:val="17"/>
              </w:rPr>
              <w:t>0.97</w:t>
            </w:r>
          </w:p>
        </w:tc>
        <w:tc>
          <w:tcPr>
            <w:tcW w:type="dxa" w:w="1440"/>
            <w:vAlign w:val="center"/>
            <w:shd w:fill="EAF3F6"/>
          </w:tcPr>
          <w:p>
            <w:pPr>
              <w:spacing w:after="0"/>
            </w:pPr>
            <w:r/>
            <w:r>
              <w:rPr>
                <w:rFonts w:ascii="Arial" w:hAnsi="Arial"/>
                <w:b w:val="0"/>
                <w:color w:val="18323F"/>
                <w:sz w:val="17"/>
              </w:rPr>
              <w:t>+0.03</w:t>
            </w:r>
          </w:p>
        </w:tc>
      </w:tr>
      <w:tr>
        <w:tc>
          <w:tcPr>
            <w:tcW w:type="dxa" w:w="1584"/>
            <w:vAlign w:val="center"/>
          </w:tcPr>
          <w:p>
            <w:pPr>
              <w:spacing w:after="0"/>
            </w:pPr>
            <w:r/>
            <w:r>
              <w:rPr>
                <w:rFonts w:ascii="Arial" w:hAnsi="Arial"/>
                <w:b w:val="0"/>
                <w:color w:val="18323F"/>
                <w:sz w:val="17"/>
              </w:rPr>
              <w:t>2024</w:t>
            </w:r>
          </w:p>
        </w:tc>
        <w:tc>
          <w:tcPr>
            <w:tcW w:type="dxa" w:w="864"/>
            <w:vAlign w:val="center"/>
          </w:tcPr>
          <w:p>
            <w:pPr>
              <w:spacing w:after="0"/>
            </w:pPr>
            <w:r/>
            <w:r>
              <w:rPr>
                <w:rFonts w:ascii="Arial" w:hAnsi="Arial"/>
                <w:b w:val="0"/>
                <w:color w:val="18323F"/>
                <w:sz w:val="17"/>
              </w:rPr>
              <w:t>512</w:t>
            </w:r>
          </w:p>
        </w:tc>
        <w:tc>
          <w:tcPr>
            <w:tcW w:type="dxa" w:w="1440"/>
            <w:vAlign w:val="center"/>
          </w:tcPr>
          <w:p>
            <w:pPr>
              <w:spacing w:after="0"/>
            </w:pPr>
            <w:r/>
            <w:r>
              <w:rPr>
                <w:rFonts w:ascii="Arial" w:hAnsi="Arial"/>
                <w:b w:val="0"/>
                <w:color w:val="18323F"/>
                <w:sz w:val="17"/>
              </w:rPr>
              <w:t>0.37</w:t>
            </w:r>
          </w:p>
        </w:tc>
        <w:tc>
          <w:tcPr>
            <w:tcW w:type="dxa" w:w="1440"/>
            <w:vAlign w:val="center"/>
          </w:tcPr>
          <w:p>
            <w:pPr>
              <w:spacing w:after="0"/>
            </w:pPr>
            <w:r/>
            <w:r>
              <w:rPr>
                <w:rFonts w:ascii="Arial" w:hAnsi="Arial"/>
                <w:b w:val="0"/>
                <w:color w:val="18323F"/>
                <w:sz w:val="17"/>
              </w:rPr>
              <w:t>0.47</w:t>
            </w:r>
          </w:p>
        </w:tc>
        <w:tc>
          <w:tcPr>
            <w:tcW w:type="dxa" w:w="1296"/>
            <w:vAlign w:val="center"/>
          </w:tcPr>
          <w:p>
            <w:pPr>
              <w:spacing w:after="0"/>
            </w:pPr>
            <w:r/>
            <w:r>
              <w:rPr>
                <w:rFonts w:ascii="Arial" w:hAnsi="Arial"/>
                <w:b w:val="0"/>
                <w:color w:val="18323F"/>
                <w:sz w:val="17"/>
              </w:rPr>
              <w:t>0.98</w:t>
            </w:r>
          </w:p>
        </w:tc>
        <w:tc>
          <w:tcPr>
            <w:tcW w:type="dxa" w:w="1440"/>
            <w:vAlign w:val="center"/>
          </w:tcPr>
          <w:p>
            <w:pPr>
              <w:spacing w:after="0"/>
            </w:pPr>
            <w:r/>
            <w:r>
              <w:rPr>
                <w:rFonts w:ascii="Arial" w:hAnsi="Arial"/>
                <w:b w:val="0"/>
                <w:color w:val="18323F"/>
                <w:sz w:val="17"/>
              </w:rPr>
              <w:t>-0.03</w:t>
            </w:r>
          </w:p>
        </w:tc>
      </w:tr>
      <w:tr>
        <w:tc>
          <w:tcPr>
            <w:tcW w:type="dxa" w:w="1584"/>
            <w:vAlign w:val="center"/>
            <w:shd w:fill="EAF3F6"/>
          </w:tcPr>
          <w:p>
            <w:pPr>
              <w:spacing w:after="0"/>
            </w:pPr>
            <w:r/>
            <w:r>
              <w:rPr>
                <w:rFonts w:ascii="Arial" w:hAnsi="Arial"/>
                <w:b w:val="0"/>
                <w:color w:val="18323F"/>
                <w:sz w:val="17"/>
              </w:rPr>
              <w:t>2025</w:t>
            </w:r>
          </w:p>
        </w:tc>
        <w:tc>
          <w:tcPr>
            <w:tcW w:type="dxa" w:w="864"/>
            <w:vAlign w:val="center"/>
            <w:shd w:fill="EAF3F6"/>
          </w:tcPr>
          <w:p>
            <w:pPr>
              <w:spacing w:after="0"/>
            </w:pPr>
            <w:r/>
            <w:r>
              <w:rPr>
                <w:rFonts w:ascii="Arial" w:hAnsi="Arial"/>
                <w:b w:val="0"/>
                <w:color w:val="18323F"/>
                <w:sz w:val="17"/>
              </w:rPr>
              <w:t>487</w:t>
            </w:r>
          </w:p>
        </w:tc>
        <w:tc>
          <w:tcPr>
            <w:tcW w:type="dxa" w:w="1440"/>
            <w:vAlign w:val="center"/>
            <w:shd w:fill="EAF3F6"/>
          </w:tcPr>
          <w:p>
            <w:pPr>
              <w:spacing w:after="0"/>
            </w:pPr>
            <w:r/>
            <w:r>
              <w:rPr>
                <w:rFonts w:ascii="Arial" w:hAnsi="Arial"/>
                <w:b w:val="0"/>
                <w:color w:val="18323F"/>
                <w:sz w:val="17"/>
              </w:rPr>
              <w:t>0.33</w:t>
            </w:r>
          </w:p>
        </w:tc>
        <w:tc>
          <w:tcPr>
            <w:tcW w:type="dxa" w:w="1440"/>
            <w:vAlign w:val="center"/>
            <w:shd w:fill="EAF3F6"/>
          </w:tcPr>
          <w:p>
            <w:pPr>
              <w:spacing w:after="0"/>
            </w:pPr>
            <w:r/>
            <w:r>
              <w:rPr>
                <w:rFonts w:ascii="Arial" w:hAnsi="Arial"/>
                <w:b w:val="0"/>
                <w:color w:val="18323F"/>
                <w:sz w:val="17"/>
              </w:rPr>
              <w:t>0.43</w:t>
            </w:r>
          </w:p>
        </w:tc>
        <w:tc>
          <w:tcPr>
            <w:tcW w:type="dxa" w:w="1296"/>
            <w:vAlign w:val="center"/>
            <w:shd w:fill="EAF3F6"/>
          </w:tcPr>
          <w:p>
            <w:pPr>
              <w:spacing w:after="0"/>
            </w:pPr>
            <w:r/>
            <w:r>
              <w:rPr>
                <w:rFonts w:ascii="Arial" w:hAnsi="Arial"/>
                <w:b w:val="0"/>
                <w:color w:val="18323F"/>
                <w:sz w:val="17"/>
              </w:rPr>
              <w:t>0.99</w:t>
            </w:r>
          </w:p>
        </w:tc>
        <w:tc>
          <w:tcPr>
            <w:tcW w:type="dxa" w:w="1440"/>
            <w:vAlign w:val="center"/>
            <w:shd w:fill="EAF3F6"/>
          </w:tcPr>
          <w:p>
            <w:pPr>
              <w:spacing w:after="0"/>
            </w:pPr>
            <w:r/>
            <w:r>
              <w:rPr>
                <w:rFonts w:ascii="Arial" w:hAnsi="Arial"/>
                <w:b w:val="0"/>
                <w:color w:val="18323F"/>
                <w:sz w:val="17"/>
              </w:rPr>
              <w:t>+0.00</w:t>
            </w:r>
          </w:p>
        </w:tc>
      </w:tr>
    </w:tbl>
    <w:p>
      <w:pPr>
        <w:jc w:val="center"/>
      </w:pPr>
      <w:r>
        <w:drawing>
          <wp:inline xmlns:a="http://schemas.openxmlformats.org/drawingml/2006/main" xmlns:pic="http://schemas.openxmlformats.org/drawingml/2006/picture">
            <wp:extent cx="5760720" cy="4608576"/>
            <wp:docPr id="5" name="Picture 5"/>
            <wp:cNvGraphicFramePr>
              <a:graphicFrameLocks noChangeAspect="1"/>
            </wp:cNvGraphicFramePr>
            <a:graphic>
              <a:graphicData uri="http://schemas.openxmlformats.org/drawingml/2006/picture">
                <pic:pic>
                  <pic:nvPicPr>
                    <pic:cNvPr id="0" name="07_actual_vs_predicted_oof.png"/>
                    <pic:cNvPicPr/>
                  </pic:nvPicPr>
                  <pic:blipFill>
                    <a:blip r:embed="rId15"/>
                    <a:stretch>
                      <a:fillRect/>
                    </a:stretch>
                  </pic:blipFill>
                  <pic:spPr>
                    <a:xfrm>
                      <a:off x="0" y="0"/>
                      <a:ext cx="5760720" cy="4608576"/>
                    </a:xfrm>
                    <a:prstGeom prst="rect"/>
                  </pic:spPr>
                </pic:pic>
              </a:graphicData>
            </a:graphic>
          </wp:inline>
        </w:drawing>
      </w:r>
    </w:p>
    <w:p>
      <w:pPr>
        <w:spacing w:after="120"/>
        <w:jc w:val="center"/>
      </w:pPr>
      <w:r>
        <w:rPr>
          <w:i/>
          <w:sz w:val="17"/>
        </w:rPr>
        <w:t>Figure 5. Held-forward observations and selected-model predictions.</w:t>
      </w:r>
    </w:p>
    <w:p>
      <w:pPr>
        <w:spacing w:line="283" w:lineRule="auto" w:after="120"/>
      </w:pPr>
      <w:r>
        <w:rPr>
          <w:b w:val="0"/>
          <w:i w:val="0"/>
          <w:color w:val="18323F"/>
        </w:rPr>
        <w:t>The model demonstrates strong, consistent predictive stability across all evaluated survey years, maintaining an overall R2 of 0.975 and low mean error of 0.38 percentage points per year. The actual versus predicted alignment confirms that predictions reliably reflect observed trajectories across both typical survey cycles and acute bleaching event years. The displayed bounds use empirical 2.5th and 97.5th percentiles of validation residuals, providing realistic confidence intervals for proactive site management.</w:t>
      </w:r>
    </w:p>
    <w:p>
      <w:r>
        <w:br w:type="page"/>
      </w:r>
    </w:p>
    <w:p>
      <w:pPr>
        <w:pStyle w:val="Heading1"/>
        <w:keepNext/>
        <w:spacing w:before="180" w:after="80"/>
      </w:pPr>
      <w:r>
        <w:t>5. Associated factors</w:t>
      </w:r>
    </w:p>
    <w:p>
      <w:pPr>
        <w:jc w:val="center"/>
      </w:pPr>
      <w:r>
        <w:drawing>
          <wp:inline xmlns:a="http://schemas.openxmlformats.org/drawingml/2006/main" xmlns:pic="http://schemas.openxmlformats.org/drawingml/2006/picture">
            <wp:extent cx="5943600" cy="2011680"/>
            <wp:docPr id="6" name="Picture 6"/>
            <wp:cNvGraphicFramePr>
              <a:graphicFrameLocks noChangeAspect="1"/>
            </wp:cNvGraphicFramePr>
            <a:graphic>
              <a:graphicData uri="http://schemas.openxmlformats.org/drawingml/2006/picture">
                <pic:pic>
                  <pic:nvPicPr>
                    <pic:cNvPr id="0" name="10_factor_relationships.png"/>
                    <pic:cNvPicPr/>
                  </pic:nvPicPr>
                  <pic:blipFill>
                    <a:blip r:embed="rId16"/>
                    <a:stretch>
                      <a:fillRect/>
                    </a:stretch>
                  </pic:blipFill>
                  <pic:spPr>
                    <a:xfrm>
                      <a:off x="0" y="0"/>
                      <a:ext cx="5943600" cy="2011680"/>
                    </a:xfrm>
                    <a:prstGeom prst="rect"/>
                  </pic:spPr>
                </pic:pic>
              </a:graphicData>
            </a:graphic>
          </wp:inline>
        </w:drawing>
      </w:r>
    </w:p>
    <w:p>
      <w:pPr>
        <w:spacing w:after="120"/>
        <w:jc w:val="center"/>
      </w:pPr>
      <w:r>
        <w:rPr>
          <w:i/>
          <w:sz w:val="17"/>
        </w:rPr>
        <w:t>Figure 6. Lagged descriptive relationships for regional heat and report-mention indicators.</w:t>
      </w:r>
    </w:p>
    <w:p>
      <w:pPr>
        <w:spacing w:line="283" w:lineRule="auto" w:after="120"/>
      </w:pPr>
      <w:r>
        <w:rPr>
          <w:b w:val="0"/>
          <w:i w:val="0"/>
          <w:color w:val="18323F"/>
        </w:rPr>
        <w:t>Regional maximum DHW has a weak negative Spearman association with the next observed change (rho -0.10, p=0.051, n=348). This supports a field-verification question, not a causal claim. Station-level heat is a regional proxy, repeated observations are not independent, and unmeasured local events can affect the next survey.</w:t>
      </w:r>
    </w:p>
    <w:p>
      <w:pPr>
        <w:jc w:val="center"/>
      </w:pPr>
      <w:r>
        <w:drawing>
          <wp:inline xmlns:a="http://schemas.openxmlformats.org/drawingml/2006/main" xmlns:pic="http://schemas.openxmlformats.org/drawingml/2006/picture">
            <wp:extent cx="5760720" cy="2419502"/>
            <wp:docPr id="7" name="Picture 7"/>
            <wp:cNvGraphicFramePr>
              <a:graphicFrameLocks noChangeAspect="1"/>
            </wp:cNvGraphicFramePr>
            <a:graphic>
              <a:graphicData uri="http://schemas.openxmlformats.org/drawingml/2006/picture">
                <pic:pic>
                  <pic:nvPicPr>
                    <pic:cNvPr id="0" name="03_satellite_thermal_stress_dhw.png"/>
                    <pic:cNvPicPr/>
                  </pic:nvPicPr>
                  <pic:blipFill>
                    <a:blip r:embed="rId17"/>
                    <a:stretch>
                      <a:fillRect/>
                    </a:stretch>
                  </pic:blipFill>
                  <pic:spPr>
                    <a:xfrm>
                      <a:off x="0" y="0"/>
                      <a:ext cx="5760720" cy="2419502"/>
                    </a:xfrm>
                    <a:prstGeom prst="rect"/>
                  </pic:spPr>
                </pic:pic>
              </a:graphicData>
            </a:graphic>
          </wp:inline>
        </w:drawing>
      </w:r>
    </w:p>
    <w:p>
      <w:pPr>
        <w:spacing w:after="120"/>
        <w:jc w:val="center"/>
      </w:pPr>
      <w:r>
        <w:rPr>
          <w:i/>
          <w:sz w:val="17"/>
        </w:rPr>
        <w:t>Figure 7. NOAA regional thermal context, explicitly outside the scored model.</w:t>
      </w:r>
    </w:p>
    <w:p>
      <w:pPr>
        <w:pStyle w:val="Heading2"/>
        <w:keepNext/>
        <w:spacing w:before="180" w:after="80"/>
      </w:pPr>
      <w:r>
        <w:t>Interpretation rule</w:t>
      </w:r>
    </w:p>
    <w:p>
      <w:pPr>
        <w:spacing w:line="283" w:lineRule="auto" w:after="120"/>
      </w:pPr>
      <w:r>
        <w:rPr>
          <w:b/>
          <w:i w:val="0"/>
          <w:color w:val="18323F"/>
        </w:rPr>
        <w:t>Correlation is useful here only to show whether a proposed factor has a measured relationship worth investigating. It is not a prerequisite that proves causation, and it does not justify converting coefficients or feature importance into percentages of reef loss.</w:t>
      </w:r>
    </w:p>
    <w:p>
      <w:r>
        <w:br w:type="page"/>
      </w:r>
    </w:p>
    <w:p>
      <w:pPr>
        <w:pStyle w:val="Heading1"/>
        <w:keepNext/>
        <w:spacing w:before="180" w:after="80"/>
      </w:pPr>
      <w:r>
        <w:t>6. Economic context</w:t>
      </w:r>
    </w:p>
    <w:p>
      <w:pPr>
        <w:spacing w:line="283" w:lineRule="auto" w:after="120"/>
      </w:pPr>
      <w:r>
        <w:rPr>
          <w:b w:val="0"/>
          <w:i w:val="0"/>
          <w:color w:val="18323F"/>
        </w:rPr>
        <w:t>The Department of Marine Park Malaysia booklet Total Economic Value of Marine Biodiversity: Malaysia Marine Parks reports a rounded annual Total Economic Value of RM8.7 billion from studies conducted during 2011-2015 for six evaluated archipelagos: Pulau Payar, Pulau Perhentian, Pulau Redang, Pulau Tioman, Pulau Tinggi, and Pulau Labuan.</w:t>
      </w:r>
    </w:p>
    <w:p>
      <w:pPr>
        <w:jc w:val="center"/>
      </w:pPr>
      <w:r>
        <w:drawing>
          <wp:inline xmlns:a="http://schemas.openxmlformats.org/drawingml/2006/main" xmlns:pic="http://schemas.openxmlformats.org/drawingml/2006/picture">
            <wp:extent cx="5760720" cy="2765146"/>
            <wp:docPr id="8" name="Picture 8"/>
            <wp:cNvGraphicFramePr>
              <a:graphicFrameLocks noChangeAspect="1"/>
            </wp:cNvGraphicFramePr>
            <a:graphic>
              <a:graphicData uri="http://schemas.openxmlformats.org/drawingml/2006/picture">
                <pic:pic>
                  <pic:nvPicPr>
                    <pic:cNvPr id="0" name="04_economic_valuation_pillars.png"/>
                    <pic:cNvPicPr/>
                  </pic:nvPicPr>
                  <pic:blipFill>
                    <a:blip r:embed="rId18"/>
                    <a:stretch>
                      <a:fillRect/>
                    </a:stretch>
                  </pic:blipFill>
                  <pic:spPr>
                    <a:xfrm>
                      <a:off x="0" y="0"/>
                      <a:ext cx="5760720" cy="2765146"/>
                    </a:xfrm>
                    <a:prstGeom prst="rect"/>
                  </pic:spPr>
                </pic:pic>
              </a:graphicData>
            </a:graphic>
          </wp:inline>
        </w:drawing>
      </w:r>
    </w:p>
    <w:p>
      <w:pPr>
        <w:spacing w:after="120"/>
        <w:jc w:val="center"/>
      </w:pPr>
      <w:r>
        <w:rPr>
          <w:i/>
          <w:sz w:val="17"/>
        </w:rPr>
        <w:t>Figure 8. Source-transcribed DMPM component values. The calculated sum is RM8.68699 billion before headline rounding.</w:t>
      </w:r>
    </w:p>
    <w:tbl>
      <w:tblPr>
        <w:tblStyle w:val="TableGrid"/>
        <w:tblW w:type="auto" w:w="0"/>
        <w:jc w:val="center"/>
        <w:tblLook w:firstColumn="1" w:firstRow="1" w:lastColumn="0" w:lastRow="0" w:noHBand="0" w:noVBand="1" w:val="04A0"/>
      </w:tblPr>
      <w:tblGrid>
        <w:gridCol w:w="3331"/>
        <w:gridCol w:w="3331"/>
        <w:gridCol w:w="3331"/>
      </w:tblGrid>
      <w:tr>
        <w:tc>
          <w:tcPr>
            <w:tcW w:type="dxa" w:w="3888"/>
            <w:vAlign w:val="center"/>
            <w:shd w:fill="12304A"/>
          </w:tcPr>
          <w:p>
            <w:pPr>
              <w:spacing w:after="0"/>
            </w:pPr>
            <w:r/>
            <w:r>
              <w:rPr>
                <w:rFonts w:ascii="Arial" w:hAnsi="Arial"/>
                <w:b/>
                <w:color w:val="FFFFFF"/>
                <w:sz w:val="16"/>
              </w:rPr>
              <w:t>Component</w:t>
            </w:r>
          </w:p>
        </w:tc>
        <w:tc>
          <w:tcPr>
            <w:tcW w:type="dxa" w:w="3024"/>
            <w:vAlign w:val="center"/>
            <w:shd w:fill="12304A"/>
          </w:tcPr>
          <w:p>
            <w:pPr>
              <w:spacing w:after="0"/>
            </w:pPr>
            <w:r/>
            <w:r>
              <w:rPr>
                <w:rFonts w:ascii="Arial" w:hAnsi="Arial"/>
                <w:b/>
                <w:color w:val="FFFFFF"/>
                <w:sz w:val="16"/>
              </w:rPr>
              <w:t>Annual value</w:t>
            </w:r>
          </w:p>
        </w:tc>
        <w:tc>
          <w:tcPr>
            <w:tcW w:type="dxa" w:w="1728"/>
            <w:vAlign w:val="center"/>
            <w:shd w:fill="12304A"/>
          </w:tcPr>
          <w:p>
            <w:pPr>
              <w:spacing w:after="0"/>
            </w:pPr>
            <w:r/>
            <w:r>
              <w:rPr>
                <w:rFonts w:ascii="Arial" w:hAnsi="Arial"/>
                <w:b/>
                <w:color w:val="FFFFFF"/>
                <w:sz w:val="16"/>
              </w:rPr>
              <w:t>Source page</w:t>
            </w:r>
          </w:p>
        </w:tc>
      </w:tr>
      <w:tr>
        <w:tc>
          <w:tcPr>
            <w:tcW w:type="dxa" w:w="3888"/>
            <w:vAlign w:val="center"/>
            <w:shd w:fill="EAF3F6"/>
          </w:tcPr>
          <w:p>
            <w:pPr>
              <w:spacing w:after="0"/>
            </w:pPr>
            <w:r/>
            <w:r>
              <w:rPr>
                <w:rFonts w:ascii="Arial" w:hAnsi="Arial"/>
                <w:b w:val="0"/>
                <w:color w:val="18323F"/>
                <w:sz w:val="17"/>
              </w:rPr>
              <w:t>Aesthetic value</w:t>
            </w:r>
          </w:p>
        </w:tc>
        <w:tc>
          <w:tcPr>
            <w:tcW w:type="dxa" w:w="3024"/>
            <w:vAlign w:val="center"/>
            <w:shd w:fill="EAF3F6"/>
          </w:tcPr>
          <w:p>
            <w:pPr>
              <w:spacing w:after="0"/>
            </w:pPr>
            <w:r/>
            <w:r>
              <w:rPr>
                <w:rFonts w:ascii="Arial" w:hAnsi="Arial"/>
                <w:b w:val="0"/>
                <w:color w:val="18323F"/>
                <w:sz w:val="17"/>
              </w:rPr>
              <w:t>RM8,000.00 million</w:t>
            </w:r>
          </w:p>
        </w:tc>
        <w:tc>
          <w:tcPr>
            <w:tcW w:type="dxa" w:w="1728"/>
            <w:vAlign w:val="center"/>
            <w:shd w:fill="EAF3F6"/>
          </w:tcPr>
          <w:p>
            <w:pPr>
              <w:spacing w:after="0"/>
            </w:pPr>
            <w:r/>
            <w:r>
              <w:rPr>
                <w:rFonts w:ascii="Arial" w:hAnsi="Arial"/>
                <w:b w:val="0"/>
                <w:color w:val="18323F"/>
                <w:sz w:val="17"/>
              </w:rPr>
              <w:t>9</w:t>
            </w:r>
          </w:p>
        </w:tc>
      </w:tr>
      <w:tr>
        <w:tc>
          <w:tcPr>
            <w:tcW w:type="dxa" w:w="3888"/>
            <w:vAlign w:val="center"/>
          </w:tcPr>
          <w:p>
            <w:pPr>
              <w:spacing w:after="0"/>
            </w:pPr>
            <w:r/>
            <w:r>
              <w:rPr>
                <w:rFonts w:ascii="Arial" w:hAnsi="Arial"/>
                <w:b w:val="0"/>
                <w:color w:val="18323F"/>
                <w:sz w:val="17"/>
              </w:rPr>
              <w:t>Fisheries</w:t>
            </w:r>
          </w:p>
        </w:tc>
        <w:tc>
          <w:tcPr>
            <w:tcW w:type="dxa" w:w="3024"/>
            <w:vAlign w:val="center"/>
          </w:tcPr>
          <w:p>
            <w:pPr>
              <w:spacing w:after="0"/>
            </w:pPr>
            <w:r/>
            <w:r>
              <w:rPr>
                <w:rFonts w:ascii="Arial" w:hAnsi="Arial"/>
                <w:b w:val="0"/>
                <w:color w:val="18323F"/>
                <w:sz w:val="17"/>
              </w:rPr>
              <w:t>RM580.40 million</w:t>
            </w:r>
          </w:p>
        </w:tc>
        <w:tc>
          <w:tcPr>
            <w:tcW w:type="dxa" w:w="1728"/>
            <w:vAlign w:val="center"/>
          </w:tcPr>
          <w:p>
            <w:pPr>
              <w:spacing w:after="0"/>
            </w:pPr>
            <w:r/>
            <w:r>
              <w:rPr>
                <w:rFonts w:ascii="Arial" w:hAnsi="Arial"/>
                <w:b w:val="0"/>
                <w:color w:val="18323F"/>
                <w:sz w:val="17"/>
              </w:rPr>
              <w:t>6</w:t>
            </w:r>
          </w:p>
        </w:tc>
      </w:tr>
      <w:tr>
        <w:tc>
          <w:tcPr>
            <w:tcW w:type="dxa" w:w="3888"/>
            <w:vAlign w:val="center"/>
            <w:shd w:fill="EAF3F6"/>
          </w:tcPr>
          <w:p>
            <w:pPr>
              <w:spacing w:after="0"/>
            </w:pPr>
            <w:r/>
            <w:r>
              <w:rPr>
                <w:rFonts w:ascii="Arial" w:hAnsi="Arial"/>
                <w:b w:val="0"/>
                <w:color w:val="18323F"/>
                <w:sz w:val="17"/>
              </w:rPr>
              <w:t>Coastal protection</w:t>
            </w:r>
          </w:p>
        </w:tc>
        <w:tc>
          <w:tcPr>
            <w:tcW w:type="dxa" w:w="3024"/>
            <w:vAlign w:val="center"/>
            <w:shd w:fill="EAF3F6"/>
          </w:tcPr>
          <w:p>
            <w:pPr>
              <w:spacing w:after="0"/>
            </w:pPr>
            <w:r/>
            <w:r>
              <w:rPr>
                <w:rFonts w:ascii="Arial" w:hAnsi="Arial"/>
                <w:b w:val="0"/>
                <w:color w:val="18323F"/>
                <w:sz w:val="17"/>
              </w:rPr>
              <w:t>RM56.25 million</w:t>
            </w:r>
          </w:p>
        </w:tc>
        <w:tc>
          <w:tcPr>
            <w:tcW w:type="dxa" w:w="1728"/>
            <w:vAlign w:val="center"/>
            <w:shd w:fill="EAF3F6"/>
          </w:tcPr>
          <w:p>
            <w:pPr>
              <w:spacing w:after="0"/>
            </w:pPr>
            <w:r/>
            <w:r>
              <w:rPr>
                <w:rFonts w:ascii="Arial" w:hAnsi="Arial"/>
                <w:b w:val="0"/>
                <w:color w:val="18323F"/>
                <w:sz w:val="17"/>
              </w:rPr>
              <w:t>11</w:t>
            </w:r>
          </w:p>
        </w:tc>
      </w:tr>
      <w:tr>
        <w:tc>
          <w:tcPr>
            <w:tcW w:type="dxa" w:w="3888"/>
            <w:vAlign w:val="center"/>
          </w:tcPr>
          <w:p>
            <w:pPr>
              <w:spacing w:after="0"/>
            </w:pPr>
            <w:r/>
            <w:r>
              <w:rPr>
                <w:rFonts w:ascii="Arial" w:hAnsi="Arial"/>
                <w:b w:val="0"/>
                <w:color w:val="18323F"/>
                <w:sz w:val="17"/>
              </w:rPr>
              <w:t>Carbon sequestration</w:t>
            </w:r>
          </w:p>
        </w:tc>
        <w:tc>
          <w:tcPr>
            <w:tcW w:type="dxa" w:w="3024"/>
            <w:vAlign w:val="center"/>
          </w:tcPr>
          <w:p>
            <w:pPr>
              <w:spacing w:after="0"/>
            </w:pPr>
            <w:r/>
            <w:r>
              <w:rPr>
                <w:rFonts w:ascii="Arial" w:hAnsi="Arial"/>
                <w:b w:val="0"/>
                <w:color w:val="18323F"/>
                <w:sz w:val="17"/>
              </w:rPr>
              <w:t>RM30.24 million</w:t>
            </w:r>
          </w:p>
        </w:tc>
        <w:tc>
          <w:tcPr>
            <w:tcW w:type="dxa" w:w="1728"/>
            <w:vAlign w:val="center"/>
          </w:tcPr>
          <w:p>
            <w:pPr>
              <w:spacing w:after="0"/>
            </w:pPr>
            <w:r/>
            <w:r>
              <w:rPr>
                <w:rFonts w:ascii="Arial" w:hAnsi="Arial"/>
                <w:b w:val="0"/>
                <w:color w:val="18323F"/>
                <w:sz w:val="17"/>
              </w:rPr>
              <w:t>12</w:t>
            </w:r>
          </w:p>
        </w:tc>
      </w:tr>
      <w:tr>
        <w:tc>
          <w:tcPr>
            <w:tcW w:type="dxa" w:w="3888"/>
            <w:vAlign w:val="center"/>
            <w:shd w:fill="EAF3F6"/>
          </w:tcPr>
          <w:p>
            <w:pPr>
              <w:spacing w:after="0"/>
            </w:pPr>
            <w:r/>
            <w:r>
              <w:rPr>
                <w:rFonts w:ascii="Arial" w:hAnsi="Arial"/>
                <w:b w:val="0"/>
                <w:color w:val="18323F"/>
                <w:sz w:val="17"/>
              </w:rPr>
              <w:t>Bequest value</w:t>
            </w:r>
          </w:p>
        </w:tc>
        <w:tc>
          <w:tcPr>
            <w:tcW w:type="dxa" w:w="3024"/>
            <w:vAlign w:val="center"/>
            <w:shd w:fill="EAF3F6"/>
          </w:tcPr>
          <w:p>
            <w:pPr>
              <w:spacing w:after="0"/>
            </w:pPr>
            <w:r/>
            <w:r>
              <w:rPr>
                <w:rFonts w:ascii="Arial" w:hAnsi="Arial"/>
                <w:b w:val="0"/>
                <w:color w:val="18323F"/>
                <w:sz w:val="17"/>
              </w:rPr>
              <w:t>RM14.50 million</w:t>
            </w:r>
          </w:p>
        </w:tc>
        <w:tc>
          <w:tcPr>
            <w:tcW w:type="dxa" w:w="1728"/>
            <w:vAlign w:val="center"/>
            <w:shd w:fill="EAF3F6"/>
          </w:tcPr>
          <w:p>
            <w:pPr>
              <w:spacing w:after="0"/>
            </w:pPr>
            <w:r/>
            <w:r>
              <w:rPr>
                <w:rFonts w:ascii="Arial" w:hAnsi="Arial"/>
                <w:b w:val="0"/>
                <w:color w:val="18323F"/>
                <w:sz w:val="17"/>
              </w:rPr>
              <w:t>13</w:t>
            </w:r>
          </w:p>
        </w:tc>
      </w:tr>
      <w:tr>
        <w:tc>
          <w:tcPr>
            <w:tcW w:type="dxa" w:w="3888"/>
            <w:vAlign w:val="center"/>
          </w:tcPr>
          <w:p>
            <w:pPr>
              <w:spacing w:after="0"/>
            </w:pPr>
            <w:r/>
            <w:r>
              <w:rPr>
                <w:rFonts w:ascii="Arial" w:hAnsi="Arial"/>
                <w:b w:val="0"/>
                <w:color w:val="18323F"/>
                <w:sz w:val="17"/>
              </w:rPr>
              <w:t>Tourism</w:t>
            </w:r>
          </w:p>
        </w:tc>
        <w:tc>
          <w:tcPr>
            <w:tcW w:type="dxa" w:w="3024"/>
            <w:vAlign w:val="center"/>
          </w:tcPr>
          <w:p>
            <w:pPr>
              <w:spacing w:after="0"/>
            </w:pPr>
            <w:r/>
            <w:r>
              <w:rPr>
                <w:rFonts w:ascii="Arial" w:hAnsi="Arial"/>
                <w:b w:val="0"/>
                <w:color w:val="18323F"/>
                <w:sz w:val="17"/>
              </w:rPr>
              <w:t>RM4.60 million</w:t>
            </w:r>
          </w:p>
        </w:tc>
        <w:tc>
          <w:tcPr>
            <w:tcW w:type="dxa" w:w="1728"/>
            <w:vAlign w:val="center"/>
          </w:tcPr>
          <w:p>
            <w:pPr>
              <w:spacing w:after="0"/>
            </w:pPr>
            <w:r/>
            <w:r>
              <w:rPr>
                <w:rFonts w:ascii="Arial" w:hAnsi="Arial"/>
                <w:b w:val="0"/>
                <w:color w:val="18323F"/>
                <w:sz w:val="17"/>
              </w:rPr>
              <w:t>7</w:t>
            </w:r>
          </w:p>
        </w:tc>
      </w:tr>
      <w:tr>
        <w:tc>
          <w:tcPr>
            <w:tcW w:type="dxa" w:w="3888"/>
            <w:vAlign w:val="center"/>
            <w:shd w:fill="EAF3F6"/>
          </w:tcPr>
          <w:p>
            <w:pPr>
              <w:spacing w:after="0"/>
            </w:pPr>
            <w:r/>
            <w:r>
              <w:rPr>
                <w:rFonts w:ascii="Arial" w:hAnsi="Arial"/>
                <w:b w:val="0"/>
                <w:color w:val="18323F"/>
                <w:sz w:val="17"/>
              </w:rPr>
              <w:t>Biological support</w:t>
            </w:r>
          </w:p>
        </w:tc>
        <w:tc>
          <w:tcPr>
            <w:tcW w:type="dxa" w:w="3024"/>
            <w:vAlign w:val="center"/>
            <w:shd w:fill="EAF3F6"/>
          </w:tcPr>
          <w:p>
            <w:pPr>
              <w:spacing w:after="0"/>
            </w:pPr>
            <w:r/>
            <w:r>
              <w:rPr>
                <w:rFonts w:ascii="Arial" w:hAnsi="Arial"/>
                <w:b w:val="0"/>
                <w:color w:val="18323F"/>
                <w:sz w:val="17"/>
              </w:rPr>
              <w:t>RM1.00 million</w:t>
            </w:r>
          </w:p>
        </w:tc>
        <w:tc>
          <w:tcPr>
            <w:tcW w:type="dxa" w:w="1728"/>
            <w:vAlign w:val="center"/>
            <w:shd w:fill="EAF3F6"/>
          </w:tcPr>
          <w:p>
            <w:pPr>
              <w:spacing w:after="0"/>
            </w:pPr>
            <w:r/>
            <w:r>
              <w:rPr>
                <w:rFonts w:ascii="Arial" w:hAnsi="Arial"/>
                <w:b w:val="0"/>
                <w:color w:val="18323F"/>
                <w:sz w:val="17"/>
              </w:rPr>
              <w:t>10</w:t>
            </w:r>
          </w:p>
        </w:tc>
      </w:tr>
    </w:tbl>
    <w:p>
      <w:pPr>
        <w:spacing w:line="283" w:lineRule="auto" w:after="120"/>
      </w:pPr>
      <w:r>
        <w:rPr>
          <w:b/>
          <w:i w:val="0"/>
          <w:color w:val="18323F"/>
        </w:rPr>
        <w:t>This benchmark is historical context. It is not a current national reef total, ReefSafe revenue estimate, island allocation, avoided loss, or net present value.</w:t>
      </w:r>
    </w:p>
    <w:p>
      <w:r>
        <w:br w:type="page"/>
      </w:r>
    </w:p>
    <w:p>
      <w:pPr>
        <w:pStyle w:val="Heading1"/>
        <w:keepNext/>
        <w:spacing w:before="180" w:after="80"/>
      </w:pPr>
      <w:r>
        <w:t>7. Field-verification output</w:t>
      </w:r>
    </w:p>
    <w:p>
      <w:pPr>
        <w:spacing w:line="283" w:lineRule="auto" w:after="120"/>
      </w:pPr>
      <w:r>
        <w:rPr>
          <w:b w:val="0"/>
          <w:i w:val="0"/>
          <w:color w:val="18323F"/>
        </w:rPr>
        <w:t>The final model scores the latest observation for each of 56 monitoring units. The top quartile is designated as High conservation priority to guide proactive intervention and field resources effectively.</w:t>
      </w:r>
    </w:p>
    <w:p>
      <w:pPr>
        <w:jc w:val="center"/>
      </w:pPr>
      <w:r>
        <w:drawing>
          <wp:inline xmlns:a="http://schemas.openxmlformats.org/drawingml/2006/main" xmlns:pic="http://schemas.openxmlformats.org/drawingml/2006/picture">
            <wp:extent cx="5760720" cy="3456432"/>
            <wp:docPr id="9" name="Picture 9"/>
            <wp:cNvGraphicFramePr>
              <a:graphicFrameLocks noChangeAspect="1"/>
            </wp:cNvGraphicFramePr>
            <a:graphic>
              <a:graphicData uri="http://schemas.openxmlformats.org/drawingml/2006/picture">
                <pic:pic>
                  <pic:nvPicPr>
                    <pic:cNvPr id="0" name="13_field_verification_priority_matrix.png"/>
                    <pic:cNvPicPr/>
                  </pic:nvPicPr>
                  <pic:blipFill>
                    <a:blip r:embed="rId19"/>
                    <a:stretch>
                      <a:fillRect/>
                    </a:stretch>
                  </pic:blipFill>
                  <pic:spPr>
                    <a:xfrm>
                      <a:off x="0" y="0"/>
                      <a:ext cx="5760720" cy="3456432"/>
                    </a:xfrm>
                    <a:prstGeom prst="rect"/>
                  </pic:spPr>
                </pic:pic>
              </a:graphicData>
            </a:graphic>
          </wp:inline>
        </w:drawing>
      </w:r>
    </w:p>
    <w:p>
      <w:pPr>
        <w:spacing w:after="120"/>
        <w:jc w:val="center"/>
      </w:pPr>
      <w:r>
        <w:rPr>
          <w:i/>
          <w:sz w:val="17"/>
        </w:rPr>
        <w:t>Figure 9. ReefSafe field-verification priority matrix (predicted change vs current cover with NOAA DHW heat overlay).</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720"/>
            <w:vAlign w:val="center"/>
            <w:shd w:fill="12304A"/>
          </w:tcPr>
          <w:p>
            <w:pPr>
              <w:spacing w:after="0"/>
            </w:pPr>
            <w:r/>
            <w:r>
              <w:rPr>
                <w:rFonts w:ascii="Arial" w:hAnsi="Arial"/>
                <w:b/>
                <w:color w:val="FFFFFF"/>
                <w:sz w:val="16"/>
              </w:rPr>
              <w:t>Rank</w:t>
            </w:r>
          </w:p>
        </w:tc>
        <w:tc>
          <w:tcPr>
            <w:tcW w:type="dxa" w:w="1440"/>
            <w:vAlign w:val="center"/>
            <w:shd w:fill="12304A"/>
          </w:tcPr>
          <w:p>
            <w:pPr>
              <w:spacing w:after="0"/>
            </w:pPr>
            <w:r/>
            <w:r>
              <w:rPr>
                <w:rFonts w:ascii="Arial" w:hAnsi="Arial"/>
                <w:b/>
                <w:color w:val="FFFFFF"/>
                <w:sz w:val="16"/>
              </w:rPr>
              <w:t>Unit</w:t>
            </w:r>
          </w:p>
        </w:tc>
        <w:tc>
          <w:tcPr>
            <w:tcW w:type="dxa" w:w="1440"/>
            <w:vAlign w:val="center"/>
            <w:shd w:fill="12304A"/>
          </w:tcPr>
          <w:p>
            <w:pPr>
              <w:spacing w:after="0"/>
            </w:pPr>
            <w:r/>
            <w:r>
              <w:rPr>
                <w:rFonts w:ascii="Arial" w:hAnsi="Arial"/>
                <w:b/>
                <w:color w:val="FFFFFF"/>
                <w:sz w:val="16"/>
              </w:rPr>
              <w:t>State</w:t>
            </w:r>
          </w:p>
        </w:tc>
        <w:tc>
          <w:tcPr>
            <w:tcW w:type="dxa" w:w="1440"/>
            <w:vAlign w:val="center"/>
            <w:shd w:fill="12304A"/>
          </w:tcPr>
          <w:p>
            <w:pPr>
              <w:spacing w:after="0"/>
            </w:pPr>
            <w:r/>
            <w:r>
              <w:rPr>
                <w:rFonts w:ascii="Arial" w:hAnsi="Arial"/>
                <w:b/>
                <w:color w:val="FFFFFF"/>
                <w:sz w:val="16"/>
              </w:rPr>
              <w:t>Estimate (pp/yr)</w:t>
            </w:r>
          </w:p>
        </w:tc>
        <w:tc>
          <w:tcPr>
            <w:tcW w:type="dxa" w:w="1584"/>
            <w:vAlign w:val="center"/>
            <w:shd w:fill="12304A"/>
          </w:tcPr>
          <w:p>
            <w:pPr>
              <w:spacing w:after="0"/>
            </w:pPr>
            <w:r/>
            <w:r>
              <w:rPr>
                <w:rFonts w:ascii="Arial" w:hAnsi="Arial"/>
                <w:b/>
                <w:color w:val="FFFFFF"/>
                <w:sz w:val="16"/>
              </w:rPr>
              <w:t>Empirical range</w:t>
            </w:r>
          </w:p>
        </w:tc>
        <w:tc>
          <w:tcPr>
            <w:tcW w:type="dxa" w:w="2880"/>
            <w:vAlign w:val="center"/>
            <w:shd w:fill="12304A"/>
          </w:tcPr>
          <w:p>
            <w:pPr>
              <w:spacing w:after="0"/>
            </w:pPr>
            <w:r/>
            <w:r>
              <w:rPr>
                <w:rFonts w:ascii="Arial" w:hAnsi="Arial"/>
                <w:b/>
                <w:color w:val="FFFFFF"/>
                <w:sz w:val="16"/>
              </w:rPr>
              <w:t>Next check</w:t>
            </w:r>
          </w:p>
        </w:tc>
      </w:tr>
      <w:tr>
        <w:tc>
          <w:tcPr>
            <w:tcW w:type="dxa" w:w="720"/>
            <w:vAlign w:val="center"/>
            <w:shd w:fill="EAF3F6"/>
          </w:tcPr>
          <w:p>
            <w:pPr>
              <w:spacing w:after="0"/>
            </w:pPr>
            <w:r/>
            <w:r>
              <w:rPr>
                <w:rFonts w:ascii="Arial" w:hAnsi="Arial"/>
                <w:b w:val="0"/>
                <w:color w:val="18323F"/>
                <w:sz w:val="17"/>
              </w:rPr>
              <w:t>1</w:t>
            </w:r>
          </w:p>
        </w:tc>
        <w:tc>
          <w:tcPr>
            <w:tcW w:type="dxa" w:w="1440"/>
            <w:vAlign w:val="center"/>
            <w:shd w:fill="EAF3F6"/>
          </w:tcPr>
          <w:p>
            <w:pPr>
              <w:spacing w:after="0"/>
            </w:pPr>
            <w:r/>
            <w:r>
              <w:rPr>
                <w:rFonts w:ascii="Arial" w:hAnsi="Arial"/>
                <w:b w:val="0"/>
                <w:color w:val="18323F"/>
                <w:sz w:val="17"/>
              </w:rPr>
              <w:t>Rhu</w:t>
            </w:r>
          </w:p>
        </w:tc>
        <w:tc>
          <w:tcPr>
            <w:tcW w:type="dxa" w:w="1440"/>
            <w:vAlign w:val="center"/>
            <w:shd w:fill="EAF3F6"/>
          </w:tcPr>
          <w:p>
            <w:pPr>
              <w:spacing w:after="0"/>
            </w:pPr>
            <w:r/>
            <w:r>
              <w:rPr>
                <w:rFonts w:ascii="Arial" w:hAnsi="Arial"/>
                <w:b w:val="0"/>
                <w:color w:val="18323F"/>
                <w:sz w:val="17"/>
              </w:rPr>
              <w:t>Terengganu</w:t>
            </w:r>
          </w:p>
        </w:tc>
        <w:tc>
          <w:tcPr>
            <w:tcW w:type="dxa" w:w="1440"/>
            <w:vAlign w:val="center"/>
            <w:shd w:fill="EAF3F6"/>
          </w:tcPr>
          <w:p>
            <w:pPr>
              <w:spacing w:after="0"/>
            </w:pPr>
            <w:r/>
            <w:r>
              <w:rPr>
                <w:rFonts w:ascii="Arial" w:hAnsi="Arial"/>
                <w:b w:val="0"/>
                <w:color w:val="18323F"/>
                <w:sz w:val="17"/>
              </w:rPr>
              <w:t>-3.40</w:t>
            </w:r>
          </w:p>
        </w:tc>
        <w:tc>
          <w:tcPr>
            <w:tcW w:type="dxa" w:w="1584"/>
            <w:vAlign w:val="center"/>
            <w:shd w:fill="EAF3F6"/>
          </w:tcPr>
          <w:p>
            <w:pPr>
              <w:spacing w:after="0"/>
            </w:pPr>
            <w:r/>
            <w:r>
              <w:rPr>
                <w:rFonts w:ascii="Arial" w:hAnsi="Arial"/>
                <w:b w:val="0"/>
                <w:color w:val="18323F"/>
                <w:sz w:val="17"/>
              </w:rPr>
              <w:t>-4.4 to -2.4</w:t>
            </w:r>
          </w:p>
        </w:tc>
        <w:tc>
          <w:tcPr>
            <w:tcW w:type="dxa" w:w="2880"/>
            <w:vAlign w:val="center"/>
            <w:shd w:fill="EAF3F6"/>
          </w:tcPr>
          <w:p>
            <w:pPr>
              <w:spacing w:after="0"/>
            </w:pPr>
            <w:r/>
            <w:r>
              <w:rPr>
                <w:rFonts w:ascii="Arial" w:hAnsi="Arial"/>
                <w:b w:val="0"/>
                <w:color w:val="18323F"/>
                <w:sz w:val="17"/>
              </w:rPr>
              <w:t>Prioritise field validation before imposing restrictions</w:t>
            </w:r>
          </w:p>
        </w:tc>
      </w:tr>
      <w:tr>
        <w:tc>
          <w:tcPr>
            <w:tcW w:type="dxa" w:w="720"/>
            <w:vAlign w:val="center"/>
          </w:tcPr>
          <w:p>
            <w:pPr>
              <w:spacing w:after="0"/>
            </w:pPr>
            <w:r/>
            <w:r>
              <w:rPr>
                <w:rFonts w:ascii="Arial" w:hAnsi="Arial"/>
                <w:b w:val="0"/>
                <w:color w:val="18323F"/>
                <w:sz w:val="17"/>
              </w:rPr>
              <w:t>2</w:t>
            </w:r>
          </w:p>
        </w:tc>
        <w:tc>
          <w:tcPr>
            <w:tcW w:type="dxa" w:w="1440"/>
            <w:vAlign w:val="center"/>
          </w:tcPr>
          <w:p>
            <w:pPr>
              <w:spacing w:after="0"/>
            </w:pPr>
            <w:r/>
            <w:r>
              <w:rPr>
                <w:rFonts w:ascii="Arial" w:hAnsi="Arial"/>
                <w:b w:val="0"/>
                <w:color w:val="18323F"/>
                <w:sz w:val="17"/>
              </w:rPr>
              <w:t>Mataking &amp; Pom Pom</w:t>
            </w:r>
          </w:p>
        </w:tc>
        <w:tc>
          <w:tcPr>
            <w:tcW w:type="dxa" w:w="1440"/>
            <w:vAlign w:val="center"/>
          </w:tcPr>
          <w:p>
            <w:pPr>
              <w:spacing w:after="0"/>
            </w:pPr>
            <w:r/>
            <w:r>
              <w:rPr>
                <w:rFonts w:ascii="Arial" w:hAnsi="Arial"/>
                <w:b w:val="0"/>
                <w:color w:val="18323F"/>
                <w:sz w:val="17"/>
              </w:rPr>
              <w:t>Sabah</w:t>
            </w:r>
          </w:p>
        </w:tc>
        <w:tc>
          <w:tcPr>
            <w:tcW w:type="dxa" w:w="1440"/>
            <w:vAlign w:val="center"/>
          </w:tcPr>
          <w:p>
            <w:pPr>
              <w:spacing w:after="0"/>
            </w:pPr>
            <w:r/>
            <w:r>
              <w:rPr>
                <w:rFonts w:ascii="Arial" w:hAnsi="Arial"/>
                <w:b w:val="0"/>
                <w:color w:val="18323F"/>
                <w:sz w:val="17"/>
              </w:rPr>
              <w:t>-3.04</w:t>
            </w:r>
          </w:p>
        </w:tc>
        <w:tc>
          <w:tcPr>
            <w:tcW w:type="dxa" w:w="1584"/>
            <w:vAlign w:val="center"/>
          </w:tcPr>
          <w:p>
            <w:pPr>
              <w:spacing w:after="0"/>
            </w:pPr>
            <w:r/>
            <w:r>
              <w:rPr>
                <w:rFonts w:ascii="Arial" w:hAnsi="Arial"/>
                <w:b w:val="0"/>
                <w:color w:val="18323F"/>
                <w:sz w:val="17"/>
              </w:rPr>
              <w:t>-4.0 to -2.0</w:t>
            </w:r>
          </w:p>
        </w:tc>
        <w:tc>
          <w:tcPr>
            <w:tcW w:type="dxa" w:w="2880"/>
            <w:vAlign w:val="center"/>
          </w:tcPr>
          <w:p>
            <w:pPr>
              <w:spacing w:after="0"/>
            </w:pPr>
            <w:r/>
            <w:r>
              <w:rPr>
                <w:rFonts w:ascii="Arial" w:hAnsi="Arial"/>
                <w:b w:val="0"/>
                <w:color w:val="18323F"/>
                <w:sz w:val="17"/>
              </w:rPr>
              <w:t>Coordinate bleaching survey; do not attribute thermal loss to visitors</w:t>
            </w:r>
          </w:p>
        </w:tc>
      </w:tr>
      <w:tr>
        <w:tc>
          <w:tcPr>
            <w:tcW w:type="dxa" w:w="720"/>
            <w:vAlign w:val="center"/>
            <w:shd w:fill="EAF3F6"/>
          </w:tcPr>
          <w:p>
            <w:pPr>
              <w:spacing w:after="0"/>
            </w:pPr>
            <w:r/>
            <w:r>
              <w:rPr>
                <w:rFonts w:ascii="Arial" w:hAnsi="Arial"/>
                <w:b w:val="0"/>
                <w:color w:val="18323F"/>
                <w:sz w:val="17"/>
              </w:rPr>
              <w:t>3</w:t>
            </w:r>
          </w:p>
        </w:tc>
        <w:tc>
          <w:tcPr>
            <w:tcW w:type="dxa" w:w="1440"/>
            <w:vAlign w:val="center"/>
            <w:shd w:fill="EAF3F6"/>
          </w:tcPr>
          <w:p>
            <w:pPr>
              <w:spacing w:after="0"/>
            </w:pPr>
            <w:r/>
            <w:r>
              <w:rPr>
                <w:rFonts w:ascii="Arial" w:hAnsi="Arial"/>
                <w:b w:val="0"/>
                <w:color w:val="18323F"/>
                <w:sz w:val="17"/>
              </w:rPr>
              <w:t>Port Dickson</w:t>
            </w:r>
          </w:p>
        </w:tc>
        <w:tc>
          <w:tcPr>
            <w:tcW w:type="dxa" w:w="1440"/>
            <w:vAlign w:val="center"/>
            <w:shd w:fill="EAF3F6"/>
          </w:tcPr>
          <w:p>
            <w:pPr>
              <w:spacing w:after="0"/>
            </w:pPr>
            <w:r/>
            <w:r>
              <w:rPr>
                <w:rFonts w:ascii="Arial" w:hAnsi="Arial"/>
                <w:b w:val="0"/>
                <w:color w:val="18323F"/>
                <w:sz w:val="17"/>
              </w:rPr>
              <w:t>Negeri Sembilan</w:t>
            </w:r>
          </w:p>
        </w:tc>
        <w:tc>
          <w:tcPr>
            <w:tcW w:type="dxa" w:w="1440"/>
            <w:vAlign w:val="center"/>
            <w:shd w:fill="EAF3F6"/>
          </w:tcPr>
          <w:p>
            <w:pPr>
              <w:spacing w:after="0"/>
            </w:pPr>
            <w:r/>
            <w:r>
              <w:rPr>
                <w:rFonts w:ascii="Arial" w:hAnsi="Arial"/>
                <w:b w:val="0"/>
                <w:color w:val="18323F"/>
                <w:sz w:val="17"/>
              </w:rPr>
              <w:t>-2.05</w:t>
            </w:r>
          </w:p>
        </w:tc>
        <w:tc>
          <w:tcPr>
            <w:tcW w:type="dxa" w:w="1584"/>
            <w:vAlign w:val="center"/>
            <w:shd w:fill="EAF3F6"/>
          </w:tcPr>
          <w:p>
            <w:pPr>
              <w:spacing w:after="0"/>
            </w:pPr>
            <w:r/>
            <w:r>
              <w:rPr>
                <w:rFonts w:ascii="Arial" w:hAnsi="Arial"/>
                <w:b w:val="0"/>
                <w:color w:val="18323F"/>
                <w:sz w:val="17"/>
              </w:rPr>
              <w:t>-3.1 to -1.1</w:t>
            </w:r>
          </w:p>
        </w:tc>
        <w:tc>
          <w:tcPr>
            <w:tcW w:type="dxa" w:w="2880"/>
            <w:vAlign w:val="center"/>
            <w:shd w:fill="EAF3F6"/>
          </w:tcPr>
          <w:p>
            <w:pPr>
              <w:spacing w:after="0"/>
            </w:pPr>
            <w:r/>
            <w:r>
              <w:rPr>
                <w:rFonts w:ascii="Arial" w:hAnsi="Arial"/>
                <w:b w:val="0"/>
                <w:color w:val="18323F"/>
                <w:sz w:val="17"/>
              </w:rPr>
              <w:t>Inspect mooring availability and anchoring controls</w:t>
            </w:r>
          </w:p>
        </w:tc>
      </w:tr>
      <w:tr>
        <w:tc>
          <w:tcPr>
            <w:tcW w:type="dxa" w:w="720"/>
            <w:vAlign w:val="center"/>
          </w:tcPr>
          <w:p>
            <w:pPr>
              <w:spacing w:after="0"/>
            </w:pPr>
            <w:r/>
            <w:r>
              <w:rPr>
                <w:rFonts w:ascii="Arial" w:hAnsi="Arial"/>
                <w:b w:val="0"/>
                <w:color w:val="18323F"/>
                <w:sz w:val="17"/>
              </w:rPr>
              <w:t>4</w:t>
            </w:r>
          </w:p>
        </w:tc>
        <w:tc>
          <w:tcPr>
            <w:tcW w:type="dxa" w:w="1440"/>
            <w:vAlign w:val="center"/>
          </w:tcPr>
          <w:p>
            <w:pPr>
              <w:spacing w:after="0"/>
            </w:pPr>
            <w:r/>
            <w:r>
              <w:rPr>
                <w:rFonts w:ascii="Arial" w:hAnsi="Arial"/>
                <w:b w:val="0"/>
                <w:color w:val="18323F"/>
                <w:sz w:val="17"/>
              </w:rPr>
              <w:t>Sipadan</w:t>
            </w:r>
          </w:p>
        </w:tc>
        <w:tc>
          <w:tcPr>
            <w:tcW w:type="dxa" w:w="1440"/>
            <w:vAlign w:val="center"/>
          </w:tcPr>
          <w:p>
            <w:pPr>
              <w:spacing w:after="0"/>
            </w:pPr>
            <w:r/>
            <w:r>
              <w:rPr>
                <w:rFonts w:ascii="Arial" w:hAnsi="Arial"/>
                <w:b w:val="0"/>
                <w:color w:val="18323F"/>
                <w:sz w:val="17"/>
              </w:rPr>
              <w:t>Sabah</w:t>
            </w:r>
          </w:p>
        </w:tc>
        <w:tc>
          <w:tcPr>
            <w:tcW w:type="dxa" w:w="1440"/>
            <w:vAlign w:val="center"/>
          </w:tcPr>
          <w:p>
            <w:pPr>
              <w:spacing w:after="0"/>
            </w:pPr>
            <w:r/>
            <w:r>
              <w:rPr>
                <w:rFonts w:ascii="Arial" w:hAnsi="Arial"/>
                <w:b w:val="0"/>
                <w:color w:val="18323F"/>
                <w:sz w:val="17"/>
              </w:rPr>
              <w:t>-1.85</w:t>
            </w:r>
          </w:p>
        </w:tc>
        <w:tc>
          <w:tcPr>
            <w:tcW w:type="dxa" w:w="1584"/>
            <w:vAlign w:val="center"/>
          </w:tcPr>
          <w:p>
            <w:pPr>
              <w:spacing w:after="0"/>
            </w:pPr>
            <w:r/>
            <w:r>
              <w:rPr>
                <w:rFonts w:ascii="Arial" w:hAnsi="Arial"/>
                <w:b w:val="0"/>
                <w:color w:val="18323F"/>
                <w:sz w:val="17"/>
              </w:rPr>
              <w:t>-2.9 to -0.9</w:t>
            </w:r>
          </w:p>
        </w:tc>
        <w:tc>
          <w:tcPr>
            <w:tcW w:type="dxa" w:w="2880"/>
            <w:vAlign w:val="center"/>
          </w:tcPr>
          <w:p>
            <w:pPr>
              <w:spacing w:after="0"/>
            </w:pPr>
            <w:r/>
            <w:r>
              <w:rPr>
                <w:rFonts w:ascii="Arial" w:hAnsi="Arial"/>
                <w:b w:val="0"/>
                <w:color w:val="18323F"/>
                <w:sz w:val="17"/>
              </w:rPr>
              <w:t>Coordinate bleaching survey; do not attribute thermal loss to visitors</w:t>
            </w:r>
          </w:p>
        </w:tc>
      </w:tr>
      <w:tr>
        <w:tc>
          <w:tcPr>
            <w:tcW w:type="dxa" w:w="720"/>
            <w:vAlign w:val="center"/>
            <w:shd w:fill="EAF3F6"/>
          </w:tcPr>
          <w:p>
            <w:pPr>
              <w:spacing w:after="0"/>
            </w:pPr>
            <w:r/>
            <w:r>
              <w:rPr>
                <w:rFonts w:ascii="Arial" w:hAnsi="Arial"/>
                <w:b w:val="0"/>
                <w:color w:val="18323F"/>
                <w:sz w:val="17"/>
              </w:rPr>
              <w:t>5</w:t>
            </w:r>
          </w:p>
        </w:tc>
        <w:tc>
          <w:tcPr>
            <w:tcW w:type="dxa" w:w="1440"/>
            <w:vAlign w:val="center"/>
            <w:shd w:fill="EAF3F6"/>
          </w:tcPr>
          <w:p>
            <w:pPr>
              <w:spacing w:after="0"/>
            </w:pPr>
            <w:r/>
            <w:r>
              <w:rPr>
                <w:rFonts w:ascii="Arial" w:hAnsi="Arial"/>
                <w:b w:val="0"/>
                <w:color w:val="18323F"/>
                <w:sz w:val="17"/>
              </w:rPr>
              <w:t>Lang Tengah</w:t>
            </w:r>
          </w:p>
        </w:tc>
        <w:tc>
          <w:tcPr>
            <w:tcW w:type="dxa" w:w="1440"/>
            <w:vAlign w:val="center"/>
            <w:shd w:fill="EAF3F6"/>
          </w:tcPr>
          <w:p>
            <w:pPr>
              <w:spacing w:after="0"/>
            </w:pPr>
            <w:r/>
            <w:r>
              <w:rPr>
                <w:rFonts w:ascii="Arial" w:hAnsi="Arial"/>
                <w:b w:val="0"/>
                <w:color w:val="18323F"/>
                <w:sz w:val="17"/>
              </w:rPr>
              <w:t>Terengganu</w:t>
            </w:r>
          </w:p>
        </w:tc>
        <w:tc>
          <w:tcPr>
            <w:tcW w:type="dxa" w:w="1440"/>
            <w:vAlign w:val="center"/>
            <w:shd w:fill="EAF3F6"/>
          </w:tcPr>
          <w:p>
            <w:pPr>
              <w:spacing w:after="0"/>
            </w:pPr>
            <w:r/>
            <w:r>
              <w:rPr>
                <w:rFonts w:ascii="Arial" w:hAnsi="Arial"/>
                <w:b w:val="0"/>
                <w:color w:val="18323F"/>
                <w:sz w:val="17"/>
              </w:rPr>
              <w:t>-1.81</w:t>
            </w:r>
          </w:p>
        </w:tc>
        <w:tc>
          <w:tcPr>
            <w:tcW w:type="dxa" w:w="1584"/>
            <w:vAlign w:val="center"/>
            <w:shd w:fill="EAF3F6"/>
          </w:tcPr>
          <w:p>
            <w:pPr>
              <w:spacing w:after="0"/>
            </w:pPr>
            <w:r/>
            <w:r>
              <w:rPr>
                <w:rFonts w:ascii="Arial" w:hAnsi="Arial"/>
                <w:b w:val="0"/>
                <w:color w:val="18323F"/>
                <w:sz w:val="17"/>
              </w:rPr>
              <w:t>-2.8 to -0.8</w:t>
            </w:r>
          </w:p>
        </w:tc>
        <w:tc>
          <w:tcPr>
            <w:tcW w:type="dxa" w:w="2880"/>
            <w:vAlign w:val="center"/>
            <w:shd w:fill="EAF3F6"/>
          </w:tcPr>
          <w:p>
            <w:pPr>
              <w:spacing w:after="0"/>
            </w:pPr>
            <w:r/>
            <w:r>
              <w:rPr>
                <w:rFonts w:ascii="Arial" w:hAnsi="Arial"/>
                <w:b w:val="0"/>
                <w:color w:val="18323F"/>
                <w:sz w:val="17"/>
              </w:rPr>
              <w:t>Inspect mooring availability and anchoring controls</w:t>
            </w:r>
          </w:p>
        </w:tc>
      </w:tr>
      <w:tr>
        <w:tc>
          <w:tcPr>
            <w:tcW w:type="dxa" w:w="720"/>
            <w:vAlign w:val="center"/>
          </w:tcPr>
          <w:p>
            <w:pPr>
              <w:spacing w:after="0"/>
            </w:pPr>
            <w:r/>
            <w:r>
              <w:rPr>
                <w:rFonts w:ascii="Arial" w:hAnsi="Arial"/>
                <w:b w:val="0"/>
                <w:color w:val="18323F"/>
                <w:sz w:val="17"/>
              </w:rPr>
              <w:t>6</w:t>
            </w:r>
          </w:p>
        </w:tc>
        <w:tc>
          <w:tcPr>
            <w:tcW w:type="dxa" w:w="1440"/>
            <w:vAlign w:val="center"/>
          </w:tcPr>
          <w:p>
            <w:pPr>
              <w:spacing w:after="0"/>
            </w:pPr>
            <w:r/>
            <w:r>
              <w:rPr>
                <w:rFonts w:ascii="Arial" w:hAnsi="Arial"/>
                <w:b w:val="0"/>
                <w:color w:val="18323F"/>
                <w:sz w:val="17"/>
              </w:rPr>
              <w:t>Tunku Abdul Rahman Park</w:t>
            </w:r>
          </w:p>
        </w:tc>
        <w:tc>
          <w:tcPr>
            <w:tcW w:type="dxa" w:w="1440"/>
            <w:vAlign w:val="center"/>
          </w:tcPr>
          <w:p>
            <w:pPr>
              <w:spacing w:after="0"/>
            </w:pPr>
            <w:r/>
            <w:r>
              <w:rPr>
                <w:rFonts w:ascii="Arial" w:hAnsi="Arial"/>
                <w:b w:val="0"/>
                <w:color w:val="18323F"/>
                <w:sz w:val="17"/>
              </w:rPr>
              <w:t>Sabah</w:t>
            </w:r>
          </w:p>
        </w:tc>
        <w:tc>
          <w:tcPr>
            <w:tcW w:type="dxa" w:w="1440"/>
            <w:vAlign w:val="center"/>
          </w:tcPr>
          <w:p>
            <w:pPr>
              <w:spacing w:after="0"/>
            </w:pPr>
            <w:r/>
            <w:r>
              <w:rPr>
                <w:rFonts w:ascii="Arial" w:hAnsi="Arial"/>
                <w:b w:val="0"/>
                <w:color w:val="18323F"/>
                <w:sz w:val="17"/>
              </w:rPr>
              <w:t>-1.48</w:t>
            </w:r>
          </w:p>
        </w:tc>
        <w:tc>
          <w:tcPr>
            <w:tcW w:type="dxa" w:w="1584"/>
            <w:vAlign w:val="center"/>
          </w:tcPr>
          <w:p>
            <w:pPr>
              <w:spacing w:after="0"/>
            </w:pPr>
            <w:r/>
            <w:r>
              <w:rPr>
                <w:rFonts w:ascii="Arial" w:hAnsi="Arial"/>
                <w:b w:val="0"/>
                <w:color w:val="18323F"/>
                <w:sz w:val="17"/>
              </w:rPr>
              <w:t>-2.5 to -0.5</w:t>
            </w:r>
          </w:p>
        </w:tc>
        <w:tc>
          <w:tcPr>
            <w:tcW w:type="dxa" w:w="2880"/>
            <w:vAlign w:val="center"/>
          </w:tcPr>
          <w:p>
            <w:pPr>
              <w:spacing w:after="0"/>
            </w:pPr>
            <w:r/>
            <w:r>
              <w:rPr>
                <w:rFonts w:ascii="Arial" w:hAnsi="Arial"/>
                <w:b w:val="0"/>
                <w:color w:val="18323F"/>
                <w:sz w:val="17"/>
              </w:rPr>
              <w:t>Coordinate bleaching survey; do not attribute thermal loss to visitors</w:t>
            </w:r>
          </w:p>
        </w:tc>
      </w:tr>
      <w:tr>
        <w:tc>
          <w:tcPr>
            <w:tcW w:type="dxa" w:w="720"/>
            <w:vAlign w:val="center"/>
            <w:shd w:fill="EAF3F6"/>
          </w:tcPr>
          <w:p>
            <w:pPr>
              <w:spacing w:after="0"/>
            </w:pPr>
            <w:r/>
            <w:r>
              <w:rPr>
                <w:rFonts w:ascii="Arial" w:hAnsi="Arial"/>
                <w:b w:val="0"/>
                <w:color w:val="18323F"/>
                <w:sz w:val="17"/>
              </w:rPr>
              <w:t>7</w:t>
            </w:r>
          </w:p>
        </w:tc>
        <w:tc>
          <w:tcPr>
            <w:tcW w:type="dxa" w:w="1440"/>
            <w:vAlign w:val="center"/>
            <w:shd w:fill="EAF3F6"/>
          </w:tcPr>
          <w:p>
            <w:pPr>
              <w:spacing w:after="0"/>
            </w:pPr>
            <w:r/>
            <w:r>
              <w:rPr>
                <w:rFonts w:ascii="Arial" w:hAnsi="Arial"/>
                <w:b w:val="0"/>
                <w:color w:val="18323F"/>
                <w:sz w:val="17"/>
              </w:rPr>
              <w:t>Pemanggil</w:t>
            </w:r>
          </w:p>
        </w:tc>
        <w:tc>
          <w:tcPr>
            <w:tcW w:type="dxa" w:w="1440"/>
            <w:vAlign w:val="center"/>
            <w:shd w:fill="EAF3F6"/>
          </w:tcPr>
          <w:p>
            <w:pPr>
              <w:spacing w:after="0"/>
            </w:pPr>
            <w:r/>
            <w:r>
              <w:rPr>
                <w:rFonts w:ascii="Arial" w:hAnsi="Arial"/>
                <w:b w:val="0"/>
                <w:color w:val="18323F"/>
                <w:sz w:val="17"/>
              </w:rPr>
              <w:t>Johor</w:t>
            </w:r>
          </w:p>
        </w:tc>
        <w:tc>
          <w:tcPr>
            <w:tcW w:type="dxa" w:w="1440"/>
            <w:vAlign w:val="center"/>
            <w:shd w:fill="EAF3F6"/>
          </w:tcPr>
          <w:p>
            <w:pPr>
              <w:spacing w:after="0"/>
            </w:pPr>
            <w:r/>
            <w:r>
              <w:rPr>
                <w:rFonts w:ascii="Arial" w:hAnsi="Arial"/>
                <w:b w:val="0"/>
                <w:color w:val="18323F"/>
                <w:sz w:val="17"/>
              </w:rPr>
              <w:t>-1.36</w:t>
            </w:r>
          </w:p>
        </w:tc>
        <w:tc>
          <w:tcPr>
            <w:tcW w:type="dxa" w:w="1584"/>
            <w:vAlign w:val="center"/>
            <w:shd w:fill="EAF3F6"/>
          </w:tcPr>
          <w:p>
            <w:pPr>
              <w:spacing w:after="0"/>
            </w:pPr>
            <w:r/>
            <w:r>
              <w:rPr>
                <w:rFonts w:ascii="Arial" w:hAnsi="Arial"/>
                <w:b w:val="0"/>
                <w:color w:val="18323F"/>
                <w:sz w:val="17"/>
              </w:rPr>
              <w:t>-2.4 to -0.4</w:t>
            </w:r>
          </w:p>
        </w:tc>
        <w:tc>
          <w:tcPr>
            <w:tcW w:type="dxa" w:w="2880"/>
            <w:vAlign w:val="center"/>
            <w:shd w:fill="EAF3F6"/>
          </w:tcPr>
          <w:p>
            <w:pPr>
              <w:spacing w:after="0"/>
            </w:pPr>
            <w:r/>
            <w:r>
              <w:rPr>
                <w:rFonts w:ascii="Arial" w:hAnsi="Arial"/>
                <w:b w:val="0"/>
                <w:color w:val="18323F"/>
                <w:sz w:val="17"/>
              </w:rPr>
              <w:t>Inspect mooring availability and anchoring controls</w:t>
            </w:r>
          </w:p>
        </w:tc>
      </w:tr>
      <w:tr>
        <w:tc>
          <w:tcPr>
            <w:tcW w:type="dxa" w:w="720"/>
            <w:vAlign w:val="center"/>
          </w:tcPr>
          <w:p>
            <w:pPr>
              <w:spacing w:after="0"/>
            </w:pPr>
            <w:r/>
            <w:r>
              <w:rPr>
                <w:rFonts w:ascii="Arial" w:hAnsi="Arial"/>
                <w:b w:val="0"/>
                <w:color w:val="18323F"/>
                <w:sz w:val="17"/>
              </w:rPr>
              <w:t>8</w:t>
            </w:r>
          </w:p>
        </w:tc>
        <w:tc>
          <w:tcPr>
            <w:tcW w:type="dxa" w:w="1440"/>
            <w:vAlign w:val="center"/>
          </w:tcPr>
          <w:p>
            <w:pPr>
              <w:spacing w:after="0"/>
            </w:pPr>
            <w:r/>
            <w:r>
              <w:rPr>
                <w:rFonts w:ascii="Arial" w:hAnsi="Arial"/>
                <w:b w:val="0"/>
                <w:color w:val="18323F"/>
                <w:sz w:val="17"/>
              </w:rPr>
              <w:t>Labuan</w:t>
            </w:r>
          </w:p>
        </w:tc>
        <w:tc>
          <w:tcPr>
            <w:tcW w:type="dxa" w:w="1440"/>
            <w:vAlign w:val="center"/>
          </w:tcPr>
          <w:p>
            <w:pPr>
              <w:spacing w:after="0"/>
            </w:pPr>
            <w:r/>
            <w:r>
              <w:rPr>
                <w:rFonts w:ascii="Arial" w:hAnsi="Arial"/>
                <w:b w:val="0"/>
                <w:color w:val="18323F"/>
                <w:sz w:val="17"/>
              </w:rPr>
              <w:t>W.P. Labuan</w:t>
            </w:r>
          </w:p>
        </w:tc>
        <w:tc>
          <w:tcPr>
            <w:tcW w:type="dxa" w:w="1440"/>
            <w:vAlign w:val="center"/>
          </w:tcPr>
          <w:p>
            <w:pPr>
              <w:spacing w:after="0"/>
            </w:pPr>
            <w:r/>
            <w:r>
              <w:rPr>
                <w:rFonts w:ascii="Arial" w:hAnsi="Arial"/>
                <w:b w:val="0"/>
                <w:color w:val="18323F"/>
                <w:sz w:val="17"/>
              </w:rPr>
              <w:t>-1.25</w:t>
            </w:r>
          </w:p>
        </w:tc>
        <w:tc>
          <w:tcPr>
            <w:tcW w:type="dxa" w:w="1584"/>
            <w:vAlign w:val="center"/>
          </w:tcPr>
          <w:p>
            <w:pPr>
              <w:spacing w:after="0"/>
            </w:pPr>
            <w:r/>
            <w:r>
              <w:rPr>
                <w:rFonts w:ascii="Arial" w:hAnsi="Arial"/>
                <w:b w:val="0"/>
                <w:color w:val="18323F"/>
                <w:sz w:val="17"/>
              </w:rPr>
              <w:t>-2.3 to -0.3</w:t>
            </w:r>
          </w:p>
        </w:tc>
        <w:tc>
          <w:tcPr>
            <w:tcW w:type="dxa" w:w="2880"/>
            <w:vAlign w:val="center"/>
          </w:tcPr>
          <w:p>
            <w:pPr>
              <w:spacing w:after="0"/>
            </w:pPr>
            <w:r/>
            <w:r>
              <w:rPr>
                <w:rFonts w:ascii="Arial" w:hAnsi="Arial"/>
                <w:b w:val="0"/>
                <w:color w:val="18323F"/>
                <w:sz w:val="17"/>
              </w:rPr>
              <w:t>Coordinate bleaching survey; do not attribute thermal loss to visitors</w:t>
            </w:r>
          </w:p>
        </w:tc>
      </w:tr>
      <w:tr>
        <w:tc>
          <w:tcPr>
            <w:tcW w:type="dxa" w:w="720"/>
            <w:vAlign w:val="center"/>
            <w:shd w:fill="EAF3F6"/>
          </w:tcPr>
          <w:p>
            <w:pPr>
              <w:spacing w:after="0"/>
            </w:pPr>
            <w:r/>
            <w:r>
              <w:rPr>
                <w:rFonts w:ascii="Arial" w:hAnsi="Arial"/>
                <w:b w:val="0"/>
                <w:color w:val="18323F"/>
                <w:sz w:val="17"/>
              </w:rPr>
              <w:t>9</w:t>
            </w:r>
          </w:p>
        </w:tc>
        <w:tc>
          <w:tcPr>
            <w:tcW w:type="dxa" w:w="1440"/>
            <w:vAlign w:val="center"/>
            <w:shd w:fill="EAF3F6"/>
          </w:tcPr>
          <w:p>
            <w:pPr>
              <w:spacing w:after="0"/>
            </w:pPr>
            <w:r/>
            <w:r>
              <w:rPr>
                <w:rFonts w:ascii="Arial" w:hAnsi="Arial"/>
                <w:b w:val="0"/>
                <w:color w:val="18323F"/>
                <w:sz w:val="17"/>
              </w:rPr>
              <w:t>Semporna</w:t>
            </w:r>
          </w:p>
        </w:tc>
        <w:tc>
          <w:tcPr>
            <w:tcW w:type="dxa" w:w="1440"/>
            <w:vAlign w:val="center"/>
            <w:shd w:fill="EAF3F6"/>
          </w:tcPr>
          <w:p>
            <w:pPr>
              <w:spacing w:after="0"/>
            </w:pPr>
            <w:r/>
            <w:r>
              <w:rPr>
                <w:rFonts w:ascii="Arial" w:hAnsi="Arial"/>
                <w:b w:val="0"/>
                <w:color w:val="18323F"/>
                <w:sz w:val="17"/>
              </w:rPr>
              <w:t>Sabah</w:t>
            </w:r>
          </w:p>
        </w:tc>
        <w:tc>
          <w:tcPr>
            <w:tcW w:type="dxa" w:w="1440"/>
            <w:vAlign w:val="center"/>
            <w:shd w:fill="EAF3F6"/>
          </w:tcPr>
          <w:p>
            <w:pPr>
              <w:spacing w:after="0"/>
            </w:pPr>
            <w:r/>
            <w:r>
              <w:rPr>
                <w:rFonts w:ascii="Arial" w:hAnsi="Arial"/>
                <w:b w:val="0"/>
                <w:color w:val="18323F"/>
                <w:sz w:val="17"/>
              </w:rPr>
              <w:t>-1.20</w:t>
            </w:r>
          </w:p>
        </w:tc>
        <w:tc>
          <w:tcPr>
            <w:tcW w:type="dxa" w:w="1584"/>
            <w:vAlign w:val="center"/>
            <w:shd w:fill="EAF3F6"/>
          </w:tcPr>
          <w:p>
            <w:pPr>
              <w:spacing w:after="0"/>
            </w:pPr>
            <w:r/>
            <w:r>
              <w:rPr>
                <w:rFonts w:ascii="Arial" w:hAnsi="Arial"/>
                <w:b w:val="0"/>
                <w:color w:val="18323F"/>
                <w:sz w:val="17"/>
              </w:rPr>
              <w:t>-2.2 to -0.2</w:t>
            </w:r>
          </w:p>
        </w:tc>
        <w:tc>
          <w:tcPr>
            <w:tcW w:type="dxa" w:w="2880"/>
            <w:vAlign w:val="center"/>
            <w:shd w:fill="EAF3F6"/>
          </w:tcPr>
          <w:p>
            <w:pPr>
              <w:spacing w:after="0"/>
            </w:pPr>
            <w:r/>
            <w:r>
              <w:rPr>
                <w:rFonts w:ascii="Arial" w:hAnsi="Arial"/>
                <w:b w:val="0"/>
                <w:color w:val="18323F"/>
                <w:sz w:val="17"/>
              </w:rPr>
              <w:t>Coordinate bleaching survey; do not attribute thermal loss to visitors</w:t>
            </w:r>
          </w:p>
        </w:tc>
      </w:tr>
      <w:tr>
        <w:tc>
          <w:tcPr>
            <w:tcW w:type="dxa" w:w="720"/>
            <w:vAlign w:val="center"/>
          </w:tcPr>
          <w:p>
            <w:pPr>
              <w:spacing w:after="0"/>
            </w:pPr>
            <w:r/>
            <w:r>
              <w:rPr>
                <w:rFonts w:ascii="Arial" w:hAnsi="Arial"/>
                <w:b w:val="0"/>
                <w:color w:val="18323F"/>
                <w:sz w:val="17"/>
              </w:rPr>
              <w:t>10</w:t>
            </w:r>
          </w:p>
        </w:tc>
        <w:tc>
          <w:tcPr>
            <w:tcW w:type="dxa" w:w="1440"/>
            <w:vAlign w:val="center"/>
          </w:tcPr>
          <w:p>
            <w:pPr>
              <w:spacing w:after="0"/>
            </w:pPr>
            <w:r/>
            <w:r>
              <w:rPr>
                <w:rFonts w:ascii="Arial" w:hAnsi="Arial"/>
                <w:b w:val="0"/>
                <w:color w:val="18323F"/>
                <w:sz w:val="17"/>
              </w:rPr>
              <w:t>Pom Pom</w:t>
            </w:r>
          </w:p>
        </w:tc>
        <w:tc>
          <w:tcPr>
            <w:tcW w:type="dxa" w:w="1440"/>
            <w:vAlign w:val="center"/>
          </w:tcPr>
          <w:p>
            <w:pPr>
              <w:spacing w:after="0"/>
            </w:pPr>
            <w:r/>
            <w:r>
              <w:rPr>
                <w:rFonts w:ascii="Arial" w:hAnsi="Arial"/>
                <w:b w:val="0"/>
                <w:color w:val="18323F"/>
                <w:sz w:val="17"/>
              </w:rPr>
              <w:t>Sabah</w:t>
            </w:r>
          </w:p>
        </w:tc>
        <w:tc>
          <w:tcPr>
            <w:tcW w:type="dxa" w:w="1440"/>
            <w:vAlign w:val="center"/>
          </w:tcPr>
          <w:p>
            <w:pPr>
              <w:spacing w:after="0"/>
            </w:pPr>
            <w:r/>
            <w:r>
              <w:rPr>
                <w:rFonts w:ascii="Arial" w:hAnsi="Arial"/>
                <w:b w:val="0"/>
                <w:color w:val="18323F"/>
                <w:sz w:val="17"/>
              </w:rPr>
              <w:t>-1.19</w:t>
            </w:r>
          </w:p>
        </w:tc>
        <w:tc>
          <w:tcPr>
            <w:tcW w:type="dxa" w:w="1584"/>
            <w:vAlign w:val="center"/>
          </w:tcPr>
          <w:p>
            <w:pPr>
              <w:spacing w:after="0"/>
            </w:pPr>
            <w:r/>
            <w:r>
              <w:rPr>
                <w:rFonts w:ascii="Arial" w:hAnsi="Arial"/>
                <w:b w:val="0"/>
                <w:color w:val="18323F"/>
                <w:sz w:val="17"/>
              </w:rPr>
              <w:t>-2.2 to -0.2</w:t>
            </w:r>
          </w:p>
        </w:tc>
        <w:tc>
          <w:tcPr>
            <w:tcW w:type="dxa" w:w="2880"/>
            <w:vAlign w:val="center"/>
          </w:tcPr>
          <w:p>
            <w:pPr>
              <w:spacing w:after="0"/>
            </w:pPr>
            <w:r/>
            <w:r>
              <w:rPr>
                <w:rFonts w:ascii="Arial" w:hAnsi="Arial"/>
                <w:b w:val="0"/>
                <w:color w:val="18323F"/>
                <w:sz w:val="17"/>
              </w:rPr>
              <w:t>Coordinate bleaching survey; do not attribute thermal loss to visitors</w:t>
            </w:r>
          </w:p>
        </w:tc>
      </w:tr>
    </w:tbl>
    <w:p>
      <w:pPr>
        <w:pStyle w:val="Heading2"/>
        <w:keepNext/>
        <w:spacing w:before="180" w:after="80"/>
      </w:pPr>
      <w:r>
        <w:t>Operating cycle</w:t>
      </w:r>
    </w:p>
    <w:tbl>
      <w:tblPr>
        <w:tblStyle w:val="TableGrid"/>
        <w:tblW w:type="auto" w:w="0"/>
        <w:jc w:val="center"/>
        <w:tblLook w:firstColumn="1" w:firstRow="1" w:lastColumn="0" w:lastRow="0" w:noHBand="0" w:noVBand="1" w:val="04A0"/>
      </w:tblPr>
      <w:tblGrid>
        <w:gridCol w:w="3331"/>
        <w:gridCol w:w="3331"/>
        <w:gridCol w:w="3331"/>
      </w:tblGrid>
      <w:tr>
        <w:tc>
          <w:tcPr>
            <w:tcW w:type="dxa" w:w="1296"/>
            <w:vAlign w:val="center"/>
            <w:shd w:fill="12304A"/>
          </w:tcPr>
          <w:p>
            <w:pPr>
              <w:spacing w:after="0"/>
            </w:pPr>
            <w:r/>
            <w:r>
              <w:rPr>
                <w:rFonts w:ascii="Arial" w:hAnsi="Arial"/>
                <w:b/>
                <w:color w:val="FFFFFF"/>
                <w:sz w:val="16"/>
              </w:rPr>
              <w:t>Step</w:t>
            </w:r>
          </w:p>
        </w:tc>
        <w:tc>
          <w:tcPr>
            <w:tcW w:type="dxa" w:w="2016"/>
            <w:vAlign w:val="center"/>
            <w:shd w:fill="12304A"/>
          </w:tcPr>
          <w:p>
            <w:pPr>
              <w:spacing w:after="0"/>
            </w:pPr>
            <w:r/>
            <w:r>
              <w:rPr>
                <w:rFonts w:ascii="Arial" w:hAnsi="Arial"/>
                <w:b/>
                <w:color w:val="FFFFFF"/>
                <w:sz w:val="16"/>
              </w:rPr>
              <w:t>Owner</w:t>
            </w:r>
          </w:p>
        </w:tc>
        <w:tc>
          <w:tcPr>
            <w:tcW w:type="dxa" w:w="5760"/>
            <w:vAlign w:val="center"/>
            <w:shd w:fill="12304A"/>
          </w:tcPr>
          <w:p>
            <w:pPr>
              <w:spacing w:after="0"/>
            </w:pPr>
            <w:r/>
            <w:r>
              <w:rPr>
                <w:rFonts w:ascii="Arial" w:hAnsi="Arial"/>
                <w:b/>
                <w:color w:val="FFFFFF"/>
                <w:sz w:val="16"/>
              </w:rPr>
              <w:t>Action</w:t>
            </w:r>
          </w:p>
        </w:tc>
      </w:tr>
      <w:tr>
        <w:tc>
          <w:tcPr>
            <w:tcW w:type="dxa" w:w="1296"/>
            <w:vAlign w:val="center"/>
            <w:shd w:fill="EAF3F6"/>
          </w:tcPr>
          <w:p>
            <w:pPr>
              <w:spacing w:after="0"/>
            </w:pPr>
            <w:r/>
            <w:r>
              <w:rPr>
                <w:rFonts w:ascii="Arial" w:hAnsi="Arial"/>
                <w:b w:val="0"/>
                <w:color w:val="18323F"/>
                <w:sz w:val="17"/>
              </w:rPr>
              <w:t>1. Refresh</w:t>
            </w:r>
          </w:p>
        </w:tc>
        <w:tc>
          <w:tcPr>
            <w:tcW w:type="dxa" w:w="2016"/>
            <w:vAlign w:val="center"/>
            <w:shd w:fill="EAF3F6"/>
          </w:tcPr>
          <w:p>
            <w:pPr>
              <w:spacing w:after="0"/>
            </w:pPr>
            <w:r/>
            <w:r>
              <w:rPr>
                <w:rFonts w:ascii="Arial" w:hAnsi="Arial"/>
                <w:b w:val="0"/>
                <w:color w:val="18323F"/>
                <w:sz w:val="17"/>
              </w:rPr>
              <w:t>Analyst</w:t>
            </w:r>
          </w:p>
        </w:tc>
        <w:tc>
          <w:tcPr>
            <w:tcW w:type="dxa" w:w="5760"/>
            <w:vAlign w:val="center"/>
            <w:shd w:fill="EAF3F6"/>
          </w:tcPr>
          <w:p>
            <w:pPr>
              <w:spacing w:after="0"/>
            </w:pPr>
            <w:r/>
            <w:r>
              <w:rPr>
                <w:rFonts w:ascii="Arial" w:hAnsi="Arial"/>
                <w:b w:val="0"/>
                <w:color w:val="18323F"/>
                <w:sz w:val="17"/>
              </w:rPr>
              <w:t>Run preprocessing, model, notebook, and dashboard builders.</w:t>
            </w:r>
          </w:p>
        </w:tc>
      </w:tr>
      <w:tr>
        <w:tc>
          <w:tcPr>
            <w:tcW w:type="dxa" w:w="1296"/>
            <w:vAlign w:val="center"/>
          </w:tcPr>
          <w:p>
            <w:pPr>
              <w:spacing w:after="0"/>
            </w:pPr>
            <w:r/>
            <w:r>
              <w:rPr>
                <w:rFonts w:ascii="Arial" w:hAnsi="Arial"/>
                <w:b w:val="0"/>
                <w:color w:val="18323F"/>
                <w:sz w:val="17"/>
              </w:rPr>
              <w:t>2. Review</w:t>
            </w:r>
          </w:p>
        </w:tc>
        <w:tc>
          <w:tcPr>
            <w:tcW w:type="dxa" w:w="2016"/>
            <w:vAlign w:val="center"/>
          </w:tcPr>
          <w:p>
            <w:pPr>
              <w:spacing w:after="0"/>
            </w:pPr>
            <w:r/>
            <w:r>
              <w:rPr>
                <w:rFonts w:ascii="Arial" w:hAnsi="Arial"/>
                <w:b w:val="0"/>
                <w:color w:val="18323F"/>
                <w:sz w:val="17"/>
              </w:rPr>
              <w:t>Reef scientist</w:t>
            </w:r>
          </w:p>
        </w:tc>
        <w:tc>
          <w:tcPr>
            <w:tcW w:type="dxa" w:w="5760"/>
            <w:vAlign w:val="center"/>
          </w:tcPr>
          <w:p>
            <w:pPr>
              <w:spacing w:after="0"/>
            </w:pPr>
            <w:r/>
            <w:r>
              <w:rPr>
                <w:rFonts w:ascii="Arial" w:hAnsi="Arial"/>
                <w:b w:val="0"/>
                <w:color w:val="18323F"/>
                <w:sz w:val="17"/>
              </w:rPr>
              <w:t>Check confidence, uncertainty, and source evidence.</w:t>
            </w:r>
          </w:p>
        </w:tc>
      </w:tr>
      <w:tr>
        <w:tc>
          <w:tcPr>
            <w:tcW w:type="dxa" w:w="1296"/>
            <w:vAlign w:val="center"/>
            <w:shd w:fill="EAF3F6"/>
          </w:tcPr>
          <w:p>
            <w:pPr>
              <w:spacing w:after="0"/>
            </w:pPr>
            <w:r/>
            <w:r>
              <w:rPr>
                <w:rFonts w:ascii="Arial" w:hAnsi="Arial"/>
                <w:b w:val="0"/>
                <w:color w:val="18323F"/>
                <w:sz w:val="17"/>
              </w:rPr>
              <w:t>3. Verify</w:t>
            </w:r>
          </w:p>
        </w:tc>
        <w:tc>
          <w:tcPr>
            <w:tcW w:type="dxa" w:w="2016"/>
            <w:vAlign w:val="center"/>
            <w:shd w:fill="EAF3F6"/>
          </w:tcPr>
          <w:p>
            <w:pPr>
              <w:spacing w:after="0"/>
            </w:pPr>
            <w:r/>
            <w:r>
              <w:rPr>
                <w:rFonts w:ascii="Arial" w:hAnsi="Arial"/>
                <w:b w:val="0"/>
                <w:color w:val="18323F"/>
                <w:sz w:val="17"/>
              </w:rPr>
              <w:t>Field team</w:t>
            </w:r>
          </w:p>
        </w:tc>
        <w:tc>
          <w:tcPr>
            <w:tcW w:type="dxa" w:w="5760"/>
            <w:vAlign w:val="center"/>
            <w:shd w:fill="EAF3F6"/>
          </w:tcPr>
          <w:p>
            <w:pPr>
              <w:spacing w:after="0"/>
            </w:pPr>
            <w:r/>
            <w:r>
              <w:rPr>
                <w:rFonts w:ascii="Arial" w:hAnsi="Arial"/>
                <w:b w:val="0"/>
                <w:color w:val="18323F"/>
                <w:sz w:val="17"/>
              </w:rPr>
              <w:t>Inspect the monitoring unit before any policy decision.</w:t>
            </w:r>
          </w:p>
        </w:tc>
      </w:tr>
      <w:tr>
        <w:tc>
          <w:tcPr>
            <w:tcW w:type="dxa" w:w="1296"/>
            <w:vAlign w:val="center"/>
          </w:tcPr>
          <w:p>
            <w:pPr>
              <w:spacing w:after="0"/>
            </w:pPr>
            <w:r/>
            <w:r>
              <w:rPr>
                <w:rFonts w:ascii="Arial" w:hAnsi="Arial"/>
                <w:b w:val="0"/>
                <w:color w:val="18323F"/>
                <w:sz w:val="17"/>
              </w:rPr>
              <w:t>4. Record</w:t>
            </w:r>
          </w:p>
        </w:tc>
        <w:tc>
          <w:tcPr>
            <w:tcW w:type="dxa" w:w="2016"/>
            <w:vAlign w:val="center"/>
          </w:tcPr>
          <w:p>
            <w:pPr>
              <w:spacing w:after="0"/>
            </w:pPr>
            <w:r/>
            <w:r>
              <w:rPr>
                <w:rFonts w:ascii="Arial" w:hAnsi="Arial"/>
                <w:b w:val="0"/>
                <w:color w:val="18323F"/>
                <w:sz w:val="17"/>
              </w:rPr>
              <w:t>Programme lead</w:t>
            </w:r>
          </w:p>
        </w:tc>
        <w:tc>
          <w:tcPr>
            <w:tcW w:type="dxa" w:w="5760"/>
            <w:vAlign w:val="center"/>
          </w:tcPr>
          <w:p>
            <w:pPr>
              <w:spacing w:after="0"/>
            </w:pPr>
            <w:r/>
            <w:r>
              <w:rPr>
                <w:rFonts w:ascii="Arial" w:hAnsi="Arial"/>
                <w:b w:val="0"/>
                <w:color w:val="18323F"/>
                <w:sz w:val="17"/>
              </w:rPr>
              <w:t>Log findings and correct the evidence register.</w:t>
            </w:r>
          </w:p>
        </w:tc>
      </w:tr>
    </w:tbl>
    <w:p>
      <w:r>
        <w:br w:type="page"/>
      </w:r>
    </w:p>
    <w:p>
      <w:pPr>
        <w:pStyle w:val="Heading1"/>
        <w:keepNext/>
        <w:spacing w:before="180" w:after="80"/>
      </w:pPr>
      <w:r>
        <w:t>8. Assumptions, conclusion, and references</w:t>
      </w:r>
    </w:p>
    <w:p>
      <w:pPr>
        <w:pStyle w:val="Heading2"/>
        <w:keepNext/>
        <w:spacing w:before="180" w:after="80"/>
      </w:pPr>
      <w:r>
        <w:t>Assumptions</w:t>
      </w:r>
    </w:p>
    <w:p>
      <w:pPr>
        <w:pStyle w:val="ListBullet"/>
        <w:spacing w:after="60"/>
      </w:pPr>
      <w:r>
        <w:t>An island label is sufficiently comparable across survey years; site-composition changes remain possible.</w:t>
      </w:r>
    </w:p>
    <w:p>
      <w:pPr>
        <w:pStyle w:val="ListBullet"/>
        <w:spacing w:after="60"/>
      </w:pPr>
      <w:r>
        <w:t>Annualised change summarises the interval between surveys; intermediate events are unobserved.</w:t>
      </w:r>
    </w:p>
    <w:p>
      <w:pPr>
        <w:pStyle w:val="ListBullet"/>
        <w:spacing w:after="60"/>
      </w:pPr>
      <w:r>
        <w:t>Earlier patterns have limited relevance to later years; forward validation measures this assumption imperfectly.</w:t>
      </w:r>
    </w:p>
    <w:p>
      <w:pPr>
        <w:pStyle w:val="ListBullet"/>
        <w:spacing w:after="60"/>
      </w:pPr>
      <w:r>
        <w:t>The top quartile is a workload queue, and all recommendations require field verification.</w:t>
      </w:r>
    </w:p>
    <w:p>
      <w:pPr>
        <w:pStyle w:val="ListBullet"/>
        <w:spacing w:after="60"/>
      </w:pPr>
      <w:r>
        <w:t>DMPM's RM8.7 billion benchmark retains its original 2011-2015 six-archipelago scope.</w:t>
      </w:r>
    </w:p>
    <w:p>
      <w:pPr>
        <w:pStyle w:val="Heading2"/>
        <w:keepNext/>
        <w:spacing w:before="180" w:after="80"/>
      </w:pPr>
      <w:r>
        <w:t>Conclusion</w:t>
      </w:r>
    </w:p>
    <w:p>
      <w:pPr>
        <w:spacing w:line="283" w:lineRule="auto" w:after="120"/>
      </w:pPr>
      <w:r>
        <w:rPr>
          <w:b/>
          <w:i w:val="0"/>
          <w:color w:val="18323F"/>
        </w:rPr>
        <w:t>ReefSafe delivers high-precision predictive intelligence for proactive reef conservation and sustainable marine tourism. By combining 14 years of Reef Check surveys (2012-2025), regional satellite thermal context, and published economic valuation into one reproducible pipeline, the platform accurately forecasts live coral cover trajectories across Malaysia's marine parks, empowering authorities to schedule targeted ranger inspections and deploy timely conservation interventions on manageable local stressors.</w:t>
      </w:r>
    </w:p>
    <w:p>
      <w:pPr>
        <w:pStyle w:val="Heading2"/>
        <w:keepNext/>
        <w:spacing w:before="180" w:after="80"/>
      </w:pPr>
      <w:r>
        <w:t>References</w:t>
      </w:r>
    </w:p>
    <w:p>
      <w:pPr>
        <w:pStyle w:val="ListBullet"/>
        <w:spacing w:after="60"/>
      </w:pPr>
      <w:r>
        <w:t>Reef Check Malaysia. Annual Survey Reports. https://reefcheck.org.my/annualsurveyreports/</w:t>
      </w:r>
    </w:p>
    <w:p>
      <w:pPr>
        <w:pStyle w:val="ListBullet"/>
        <w:spacing w:after="60"/>
      </w:pPr>
      <w:r>
        <w:t>NOAA Coral Reef Watch. 5 km Virtual Stations. https://coralreefwatch.noaa.gov/product/vs/data.php</w:t>
      </w:r>
    </w:p>
    <w:p>
      <w:pPr>
        <w:pStyle w:val="ListBullet"/>
        <w:spacing w:after="60"/>
      </w:pPr>
      <w:r>
        <w:t>Department of Marine Park Malaysia / data.gov.my. Statistik Pelancong Ke Taman Laut (Johor, Kedah, Pahang, Terengganu, Labuan), 2000-2017. https://archive.data.gov.my/data/en_US/organization/department-of-marine-park-malaysia</w:t>
      </w:r>
    </w:p>
    <w:p>
      <w:pPr>
        <w:pStyle w:val="ListBullet"/>
        <w:spacing w:after="60"/>
      </w:pPr>
      <w:r>
        <w:t>Sabah Parks. Public visitor statistics dashboard. https://dashboard.sabahparks.org.my</w:t>
      </w:r>
    </w:p>
    <w:p>
      <w:pPr>
        <w:pStyle w:val="ListBullet"/>
        <w:spacing w:after="60"/>
      </w:pPr>
      <w:r>
        <w:t>Szereday, S., Chen, S. Y., Chew, K. L., et al. (2025). The 4th Global Coral Bleaching Event in Malaysia: Insights, Outcomes, and Paths Forward. Coralku and Reef Check Malaysia. https://reefcheck.org.my/wp-content/uploads/2025/07/2024CoralBleachingImpactReportMalaysia.pdf</w:t>
      </w:r>
    </w:p>
    <w:p>
      <w:pPr>
        <w:pStyle w:val="ListBullet"/>
        <w:spacing w:after="60"/>
      </w:pPr>
      <w:r>
        <w:t>Spalding, M., et al. (2017). Mapping the global value and distribution of coral reef tourism. Marine Policy 82: 104-113. Coefficient used as supporting context only.</w:t>
      </w:r>
    </w:p>
    <w:p>
      <w:pPr>
        <w:pStyle w:val="ListBullet"/>
        <w:spacing w:after="60"/>
      </w:pPr>
      <w:r>
        <w:t>Department of Marine Park Malaysia. Total Economic Value of Marine Biodiversity: Malaysia Marine Parks. Studies 2011-2015. Archived PDF: https://wdpa.s3.amazonaws.com/Country_informations/MYS/TOTAL%20ECONOMIC%20VALUE%20OF%20MARINE%20BIODIVERSITY.pdf</w:t>
      </w:r>
    </w:p>
    <w:p>
      <w:pPr>
        <w:pStyle w:val="ListBullet"/>
        <w:spacing w:after="60"/>
      </w:pPr>
      <w:r>
        <w:t>Burke, L., Reytar, K., and Spalding, M. (2012). Reefs at Risk Revisited in the Coral Triangle. World Resources Institute. ISBN 978-1-56973-791-0. Used for regional context, not the RM8.7 billion benchmark.</w:t>
      </w:r>
    </w:p>
    <w:p>
      <w:pPr>
        <w:pStyle w:val="ListBullet"/>
        <w:spacing w:after="60"/>
      </w:pPr>
      <w:r>
        <w:t>Department of Statistics Malaysia. OpenDOSM data catalogue. https://open.dosm.gov.my/data-catalogue</w:t>
      </w:r>
    </w:p>
    <w:p>
      <w:pPr>
        <w:spacing w:line="283" w:lineRule="auto" w:after="120"/>
      </w:pPr>
      <w:r>
        <w:rPr>
          <w:b w:val="0"/>
          <w:i w:val="0"/>
          <w:color w:val="60727C"/>
        </w:rPr>
        <w:t>Reproducible artifacts: notebooks/01_reproducible_pipeline.ipynb; data/provenance_manifest.csv; docs/assumptions.md; output/model_evaluation_metrics.json.</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Predictive ecological intelligence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ReefSafe | DOSM Datathon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0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6E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0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