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rial" w:hAnsi="Arial"/>
          <w:b/>
          <w:color w:val="12304A"/>
          <w:sz w:val="60"/>
        </w:rPr>
        <w:t>ReefSafe</w:t>
      </w:r>
    </w:p>
    <w:p>
      <w:pPr>
        <w:spacing w:line="283" w:lineRule="auto" w:after="120"/>
        <w:jc w:val="center"/>
      </w:pPr>
      <w:r>
        <w:rPr>
          <w:b/>
          <w:i w:val="0"/>
          <w:color w:val="1F6E8C"/>
        </w:rPr>
        <w:t>Evidence-Bounded Reef Screening for Sustainable Tourism</w:t>
      </w:r>
    </w:p>
    <w:p>
      <w:pPr>
        <w:spacing w:line="283" w:lineRule="auto" w:after="120"/>
        <w:jc w:val="center"/>
      </w:pPr>
      <w:r>
        <w:rPr>
          <w:b w:val="0"/>
          <w:i w:val="0"/>
          <w:color w:val="18323F"/>
        </w:rPr>
        <w:t>Malaysia Data Innovation Talent x DOSM Datathon 2026</w:t>
      </w:r>
    </w:p>
    <w:p>
      <w:pPr>
        <w:spacing w:line="283" w:lineRule="auto" w:after="120"/>
        <w:jc w:val="center"/>
      </w:pPr>
      <w:r>
        <w:rPr>
          <w:b w:val="0"/>
          <w:i/>
          <w:color w:val="18323F"/>
        </w:rPr>
        <w:t>Submission report</w:t>
      </w:r>
    </w:p>
    <w:p>
      <w:r>
        <w:br w:type="page"/>
      </w:r>
    </w:p>
    <w:p>
      <w:pPr>
        <w:pStyle w:val="Heading1"/>
        <w:keepNext/>
        <w:spacing w:before="180" w:after="80"/>
      </w:pPr>
      <w:r>
        <w:t>Executive summary</w:t>
      </w:r>
    </w:p>
    <w:p>
      <w:pPr>
        <w:spacing w:line="283" w:lineRule="auto" w:after="120"/>
      </w:pPr>
      <w:r>
        <w:rPr>
          <w:b w:val="0"/>
          <w:i w:val="0"/>
          <w:color w:val="18323F"/>
        </w:rPr>
        <w:t>ReefSafe converts repeated reef observations into a transparent queue for field verification. It predicts the next observed annualised coral-cover change and pairs the result with source confidence, an empirical uncertainty range, and evidence to verify. It does not estimate legal visitor limits, tourism causality, island revenue, or guaranteed intervention benefits.</w:t>
      </w:r>
    </w:p>
    <w:p>
      <w:pPr>
        <w:pStyle w:val="Heading2"/>
        <w:keepNext/>
        <w:spacing w:before="180" w:after="80"/>
      </w:pPr>
      <w:r>
        <w:t>Four objectives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2304A"/>
          </w:tcPr>
          <w:p>
            <w:pPr>
              <w:spacing w:after="0"/>
            </w:pPr>
            <w:r/>
            <w:r>
              <w:rPr>
                <w:rFonts w:ascii="Arial" w:hAnsi="Arial"/>
                <w:b/>
                <w:color w:val="FFFFFF"/>
                <w:sz w:val="16"/>
              </w:rPr>
              <w:t>Objective</w:t>
            </w:r>
          </w:p>
        </w:tc>
        <w:tc>
          <w:tcPr>
            <w:tcW w:type="dxa" w:w="6336"/>
            <w:vAlign w:val="center"/>
            <w:shd w:fill="12304A"/>
          </w:tcPr>
          <w:p>
            <w:pPr>
              <w:spacing w:after="0"/>
            </w:pPr>
            <w:r/>
            <w:r>
              <w:rPr>
                <w:rFonts w:ascii="Arial" w:hAnsi="Arial"/>
                <w:b/>
                <w:color w:val="FFFFFF"/>
                <w:sz w:val="16"/>
              </w:rPr>
              <w:t>What the project delivers</w:t>
            </w:r>
          </w:p>
        </w:tc>
      </w:tr>
      <w:tr>
        <w:tc>
          <w:tcPr>
            <w:tcW w:type="dxa" w:w="2880"/>
            <w:vAlign w:val="center"/>
            <w:shd w:fill="EAF3F6"/>
          </w:tcPr>
          <w:p>
            <w:pPr>
              <w:spacing w:after="0"/>
            </w:pPr>
            <w:r/>
            <w:r>
              <w:rPr>
                <w:rFonts w:ascii="Arial" w:hAnsi="Arial"/>
                <w:b w:val="0"/>
                <w:color w:val="18323F"/>
                <w:sz w:val="17"/>
              </w:rPr>
              <w:t>1. Identify Associated Factors</w:t>
            </w:r>
          </w:p>
        </w:tc>
        <w:tc>
          <w:tcPr>
            <w:tcW w:type="dxa" w:w="6336"/>
            <w:vAlign w:val="center"/>
            <w:shd w:fill="EAF3F6"/>
          </w:tcPr>
          <w:p>
            <w:pPr>
              <w:spacing w:after="0"/>
            </w:pPr>
            <w:r/>
            <w:r>
              <w:rPr>
                <w:rFonts w:ascii="Arial" w:hAnsi="Arial"/>
                <w:b w:val="0"/>
                <w:color w:val="18323F"/>
                <w:sz w:val="17"/>
              </w:rPr>
              <w:t>Lagged associations for heat, water-quality indicators, and documented local disturbances; no causal attribution.</w:t>
            </w:r>
          </w:p>
        </w:tc>
      </w:tr>
      <w:tr>
        <w:tc>
          <w:tcPr>
            <w:tcW w:type="dxa" w:w="2880"/>
            <w:vAlign w:val="center"/>
          </w:tcPr>
          <w:p>
            <w:pPr>
              <w:spacing w:after="0"/>
            </w:pPr>
            <w:r/>
            <w:r>
              <w:rPr>
                <w:rFonts w:ascii="Arial" w:hAnsi="Arial"/>
                <w:b w:val="0"/>
                <w:color w:val="18323F"/>
                <w:sz w:val="17"/>
              </w:rPr>
              <w:t>2. Compare Available Stressor Evidence</w:t>
            </w:r>
          </w:p>
        </w:tc>
        <w:tc>
          <w:tcPr>
            <w:tcW w:type="dxa" w:w="6336"/>
            <w:vAlign w:val="center"/>
          </w:tcPr>
          <w:p>
            <w:pPr>
              <w:spacing w:after="0"/>
            </w:pPr>
            <w:r/>
            <w:r>
              <w:rPr>
                <w:rFonts w:ascii="Arial" w:hAnsi="Arial"/>
                <w:b w:val="0"/>
                <w:color w:val="18323F"/>
                <w:sz w:val="17"/>
              </w:rPr>
              <w:t>Side-by-side descriptive evidence while stating that tourism's causal percentage is not estimable.</w:t>
            </w:r>
          </w:p>
        </w:tc>
      </w:tr>
      <w:tr>
        <w:tc>
          <w:tcPr>
            <w:tcW w:type="dxa" w:w="2880"/>
            <w:vAlign w:val="center"/>
            <w:shd w:fill="EAF3F6"/>
          </w:tcPr>
          <w:p>
            <w:pPr>
              <w:spacing w:after="0"/>
            </w:pPr>
            <w:r/>
            <w:r>
              <w:rPr>
                <w:rFonts w:ascii="Arial" w:hAnsi="Arial"/>
                <w:b w:val="0"/>
                <w:color w:val="18323F"/>
                <w:sz w:val="17"/>
              </w:rPr>
              <w:t>3. Prioritise Field Verification</w:t>
            </w:r>
          </w:p>
        </w:tc>
        <w:tc>
          <w:tcPr>
            <w:tcW w:type="dxa" w:w="6336"/>
            <w:vAlign w:val="center"/>
            <w:shd w:fill="EAF3F6"/>
          </w:tcPr>
          <w:p>
            <w:pPr>
              <w:spacing w:after="0"/>
            </w:pPr>
            <w:r/>
            <w:r>
              <w:rPr>
                <w:rFonts w:ascii="Arial" w:hAnsi="Arial"/>
                <w:b w:val="0"/>
                <w:color w:val="18323F"/>
                <w:sz w:val="17"/>
              </w:rPr>
              <w:t>A ranked monitoring queue with uncertainty and evidence-matched inspection steps.</w:t>
            </w:r>
          </w:p>
        </w:tc>
      </w:tr>
      <w:tr>
        <w:tc>
          <w:tcPr>
            <w:tcW w:type="dxa" w:w="2880"/>
            <w:vAlign w:val="center"/>
          </w:tcPr>
          <w:p>
            <w:pPr>
              <w:spacing w:after="0"/>
            </w:pPr>
            <w:r/>
            <w:r>
              <w:rPr>
                <w:rFonts w:ascii="Arial" w:hAnsi="Arial"/>
                <w:b w:val="0"/>
                <w:color w:val="18323F"/>
                <w:sz w:val="17"/>
              </w:rPr>
              <w:t>4. Frame Conservation with Economic Context</w:t>
            </w:r>
          </w:p>
        </w:tc>
        <w:tc>
          <w:tcPr>
            <w:tcW w:type="dxa" w:w="6336"/>
            <w:vAlign w:val="center"/>
          </w:tcPr>
          <w:p>
            <w:pPr>
              <w:spacing w:after="0"/>
            </w:pPr>
            <w:r/>
            <w:r>
              <w:rPr>
                <w:rFonts w:ascii="Arial" w:hAnsi="Arial"/>
                <w:b w:val="0"/>
                <w:color w:val="18323F"/>
                <w:sz w:val="17"/>
              </w:rPr>
              <w:t>The published DMPM RM8.7 billion annual benchmark, with its original scope and components.</w:t>
            </w:r>
          </w:p>
        </w:tc>
      </w:tr>
    </w:tbl>
    <w:p>
      <w:pPr>
        <w:pStyle w:val="Heading2"/>
        <w:keepNext/>
        <w:spacing w:before="180" w:after="80"/>
      </w:pPr>
      <w:r>
        <w:t>Headline model result</w:t>
      </w:r>
    </w:p>
    <w:p>
      <w:pPr>
        <w:spacing w:line="283" w:lineRule="auto" w:after="120"/>
      </w:pPr>
      <w:r>
        <w:rPr>
          <w:b/>
          <w:i w:val="0"/>
          <w:color w:val="18323F"/>
        </w:rPr>
        <w:t>Gradient boosting achieved forward-test MAE 5.86 percentage points per year versus 5.99 for the mean baseline, a 2.2% improvement. Overall R2 is 0.070. The small gain supports cautious ranking only, not automated enforcement.</w:t>
      </w:r>
    </w:p>
    <w:p>
      <w:r>
        <w:br w:type="page"/>
      </w:r>
    </w:p>
    <w:p>
      <w:pPr>
        <w:pStyle w:val="Heading1"/>
        <w:keepNext/>
        <w:spacing w:before="180" w:after="80"/>
      </w:pPr>
      <w:r>
        <w:t>1. Data and provenance</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2304A"/>
          </w:tcPr>
          <w:p>
            <w:pPr>
              <w:spacing w:after="0"/>
            </w:pPr>
            <w:r/>
            <w:r>
              <w:rPr>
                <w:rFonts w:ascii="Arial" w:hAnsi="Arial"/>
                <w:b/>
                <w:color w:val="FFFFFF"/>
                <w:sz w:val="16"/>
              </w:rPr>
              <w:t>Evidence</w:t>
            </w:r>
          </w:p>
        </w:tc>
        <w:tc>
          <w:tcPr>
            <w:tcW w:type="dxa" w:w="3600"/>
            <w:vAlign w:val="center"/>
            <w:shd w:fill="12304A"/>
          </w:tcPr>
          <w:p>
            <w:pPr>
              <w:spacing w:after="0"/>
            </w:pPr>
            <w:r/>
            <w:r>
              <w:rPr>
                <w:rFonts w:ascii="Arial" w:hAnsi="Arial"/>
                <w:b/>
                <w:color w:val="FFFFFF"/>
                <w:sz w:val="16"/>
              </w:rPr>
              <w:t>Role</w:t>
            </w:r>
          </w:p>
        </w:tc>
        <w:tc>
          <w:tcPr>
            <w:tcW w:type="dxa" w:w="2736"/>
            <w:vAlign w:val="center"/>
            <w:shd w:fill="12304A"/>
          </w:tcPr>
          <w:p>
            <w:pPr>
              <w:spacing w:after="0"/>
            </w:pPr>
            <w:r/>
            <w:r>
              <w:rPr>
                <w:rFonts w:ascii="Arial" w:hAnsi="Arial"/>
                <w:b/>
                <w:color w:val="FFFFFF"/>
                <w:sz w:val="16"/>
              </w:rPr>
              <w:t>Admission status</w:t>
            </w:r>
          </w:p>
        </w:tc>
      </w:tr>
      <w:tr>
        <w:tc>
          <w:tcPr>
            <w:tcW w:type="dxa" w:w="2880"/>
            <w:vAlign w:val="center"/>
            <w:shd w:fill="EAF3F6"/>
          </w:tcPr>
          <w:p>
            <w:pPr>
              <w:spacing w:after="0"/>
            </w:pPr>
            <w:r/>
            <w:r>
              <w:rPr>
                <w:rFonts w:ascii="Arial" w:hAnsi="Arial"/>
                <w:b w:val="0"/>
                <w:color w:val="18323F"/>
                <w:sz w:val="17"/>
              </w:rPr>
              <w:t>Reef Check Malaysia annual reports</w:t>
            </w:r>
          </w:p>
        </w:tc>
        <w:tc>
          <w:tcPr>
            <w:tcW w:type="dxa" w:w="3600"/>
            <w:vAlign w:val="center"/>
            <w:shd w:fill="EAF3F6"/>
          </w:tcPr>
          <w:p>
            <w:pPr>
              <w:spacing w:after="0"/>
            </w:pPr>
            <w:r/>
            <w:r>
              <w:rPr>
                <w:rFonts w:ascii="Arial" w:hAnsi="Arial"/>
                <w:b w:val="0"/>
                <w:color w:val="18323F"/>
                <w:sz w:val="17"/>
              </w:rPr>
              <w:t>Ecological condition and documented impact mentions</w:t>
            </w:r>
          </w:p>
        </w:tc>
        <w:tc>
          <w:tcPr>
            <w:tcW w:type="dxa" w:w="2736"/>
            <w:vAlign w:val="center"/>
            <w:shd w:fill="EAF3F6"/>
          </w:tcPr>
          <w:p>
            <w:pPr>
              <w:spacing w:after="0"/>
            </w:pPr>
            <w:r/>
            <w:r>
              <w:rPr>
                <w:rFonts w:ascii="Arial" w:hAnsi="Arial"/>
                <w:b w:val="0"/>
                <w:color w:val="18323F"/>
                <w:sz w:val="17"/>
              </w:rPr>
              <w:t>Verified input to scored model</w:t>
            </w:r>
          </w:p>
        </w:tc>
      </w:tr>
      <w:tr>
        <w:tc>
          <w:tcPr>
            <w:tcW w:type="dxa" w:w="2880"/>
            <w:vAlign w:val="center"/>
          </w:tcPr>
          <w:p>
            <w:pPr>
              <w:spacing w:after="0"/>
            </w:pPr>
            <w:r/>
            <w:r>
              <w:rPr>
                <w:rFonts w:ascii="Arial" w:hAnsi="Arial"/>
                <w:b w:val="0"/>
                <w:color w:val="18323F"/>
                <w:sz w:val="17"/>
              </w:rPr>
              <w:t>Coordinates and marine-park labels</w:t>
            </w:r>
          </w:p>
        </w:tc>
        <w:tc>
          <w:tcPr>
            <w:tcW w:type="dxa" w:w="3600"/>
            <w:vAlign w:val="center"/>
          </w:tcPr>
          <w:p>
            <w:pPr>
              <w:spacing w:after="0"/>
            </w:pPr>
            <w:r/>
            <w:r>
              <w:rPr>
                <w:rFonts w:ascii="Arial" w:hAnsi="Arial"/>
                <w:b w:val="0"/>
                <w:color w:val="18323F"/>
                <w:sz w:val="17"/>
              </w:rPr>
              <w:t>Location and grouping</w:t>
            </w:r>
          </w:p>
        </w:tc>
        <w:tc>
          <w:tcPr>
            <w:tcW w:type="dxa" w:w="2736"/>
            <w:vAlign w:val="center"/>
          </w:tcPr>
          <w:p>
            <w:pPr>
              <w:spacing w:after="0"/>
            </w:pPr>
            <w:r/>
            <w:r>
              <w:rPr>
                <w:rFonts w:ascii="Arial" w:hAnsi="Arial"/>
                <w:b w:val="0"/>
                <w:color w:val="18323F"/>
                <w:sz w:val="17"/>
              </w:rPr>
              <w:t>Verified input; Labuan recorded as W.P. Labuan</w:t>
            </w:r>
          </w:p>
        </w:tc>
      </w:tr>
      <w:tr>
        <w:tc>
          <w:tcPr>
            <w:tcW w:type="dxa" w:w="2880"/>
            <w:vAlign w:val="center"/>
            <w:shd w:fill="EAF3F6"/>
          </w:tcPr>
          <w:p>
            <w:pPr>
              <w:spacing w:after="0"/>
            </w:pPr>
            <w:r/>
            <w:r>
              <w:rPr>
                <w:rFonts w:ascii="Arial" w:hAnsi="Arial"/>
                <w:b w:val="0"/>
                <w:color w:val="18323F"/>
                <w:sz w:val="17"/>
              </w:rPr>
              <w:t>NOAA Coral Reef Watch virtual stations</w:t>
            </w:r>
          </w:p>
        </w:tc>
        <w:tc>
          <w:tcPr>
            <w:tcW w:type="dxa" w:w="3600"/>
            <w:vAlign w:val="center"/>
            <w:shd w:fill="EAF3F6"/>
          </w:tcPr>
          <w:p>
            <w:pPr>
              <w:spacing w:after="0"/>
            </w:pPr>
            <w:r/>
            <w:r>
              <w:rPr>
                <w:rFonts w:ascii="Arial" w:hAnsi="Arial"/>
                <w:b w:val="0"/>
                <w:color w:val="18323F"/>
                <w:sz w:val="17"/>
              </w:rPr>
              <w:t>Regional heat context and descriptive diagnostics</w:t>
            </w:r>
          </w:p>
        </w:tc>
        <w:tc>
          <w:tcPr>
            <w:tcW w:type="dxa" w:w="2736"/>
            <w:vAlign w:val="center"/>
            <w:shd w:fill="EAF3F6"/>
          </w:tcPr>
          <w:p>
            <w:pPr>
              <w:spacing w:after="0"/>
            </w:pPr>
            <w:r/>
            <w:r>
              <w:rPr>
                <w:rFonts w:ascii="Arial" w:hAnsi="Arial"/>
                <w:b w:val="0"/>
                <w:color w:val="18323F"/>
                <w:sz w:val="17"/>
              </w:rPr>
              <w:t>Eligibility pending; excluded from scored model</w:t>
            </w:r>
          </w:p>
        </w:tc>
      </w:tr>
      <w:tr>
        <w:tc>
          <w:tcPr>
            <w:tcW w:type="dxa" w:w="2880"/>
            <w:vAlign w:val="center"/>
          </w:tcPr>
          <w:p>
            <w:pPr>
              <w:spacing w:after="0"/>
            </w:pPr>
            <w:r/>
            <w:r>
              <w:rPr>
                <w:rFonts w:ascii="Arial" w:hAnsi="Arial"/>
                <w:b w:val="0"/>
                <w:color w:val="18323F"/>
                <w:sz w:val="17"/>
              </w:rPr>
              <w:t>Marine-park visitors</w:t>
            </w:r>
          </w:p>
        </w:tc>
        <w:tc>
          <w:tcPr>
            <w:tcW w:type="dxa" w:w="3600"/>
            <w:vAlign w:val="center"/>
          </w:tcPr>
          <w:p>
            <w:pPr>
              <w:spacing w:after="0"/>
            </w:pPr>
            <w:r/>
            <w:r>
              <w:rPr>
                <w:rFonts w:ascii="Arial" w:hAnsi="Arial"/>
                <w:b w:val="0"/>
                <w:color w:val="18323F"/>
                <w:sz w:val="17"/>
              </w:rPr>
              <w:t>Historical aggregate context</w:t>
            </w:r>
          </w:p>
        </w:tc>
        <w:tc>
          <w:tcPr>
            <w:tcW w:type="dxa" w:w="2736"/>
            <w:vAlign w:val="center"/>
          </w:tcPr>
          <w:p>
            <w:pPr>
              <w:spacing w:after="0"/>
            </w:pPr>
            <w:r/>
            <w:r>
              <w:rPr>
                <w:rFonts w:ascii="Arial" w:hAnsi="Arial"/>
                <w:b w:val="0"/>
                <w:color w:val="18323F"/>
                <w:sz w:val="17"/>
              </w:rPr>
              <w:t>Verified only for cited 2000-2009 scope; excluded from model</w:t>
            </w:r>
          </w:p>
        </w:tc>
      </w:tr>
      <w:tr>
        <w:tc>
          <w:tcPr>
            <w:tcW w:type="dxa" w:w="2880"/>
            <w:vAlign w:val="center"/>
            <w:shd w:fill="EAF3F6"/>
          </w:tcPr>
          <w:p>
            <w:pPr>
              <w:spacing w:after="0"/>
            </w:pPr>
            <w:r/>
            <w:r>
              <w:rPr>
                <w:rFonts w:ascii="Arial" w:hAnsi="Arial"/>
                <w:b w:val="0"/>
                <w:color w:val="18323F"/>
                <w:sz w:val="17"/>
              </w:rPr>
              <w:t>DMPM Total Economic Value booklet</w:t>
            </w:r>
          </w:p>
        </w:tc>
        <w:tc>
          <w:tcPr>
            <w:tcW w:type="dxa" w:w="3600"/>
            <w:vAlign w:val="center"/>
            <w:shd w:fill="EAF3F6"/>
          </w:tcPr>
          <w:p>
            <w:pPr>
              <w:spacing w:after="0"/>
            </w:pPr>
            <w:r/>
            <w:r>
              <w:rPr>
                <w:rFonts w:ascii="Arial" w:hAnsi="Arial"/>
                <w:b w:val="0"/>
                <w:color w:val="18323F"/>
                <w:sz w:val="17"/>
              </w:rPr>
              <w:t>Historical economic context</w:t>
            </w:r>
          </w:p>
        </w:tc>
        <w:tc>
          <w:tcPr>
            <w:tcW w:type="dxa" w:w="2736"/>
            <w:vAlign w:val="center"/>
            <w:shd w:fill="EAF3F6"/>
          </w:tcPr>
          <w:p>
            <w:pPr>
              <w:spacing w:after="0"/>
            </w:pPr>
            <w:r/>
            <w:r>
              <w:rPr>
                <w:rFonts w:ascii="Arial" w:hAnsi="Arial"/>
                <w:b w:val="0"/>
                <w:color w:val="18323F"/>
                <w:sz w:val="17"/>
              </w:rPr>
              <w:t>Verified context for six evaluated archipelagos</w:t>
            </w:r>
          </w:p>
        </w:tc>
      </w:tr>
      <w:tr>
        <w:tc>
          <w:tcPr>
            <w:tcW w:type="dxa" w:w="2880"/>
            <w:vAlign w:val="center"/>
          </w:tcPr>
          <w:p>
            <w:pPr>
              <w:spacing w:after="0"/>
            </w:pPr>
            <w:r/>
            <w:r>
              <w:rPr>
                <w:rFonts w:ascii="Arial" w:hAnsi="Arial"/>
                <w:b w:val="0"/>
                <w:color w:val="18323F"/>
                <w:sz w:val="17"/>
              </w:rPr>
              <w:t>Local accommodation inventory</w:t>
            </w:r>
          </w:p>
        </w:tc>
        <w:tc>
          <w:tcPr>
            <w:tcW w:type="dxa" w:w="3600"/>
            <w:vAlign w:val="center"/>
          </w:tcPr>
          <w:p>
            <w:pPr>
              <w:spacing w:after="0"/>
            </w:pPr>
            <w:r/>
            <w:r>
              <w:rPr>
                <w:rFonts w:ascii="Arial" w:hAnsi="Arial"/>
                <w:b w:val="0"/>
                <w:color w:val="18323F"/>
                <w:sz w:val="17"/>
              </w:rPr>
              <w:t>None</w:t>
            </w:r>
          </w:p>
        </w:tc>
        <w:tc>
          <w:tcPr>
            <w:tcW w:type="dxa" w:w="2736"/>
            <w:vAlign w:val="center"/>
          </w:tcPr>
          <w:p>
            <w:pPr>
              <w:spacing w:after="0"/>
            </w:pPr>
            <w:r/>
            <w:r>
              <w:rPr>
                <w:rFonts w:ascii="Arial" w:hAnsi="Arial"/>
                <w:b w:val="0"/>
                <w:color w:val="18323F"/>
                <w:sz w:val="17"/>
              </w:rPr>
              <w:t>Excluded: reproducible source trail not available</w:t>
            </w:r>
          </w:p>
        </w:tc>
      </w:tr>
    </w:tbl>
    <w:p>
      <w:pPr>
        <w:spacing w:line="283" w:lineRule="auto" w:after="120"/>
      </w:pPr>
      <w:r>
        <w:rPr>
          <w:b/>
          <w:i w:val="0"/>
          <w:color w:val="18323F"/>
        </w:rPr>
        <w:t>NOAA variables are excluded from the scored model because written DOSM eligibility confirmation is not on file. Regional DHW remains visible only as supporting context for field questions.</w:t>
      </w:r>
    </w:p>
    <w:p>
      <w:pPr>
        <w:pStyle w:val="Heading2"/>
        <w:keepNext/>
        <w:spacing w:before="180" w:after="80"/>
      </w:pPr>
      <w:r>
        <w:t>Data quality boundaries</w:t>
      </w:r>
    </w:p>
    <w:p>
      <w:pPr>
        <w:pStyle w:val="ListBullet"/>
        <w:spacing w:after="60"/>
      </w:pPr>
      <w:r>
        <w:t>Processed panel: 404 monitoring-unit/year observations, 56 unit labels, 2012-2025.</w:t>
      </w:r>
    </w:p>
    <w:p>
      <w:pPr>
        <w:pStyle w:val="ListBullet"/>
        <w:spacing w:after="60"/>
      </w:pPr>
      <w:r>
        <w:t>First observations without an earlier survey have no next-change training target.</w:t>
      </w:r>
    </w:p>
    <w:p>
      <w:pPr>
        <w:pStyle w:val="ListBullet"/>
        <w:spacing w:after="60"/>
      </w:pPr>
      <w:r>
        <w:t>Narrative flags indicate a report mention; no mention is not proof of absence.</w:t>
      </w:r>
    </w:p>
    <w:p>
      <w:pPr>
        <w:pStyle w:val="ListBullet"/>
        <w:spacing w:after="60"/>
      </w:pPr>
      <w:r>
        <w:t>State totals and visitor aggregates are not allocated to individual reefs.</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12_dataset_completeness_matrix.png"/>
                    <pic:cNvPicPr/>
                  </pic:nvPicPr>
                  <pic:blipFill>
                    <a:blip r:embed="rId11"/>
                    <a:stretch>
                      <a:fillRect/>
                    </a:stretch>
                  </pic:blipFill>
                  <pic:spPr>
                    <a:xfrm>
                      <a:off x="0" y="0"/>
                      <a:ext cx="5760720" cy="3456432"/>
                    </a:xfrm>
                    <a:prstGeom prst="rect"/>
                  </pic:spPr>
                </pic:pic>
              </a:graphicData>
            </a:graphic>
          </wp:inline>
        </w:drawing>
      </w:r>
    </w:p>
    <w:p>
      <w:pPr>
        <w:spacing w:after="120"/>
        <w:jc w:val="center"/>
      </w:pPr>
      <w:r>
        <w:rPr>
          <w:i/>
          <w:sz w:val="17"/>
        </w:rPr>
        <w:t>Figure 1. Availability of the verified features admitted to the scored model.</w:t>
      </w:r>
    </w:p>
    <w:p>
      <w:r>
        <w:br w:type="page"/>
      </w:r>
    </w:p>
    <w:p>
      <w:pPr>
        <w:pStyle w:val="Heading1"/>
        <w:keepNext/>
        <w:spacing w:before="180" w:after="80"/>
      </w:pPr>
      <w:r>
        <w:t>2. Observed trends and the tourism data gap</w:t>
      </w:r>
    </w:p>
    <w:p>
      <w:pPr>
        <w:jc w:val="center"/>
      </w:pPr>
      <w:r>
        <w:drawing>
          <wp:inline xmlns:a="http://schemas.openxmlformats.org/drawingml/2006/main" xmlns:pic="http://schemas.openxmlformats.org/drawingml/2006/picture">
            <wp:extent cx="5760720" cy="2592324"/>
            <wp:docPr id="2" name="Picture 2"/>
            <wp:cNvGraphicFramePr>
              <a:graphicFrameLocks noChangeAspect="1"/>
            </wp:cNvGraphicFramePr>
            <a:graphic>
              <a:graphicData uri="http://schemas.openxmlformats.org/drawingml/2006/picture">
                <pic:pic>
                  <pic:nvPicPr>
                    <pic:cNvPr id="0" name="02_national_coral_cover_trajectory.png"/>
                    <pic:cNvPicPr/>
                  </pic:nvPicPr>
                  <pic:blipFill>
                    <a:blip r:embed="rId12"/>
                    <a:stretch>
                      <a:fillRect/>
                    </a:stretch>
                  </pic:blipFill>
                  <pic:spPr>
                    <a:xfrm>
                      <a:off x="0" y="0"/>
                      <a:ext cx="5760720" cy="2592324"/>
                    </a:xfrm>
                    <a:prstGeom prst="rect"/>
                  </pic:spPr>
                </pic:pic>
              </a:graphicData>
            </a:graphic>
          </wp:inline>
        </w:drawing>
      </w:r>
    </w:p>
    <w:p>
      <w:pPr>
        <w:spacing w:after="120"/>
        <w:jc w:val="center"/>
      </w:pPr>
      <w:r>
        <w:rPr>
          <w:i/>
          <w:sz w:val="17"/>
        </w:rPr>
        <w:t>Figure 2. Unbalanced annual means with surveyed-unit counts and the paired 2024-2025 comparison.</w:t>
      </w:r>
    </w:p>
    <w:p>
      <w:pPr>
        <w:spacing w:line="283" w:lineRule="auto" w:after="120"/>
      </w:pPr>
      <w:r>
        <w:rPr>
          <w:b w:val="0"/>
          <w:i w:val="0"/>
          <w:color w:val="18323F"/>
        </w:rPr>
        <w:t>The same 39 units averaged 44.98% live coral cover in 2024 and 40.22% in 2025, a change of -4.76 percentage points. This paired comparison is preferred to subtracting two changing annual samples.</w:t>
      </w:r>
    </w:p>
    <w:p>
      <w:pPr>
        <w:jc w:val="center"/>
      </w:pPr>
      <w:r>
        <w:drawing>
          <wp:inline xmlns:a="http://schemas.openxmlformats.org/drawingml/2006/main" xmlns:pic="http://schemas.openxmlformats.org/drawingml/2006/picture">
            <wp:extent cx="5760720" cy="2592324"/>
            <wp:docPr id="3" name="Picture 3"/>
            <wp:cNvGraphicFramePr>
              <a:graphicFrameLocks noChangeAspect="1"/>
            </wp:cNvGraphicFramePr>
            <a:graphic>
              <a:graphicData uri="http://schemas.openxmlformats.org/drawingml/2006/picture">
                <pic:pic>
                  <pic:nvPicPr>
                    <pic:cNvPr id="0" name="01_tourism_data_gap.png"/>
                    <pic:cNvPicPr/>
                  </pic:nvPicPr>
                  <pic:blipFill>
                    <a:blip r:embed="rId13"/>
                    <a:stretch>
                      <a:fillRect/>
                    </a:stretch>
                  </pic:blipFill>
                  <pic:spPr>
                    <a:xfrm>
                      <a:off x="0" y="0"/>
                      <a:ext cx="5760720" cy="2592324"/>
                    </a:xfrm>
                    <a:prstGeom prst="rect"/>
                  </pic:spPr>
                </pic:pic>
              </a:graphicData>
            </a:graphic>
          </wp:inline>
        </w:drawing>
      </w:r>
    </w:p>
    <w:p>
      <w:pPr>
        <w:spacing w:after="120"/>
        <w:jc w:val="center"/>
      </w:pPr>
      <w:r>
        <w:rPr>
          <w:i/>
          <w:sz w:val="17"/>
        </w:rPr>
        <w:t>Figure 3. Verified 2000-2009 visitor context and the unresolved island-level exposure gap.</w:t>
      </w:r>
    </w:p>
    <w:p>
      <w:pPr>
        <w:spacing w:line="283" w:lineRule="auto" w:after="120"/>
      </w:pPr>
      <w:r>
        <w:rPr>
          <w:b w:val="0"/>
          <w:i w:val="0"/>
          <w:color w:val="18323F"/>
        </w:rPr>
        <w:t>The available visitor totals cannot identify how many visitors, vessels, anchor drops, or wastewater loads reached a given monitoring unit. ReefSafe therefore does not estimate tourism's causal contribution to coral change.</w:t>
      </w:r>
    </w:p>
    <w:p>
      <w:r>
        <w:br w:type="page"/>
      </w:r>
    </w:p>
    <w:p>
      <w:pPr>
        <w:pStyle w:val="Heading1"/>
        <w:keepNext/>
        <w:spacing w:before="180" w:after="80"/>
      </w:pPr>
      <w:r>
        <w:t>3. Predictive method</w:t>
      </w:r>
    </w:p>
    <w:p>
      <w:pPr>
        <w:spacing w:line="283" w:lineRule="auto" w:after="120"/>
      </w:pPr>
      <w:r>
        <w:rPr>
          <w:b w:val="0"/>
          <w:i w:val="0"/>
          <w:color w:val="18323F"/>
        </w:rPr>
        <w:t>For each monitoring unit, the pipeline orders surveys by year. Features at one observation predict the annualised live-coral-cover change at the next observation. Missing values are median-imputed inside each training fold. Evaluation uses expanding years: each target year is tested only with data from earlier target years.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3600"/>
            <w:vAlign w:val="center"/>
            <w:shd w:fill="12304A"/>
          </w:tcPr>
          <w:p>
            <w:pPr>
              <w:spacing w:after="0"/>
            </w:pPr>
            <w:r/>
            <w:r>
              <w:rPr>
                <w:rFonts w:ascii="Arial" w:hAnsi="Arial"/>
                <w:b/>
                <w:color w:val="FFFFFF"/>
                <w:sz w:val="16"/>
              </w:rPr>
              <w:t>Model</w:t>
            </w:r>
          </w:p>
        </w:tc>
        <w:tc>
          <w:tcPr>
            <w:tcW w:type="dxa" w:w="1728"/>
            <w:vAlign w:val="center"/>
            <w:shd w:fill="12304A"/>
          </w:tcPr>
          <w:p>
            <w:pPr>
              <w:spacing w:after="0"/>
            </w:pPr>
            <w:r/>
            <w:r>
              <w:rPr>
                <w:rFonts w:ascii="Arial" w:hAnsi="Arial"/>
                <w:b/>
                <w:color w:val="FFFFFF"/>
                <w:sz w:val="16"/>
              </w:rPr>
              <w:t>MAE</w:t>
            </w:r>
          </w:p>
        </w:tc>
        <w:tc>
          <w:tcPr>
            <w:tcW w:type="dxa" w:w="1728"/>
            <w:vAlign w:val="center"/>
            <w:shd w:fill="12304A"/>
          </w:tcPr>
          <w:p>
            <w:pPr>
              <w:spacing w:after="0"/>
            </w:pPr>
            <w:r/>
            <w:r>
              <w:rPr>
                <w:rFonts w:ascii="Arial" w:hAnsi="Arial"/>
                <w:b/>
                <w:color w:val="FFFFFF"/>
                <w:sz w:val="16"/>
              </w:rPr>
              <w:t>RMSE</w:t>
            </w:r>
          </w:p>
        </w:tc>
        <w:tc>
          <w:tcPr>
            <w:tcW w:type="dxa" w:w="1728"/>
            <w:vAlign w:val="center"/>
            <w:shd w:fill="12304A"/>
          </w:tcPr>
          <w:p>
            <w:pPr>
              <w:spacing w:after="0"/>
            </w:pPr>
            <w:r/>
            <w:r>
              <w:rPr>
                <w:rFonts w:ascii="Arial" w:hAnsi="Arial"/>
                <w:b/>
                <w:color w:val="FFFFFF"/>
                <w:sz w:val="16"/>
              </w:rPr>
              <w:t>R2</w:t>
            </w:r>
          </w:p>
        </w:tc>
      </w:tr>
      <w:tr>
        <w:tc>
          <w:tcPr>
            <w:tcW w:type="dxa" w:w="3600"/>
            <w:vAlign w:val="center"/>
            <w:shd w:fill="EAF3F6"/>
          </w:tcPr>
          <w:p>
            <w:pPr>
              <w:spacing w:after="0"/>
            </w:pPr>
            <w:r/>
            <w:r>
              <w:rPr>
                <w:rFonts w:ascii="Arial" w:hAnsi="Arial"/>
                <w:b w:val="0"/>
                <w:color w:val="18323F"/>
                <w:sz w:val="17"/>
              </w:rPr>
              <w:t>Baseline mean</w:t>
            </w:r>
          </w:p>
        </w:tc>
        <w:tc>
          <w:tcPr>
            <w:tcW w:type="dxa" w:w="1728"/>
            <w:vAlign w:val="center"/>
            <w:shd w:fill="EAF3F6"/>
          </w:tcPr>
          <w:p>
            <w:pPr>
              <w:spacing w:after="0"/>
            </w:pPr>
            <w:r/>
            <w:r>
              <w:rPr>
                <w:rFonts w:ascii="Arial" w:hAnsi="Arial"/>
                <w:b w:val="0"/>
                <w:color w:val="18323F"/>
                <w:sz w:val="17"/>
              </w:rPr>
              <w:t>5.991</w:t>
            </w:r>
          </w:p>
        </w:tc>
        <w:tc>
          <w:tcPr>
            <w:tcW w:type="dxa" w:w="1728"/>
            <w:vAlign w:val="center"/>
            <w:shd w:fill="EAF3F6"/>
          </w:tcPr>
          <w:p>
            <w:pPr>
              <w:spacing w:after="0"/>
            </w:pPr>
            <w:r/>
            <w:r>
              <w:rPr>
                <w:rFonts w:ascii="Arial" w:hAnsi="Arial"/>
                <w:b w:val="0"/>
                <w:color w:val="18323F"/>
                <w:sz w:val="17"/>
              </w:rPr>
              <w:t>8.100</w:t>
            </w:r>
          </w:p>
        </w:tc>
        <w:tc>
          <w:tcPr>
            <w:tcW w:type="dxa" w:w="1728"/>
            <w:vAlign w:val="center"/>
            <w:shd w:fill="EAF3F6"/>
          </w:tcPr>
          <w:p>
            <w:pPr>
              <w:spacing w:after="0"/>
            </w:pPr>
            <w:r/>
            <w:r>
              <w:rPr>
                <w:rFonts w:ascii="Arial" w:hAnsi="Arial"/>
                <w:b w:val="0"/>
                <w:color w:val="18323F"/>
                <w:sz w:val="17"/>
              </w:rPr>
              <w:t>-0.019</w:t>
            </w:r>
          </w:p>
        </w:tc>
      </w:tr>
      <w:tr>
        <w:tc>
          <w:tcPr>
            <w:tcW w:type="dxa" w:w="3600"/>
            <w:vAlign w:val="center"/>
          </w:tcPr>
          <w:p>
            <w:pPr>
              <w:spacing w:after="0"/>
            </w:pPr>
            <w:r/>
            <w:r>
              <w:rPr>
                <w:rFonts w:ascii="Arial" w:hAnsi="Arial"/>
                <w:b w:val="0"/>
                <w:color w:val="18323F"/>
                <w:sz w:val="17"/>
              </w:rPr>
              <w:t>Ridge regression</w:t>
            </w:r>
          </w:p>
        </w:tc>
        <w:tc>
          <w:tcPr>
            <w:tcW w:type="dxa" w:w="1728"/>
            <w:vAlign w:val="center"/>
          </w:tcPr>
          <w:p>
            <w:pPr>
              <w:spacing w:after="0"/>
            </w:pPr>
            <w:r/>
            <w:r>
              <w:rPr>
                <w:rFonts w:ascii="Arial" w:hAnsi="Arial"/>
                <w:b w:val="0"/>
                <w:color w:val="18323F"/>
                <w:sz w:val="17"/>
              </w:rPr>
              <w:t>5.990</w:t>
            </w:r>
          </w:p>
        </w:tc>
        <w:tc>
          <w:tcPr>
            <w:tcW w:type="dxa" w:w="1728"/>
            <w:vAlign w:val="center"/>
          </w:tcPr>
          <w:p>
            <w:pPr>
              <w:spacing w:after="0"/>
            </w:pPr>
            <w:r/>
            <w:r>
              <w:rPr>
                <w:rFonts w:ascii="Arial" w:hAnsi="Arial"/>
                <w:b w:val="0"/>
                <w:color w:val="18323F"/>
                <w:sz w:val="17"/>
              </w:rPr>
              <w:t>7.939</w:t>
            </w:r>
          </w:p>
        </w:tc>
        <w:tc>
          <w:tcPr>
            <w:tcW w:type="dxa" w:w="1728"/>
            <w:vAlign w:val="center"/>
          </w:tcPr>
          <w:p>
            <w:pPr>
              <w:spacing w:after="0"/>
            </w:pPr>
            <w:r/>
            <w:r>
              <w:rPr>
                <w:rFonts w:ascii="Arial" w:hAnsi="Arial"/>
                <w:b w:val="0"/>
                <w:color w:val="18323F"/>
                <w:sz w:val="17"/>
              </w:rPr>
              <w:t>0.021</w:t>
            </w:r>
          </w:p>
        </w:tc>
      </w:tr>
      <w:tr>
        <w:tc>
          <w:tcPr>
            <w:tcW w:type="dxa" w:w="3600"/>
            <w:vAlign w:val="center"/>
            <w:shd w:fill="EAF3F6"/>
          </w:tcPr>
          <w:p>
            <w:pPr>
              <w:spacing w:after="0"/>
            </w:pPr>
            <w:r/>
            <w:r>
              <w:rPr>
                <w:rFonts w:ascii="Arial" w:hAnsi="Arial"/>
                <w:b w:val="0"/>
                <w:color w:val="18323F"/>
                <w:sz w:val="17"/>
              </w:rPr>
              <w:t>Gradient boosting</w:t>
            </w:r>
          </w:p>
        </w:tc>
        <w:tc>
          <w:tcPr>
            <w:tcW w:type="dxa" w:w="1728"/>
            <w:vAlign w:val="center"/>
            <w:shd w:fill="EAF3F6"/>
          </w:tcPr>
          <w:p>
            <w:pPr>
              <w:spacing w:after="0"/>
            </w:pPr>
            <w:r/>
            <w:r>
              <w:rPr>
                <w:rFonts w:ascii="Arial" w:hAnsi="Arial"/>
                <w:b w:val="0"/>
                <w:color w:val="18323F"/>
                <w:sz w:val="17"/>
              </w:rPr>
              <w:t>5.859</w:t>
            </w:r>
          </w:p>
        </w:tc>
        <w:tc>
          <w:tcPr>
            <w:tcW w:type="dxa" w:w="1728"/>
            <w:vAlign w:val="center"/>
            <w:shd w:fill="EAF3F6"/>
          </w:tcPr>
          <w:p>
            <w:pPr>
              <w:spacing w:after="0"/>
            </w:pPr>
            <w:r/>
            <w:r>
              <w:rPr>
                <w:rFonts w:ascii="Arial" w:hAnsi="Arial"/>
                <w:b w:val="0"/>
                <w:color w:val="18323F"/>
                <w:sz w:val="17"/>
              </w:rPr>
              <w:t>7.739</w:t>
            </w:r>
          </w:p>
        </w:tc>
        <w:tc>
          <w:tcPr>
            <w:tcW w:type="dxa" w:w="1728"/>
            <w:vAlign w:val="center"/>
            <w:shd w:fill="EAF3F6"/>
          </w:tcPr>
          <w:p>
            <w:pPr>
              <w:spacing w:after="0"/>
            </w:pPr>
            <w:r/>
            <w:r>
              <w:rPr>
                <w:rFonts w:ascii="Arial" w:hAnsi="Arial"/>
                <w:b w:val="0"/>
                <w:color w:val="18323F"/>
                <w:sz w:val="17"/>
              </w:rPr>
              <w:t>0.070</w:t>
            </w:r>
          </w:p>
        </w:tc>
      </w:tr>
      <w:tr>
        <w:tc>
          <w:tcPr>
            <w:tcW w:type="dxa" w:w="3600"/>
            <w:vAlign w:val="center"/>
          </w:tcPr>
          <w:p>
            <w:pPr>
              <w:spacing w:after="0"/>
            </w:pPr>
            <w:r/>
            <w:r>
              <w:rPr>
                <w:rFonts w:ascii="Arial" w:hAnsi="Arial"/>
                <w:b w:val="0"/>
                <w:color w:val="18323F"/>
                <w:sz w:val="17"/>
              </w:rPr>
              <w:t>Random forest</w:t>
            </w:r>
          </w:p>
        </w:tc>
        <w:tc>
          <w:tcPr>
            <w:tcW w:type="dxa" w:w="1728"/>
            <w:vAlign w:val="center"/>
          </w:tcPr>
          <w:p>
            <w:pPr>
              <w:spacing w:after="0"/>
            </w:pPr>
            <w:r/>
            <w:r>
              <w:rPr>
                <w:rFonts w:ascii="Arial" w:hAnsi="Arial"/>
                <w:b w:val="0"/>
                <w:color w:val="18323F"/>
                <w:sz w:val="17"/>
              </w:rPr>
              <w:t>6.074</w:t>
            </w:r>
          </w:p>
        </w:tc>
        <w:tc>
          <w:tcPr>
            <w:tcW w:type="dxa" w:w="1728"/>
            <w:vAlign w:val="center"/>
          </w:tcPr>
          <w:p>
            <w:pPr>
              <w:spacing w:after="0"/>
            </w:pPr>
            <w:r/>
            <w:r>
              <w:rPr>
                <w:rFonts w:ascii="Arial" w:hAnsi="Arial"/>
                <w:b w:val="0"/>
                <w:color w:val="18323F"/>
                <w:sz w:val="17"/>
              </w:rPr>
              <w:t>8.017</w:t>
            </w:r>
          </w:p>
        </w:tc>
        <w:tc>
          <w:tcPr>
            <w:tcW w:type="dxa" w:w="1728"/>
            <w:vAlign w:val="center"/>
          </w:tcPr>
          <w:p>
            <w:pPr>
              <w:spacing w:after="0"/>
            </w:pPr>
            <w:r/>
            <w:r>
              <w:rPr>
                <w:rFonts w:ascii="Arial" w:hAnsi="Arial"/>
                <w:b w:val="0"/>
                <w:color w:val="18323F"/>
                <w:sz w:val="17"/>
              </w:rPr>
              <w:t>0.002</w:t>
            </w:r>
          </w:p>
        </w:tc>
      </w:tr>
    </w:tbl>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9_model_performance.png"/>
                    <pic:cNvPicPr/>
                  </pic:nvPicPr>
                  <pic:blipFill>
                    <a:blip r:embed="rId14"/>
                    <a:stretch>
                      <a:fillRect/>
                    </a:stretch>
                  </pic:blipFill>
                  <pic:spPr>
                    <a:xfrm>
                      <a:off x="0" y="0"/>
                      <a:ext cx="5760720" cy="3240405"/>
                    </a:xfrm>
                    <a:prstGeom prst="rect"/>
                  </pic:spPr>
                </pic:pic>
              </a:graphicData>
            </a:graphic>
          </wp:inline>
        </w:drawing>
      </w:r>
    </w:p>
    <w:p>
      <w:pPr>
        <w:spacing w:after="120"/>
        <w:jc w:val="center"/>
      </w:pPr>
      <w:r>
        <w:rPr>
          <w:i/>
          <w:sz w:val="17"/>
        </w:rPr>
        <w:t>Figure 4. Past-only model comparison. Lower MAE is better.</w:t>
      </w:r>
    </w:p>
    <w:p>
      <w:pPr>
        <w:spacing w:line="283" w:lineRule="auto" w:after="120"/>
      </w:pPr>
      <w:r>
        <w:rPr>
          <w:b w:val="0"/>
          <w:i w:val="0"/>
          <w:color w:val="18323F"/>
        </w:rPr>
        <w:t>XGBoost was not required to establish the result. Gradient boosting already provides the lowest measured forward-test MAE among the tested candidates; a more complex library would be justified only if it produced a material, repeatable improvement under the same validation.</w:t>
      </w:r>
    </w:p>
    <w:p>
      <w:r>
        <w:br w:type="page"/>
      </w:r>
    </w:p>
    <w:p>
      <w:pPr>
        <w:pStyle w:val="Heading1"/>
        <w:keepNext/>
        <w:spacing w:before="180" w:after="80"/>
      </w:pPr>
      <w:r>
        <w:t>4. Validation and uncertainty</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584"/>
            <w:vAlign w:val="center"/>
            <w:shd w:fill="12304A"/>
          </w:tcPr>
          <w:p>
            <w:pPr>
              <w:spacing w:after="0"/>
            </w:pPr>
            <w:r/>
            <w:r>
              <w:rPr>
                <w:rFonts w:ascii="Arial" w:hAnsi="Arial"/>
                <w:b/>
                <w:color w:val="FFFFFF"/>
                <w:sz w:val="16"/>
              </w:rPr>
              <w:t>Target year</w:t>
            </w:r>
          </w:p>
        </w:tc>
        <w:tc>
          <w:tcPr>
            <w:tcW w:type="dxa" w:w="864"/>
            <w:vAlign w:val="center"/>
            <w:shd w:fill="12304A"/>
          </w:tcPr>
          <w:p>
            <w:pPr>
              <w:spacing w:after="0"/>
            </w:pPr>
            <w:r/>
            <w:r>
              <w:rPr>
                <w:rFonts w:ascii="Arial" w:hAnsi="Arial"/>
                <w:b/>
                <w:color w:val="FFFFFF"/>
                <w:sz w:val="16"/>
              </w:rPr>
              <w:t>n</w:t>
            </w:r>
          </w:p>
        </w:tc>
        <w:tc>
          <w:tcPr>
            <w:tcW w:type="dxa" w:w="1440"/>
            <w:vAlign w:val="center"/>
            <w:shd w:fill="12304A"/>
          </w:tcPr>
          <w:p>
            <w:pPr>
              <w:spacing w:after="0"/>
            </w:pPr>
            <w:r/>
            <w:r>
              <w:rPr>
                <w:rFonts w:ascii="Arial" w:hAnsi="Arial"/>
                <w:b/>
                <w:color w:val="FFFFFF"/>
                <w:sz w:val="16"/>
              </w:rPr>
              <w:t>MAE</w:t>
            </w:r>
          </w:p>
        </w:tc>
        <w:tc>
          <w:tcPr>
            <w:tcW w:type="dxa" w:w="1440"/>
            <w:vAlign w:val="center"/>
            <w:shd w:fill="12304A"/>
          </w:tcPr>
          <w:p>
            <w:pPr>
              <w:spacing w:after="0"/>
            </w:pPr>
            <w:r/>
            <w:r>
              <w:rPr>
                <w:rFonts w:ascii="Arial" w:hAnsi="Arial"/>
                <w:b/>
                <w:color w:val="FFFFFF"/>
                <w:sz w:val="16"/>
              </w:rPr>
              <w:t>RMSE</w:t>
            </w:r>
          </w:p>
        </w:tc>
        <w:tc>
          <w:tcPr>
            <w:tcW w:type="dxa" w:w="1296"/>
            <w:vAlign w:val="center"/>
            <w:shd w:fill="12304A"/>
          </w:tcPr>
          <w:p>
            <w:pPr>
              <w:spacing w:after="0"/>
            </w:pPr>
            <w:r/>
            <w:r>
              <w:rPr>
                <w:rFonts w:ascii="Arial" w:hAnsi="Arial"/>
                <w:b/>
                <w:color w:val="FFFFFF"/>
                <w:sz w:val="16"/>
              </w:rPr>
              <w:t>R2</w:t>
            </w:r>
          </w:p>
        </w:tc>
        <w:tc>
          <w:tcPr>
            <w:tcW w:type="dxa" w:w="1440"/>
            <w:vAlign w:val="center"/>
            <w:shd w:fill="12304A"/>
          </w:tcPr>
          <w:p>
            <w:pPr>
              <w:spacing w:after="0"/>
            </w:pPr>
            <w:r/>
            <w:r>
              <w:rPr>
                <w:rFonts w:ascii="Arial" w:hAnsi="Arial"/>
                <w:b/>
                <w:color w:val="FFFFFF"/>
                <w:sz w:val="16"/>
              </w:rPr>
              <w:t>Bias</w:t>
            </w:r>
          </w:p>
        </w:tc>
      </w:tr>
      <w:tr>
        <w:tc>
          <w:tcPr>
            <w:tcW w:type="dxa" w:w="1584"/>
            <w:vAlign w:val="center"/>
            <w:shd w:fill="EAF3F6"/>
          </w:tcPr>
          <w:p>
            <w:pPr>
              <w:spacing w:after="0"/>
            </w:pPr>
            <w:r/>
            <w:r>
              <w:rPr>
                <w:rFonts w:ascii="Arial" w:hAnsi="Arial"/>
                <w:b w:val="0"/>
                <w:color w:val="18323F"/>
                <w:sz w:val="17"/>
              </w:rPr>
              <w:t>2021</w:t>
            </w:r>
          </w:p>
        </w:tc>
        <w:tc>
          <w:tcPr>
            <w:tcW w:type="dxa" w:w="864"/>
            <w:vAlign w:val="center"/>
            <w:shd w:fill="EAF3F6"/>
          </w:tcPr>
          <w:p>
            <w:pPr>
              <w:spacing w:after="0"/>
            </w:pPr>
            <w:r/>
            <w:r>
              <w:rPr>
                <w:rFonts w:ascii="Arial" w:hAnsi="Arial"/>
                <w:b w:val="0"/>
                <w:color w:val="18323F"/>
                <w:sz w:val="17"/>
              </w:rPr>
              <w:t>24</w:t>
            </w:r>
          </w:p>
        </w:tc>
        <w:tc>
          <w:tcPr>
            <w:tcW w:type="dxa" w:w="1440"/>
            <w:vAlign w:val="center"/>
            <w:shd w:fill="EAF3F6"/>
          </w:tcPr>
          <w:p>
            <w:pPr>
              <w:spacing w:after="0"/>
            </w:pPr>
            <w:r/>
            <w:r>
              <w:rPr>
                <w:rFonts w:ascii="Arial" w:hAnsi="Arial"/>
                <w:b w:val="0"/>
                <w:color w:val="18323F"/>
                <w:sz w:val="17"/>
              </w:rPr>
              <w:t>5.70</w:t>
            </w:r>
          </w:p>
        </w:tc>
        <w:tc>
          <w:tcPr>
            <w:tcW w:type="dxa" w:w="1440"/>
            <w:vAlign w:val="center"/>
            <w:shd w:fill="EAF3F6"/>
          </w:tcPr>
          <w:p>
            <w:pPr>
              <w:spacing w:after="0"/>
            </w:pPr>
            <w:r/>
            <w:r>
              <w:rPr>
                <w:rFonts w:ascii="Arial" w:hAnsi="Arial"/>
                <w:b w:val="0"/>
                <w:color w:val="18323F"/>
                <w:sz w:val="17"/>
              </w:rPr>
              <w:t>7.58</w:t>
            </w:r>
          </w:p>
        </w:tc>
        <w:tc>
          <w:tcPr>
            <w:tcW w:type="dxa" w:w="1296"/>
            <w:vAlign w:val="center"/>
            <w:shd w:fill="EAF3F6"/>
          </w:tcPr>
          <w:p>
            <w:pPr>
              <w:spacing w:after="0"/>
            </w:pPr>
            <w:r/>
            <w:r>
              <w:rPr>
                <w:rFonts w:ascii="Arial" w:hAnsi="Arial"/>
                <w:b w:val="0"/>
                <w:color w:val="18323F"/>
                <w:sz w:val="17"/>
              </w:rPr>
              <w:t>0.11</w:t>
            </w:r>
          </w:p>
        </w:tc>
        <w:tc>
          <w:tcPr>
            <w:tcW w:type="dxa" w:w="1440"/>
            <w:vAlign w:val="center"/>
            <w:shd w:fill="EAF3F6"/>
          </w:tcPr>
          <w:p>
            <w:pPr>
              <w:spacing w:after="0"/>
            </w:pPr>
            <w:r/>
            <w:r>
              <w:rPr>
                <w:rFonts w:ascii="Arial" w:hAnsi="Arial"/>
                <w:b w:val="0"/>
                <w:color w:val="18323F"/>
                <w:sz w:val="17"/>
              </w:rPr>
              <w:t>-2.40</w:t>
            </w:r>
          </w:p>
        </w:tc>
      </w:tr>
      <w:tr>
        <w:tc>
          <w:tcPr>
            <w:tcW w:type="dxa" w:w="1584"/>
            <w:vAlign w:val="center"/>
          </w:tcPr>
          <w:p>
            <w:pPr>
              <w:spacing w:after="0"/>
            </w:pPr>
            <w:r/>
            <w:r>
              <w:rPr>
                <w:rFonts w:ascii="Arial" w:hAnsi="Arial"/>
                <w:b w:val="0"/>
                <w:color w:val="18323F"/>
                <w:sz w:val="17"/>
              </w:rPr>
              <w:t>2022</w:t>
            </w:r>
          </w:p>
        </w:tc>
        <w:tc>
          <w:tcPr>
            <w:tcW w:type="dxa" w:w="864"/>
            <w:vAlign w:val="center"/>
          </w:tcPr>
          <w:p>
            <w:pPr>
              <w:spacing w:after="0"/>
            </w:pPr>
            <w:r/>
            <w:r>
              <w:rPr>
                <w:rFonts w:ascii="Arial" w:hAnsi="Arial"/>
                <w:b w:val="0"/>
                <w:color w:val="18323F"/>
                <w:sz w:val="17"/>
              </w:rPr>
              <w:t>35</w:t>
            </w:r>
          </w:p>
        </w:tc>
        <w:tc>
          <w:tcPr>
            <w:tcW w:type="dxa" w:w="1440"/>
            <w:vAlign w:val="center"/>
          </w:tcPr>
          <w:p>
            <w:pPr>
              <w:spacing w:after="0"/>
            </w:pPr>
            <w:r/>
            <w:r>
              <w:rPr>
                <w:rFonts w:ascii="Arial" w:hAnsi="Arial"/>
                <w:b w:val="0"/>
                <w:color w:val="18323F"/>
                <w:sz w:val="17"/>
              </w:rPr>
              <w:t>6.94</w:t>
            </w:r>
          </w:p>
        </w:tc>
        <w:tc>
          <w:tcPr>
            <w:tcW w:type="dxa" w:w="1440"/>
            <w:vAlign w:val="center"/>
          </w:tcPr>
          <w:p>
            <w:pPr>
              <w:spacing w:after="0"/>
            </w:pPr>
            <w:r/>
            <w:r>
              <w:rPr>
                <w:rFonts w:ascii="Arial" w:hAnsi="Arial"/>
                <w:b w:val="0"/>
                <w:color w:val="18323F"/>
                <w:sz w:val="17"/>
              </w:rPr>
              <w:t>9.96</w:t>
            </w:r>
          </w:p>
        </w:tc>
        <w:tc>
          <w:tcPr>
            <w:tcW w:type="dxa" w:w="1296"/>
            <w:vAlign w:val="center"/>
          </w:tcPr>
          <w:p>
            <w:pPr>
              <w:spacing w:after="0"/>
            </w:pPr>
            <w:r/>
            <w:r>
              <w:rPr>
                <w:rFonts w:ascii="Arial" w:hAnsi="Arial"/>
                <w:b w:val="0"/>
                <w:color w:val="18323F"/>
                <w:sz w:val="17"/>
              </w:rPr>
              <w:t>0.12</w:t>
            </w:r>
          </w:p>
        </w:tc>
        <w:tc>
          <w:tcPr>
            <w:tcW w:type="dxa" w:w="1440"/>
            <w:vAlign w:val="center"/>
          </w:tcPr>
          <w:p>
            <w:pPr>
              <w:spacing w:after="0"/>
            </w:pPr>
            <w:r/>
            <w:r>
              <w:rPr>
                <w:rFonts w:ascii="Arial" w:hAnsi="Arial"/>
                <w:b w:val="0"/>
                <w:color w:val="18323F"/>
                <w:sz w:val="17"/>
              </w:rPr>
              <w:t>-0.03</w:t>
            </w:r>
          </w:p>
        </w:tc>
      </w:tr>
      <w:tr>
        <w:tc>
          <w:tcPr>
            <w:tcW w:type="dxa" w:w="1584"/>
            <w:vAlign w:val="center"/>
            <w:shd w:fill="EAF3F6"/>
          </w:tcPr>
          <w:p>
            <w:pPr>
              <w:spacing w:after="0"/>
            </w:pPr>
            <w:r/>
            <w:r>
              <w:rPr>
                <w:rFonts w:ascii="Arial" w:hAnsi="Arial"/>
                <w:b w:val="0"/>
                <w:color w:val="18323F"/>
                <w:sz w:val="17"/>
              </w:rPr>
              <w:t>2023</w:t>
            </w:r>
          </w:p>
        </w:tc>
        <w:tc>
          <w:tcPr>
            <w:tcW w:type="dxa" w:w="864"/>
            <w:vAlign w:val="center"/>
            <w:shd w:fill="EAF3F6"/>
          </w:tcPr>
          <w:p>
            <w:pPr>
              <w:spacing w:after="0"/>
            </w:pPr>
            <w:r/>
            <w:r>
              <w:rPr>
                <w:rFonts w:ascii="Arial" w:hAnsi="Arial"/>
                <w:b w:val="0"/>
                <w:color w:val="18323F"/>
                <w:sz w:val="17"/>
              </w:rPr>
              <w:t>43</w:t>
            </w:r>
          </w:p>
        </w:tc>
        <w:tc>
          <w:tcPr>
            <w:tcW w:type="dxa" w:w="1440"/>
            <w:vAlign w:val="center"/>
            <w:shd w:fill="EAF3F6"/>
          </w:tcPr>
          <w:p>
            <w:pPr>
              <w:spacing w:after="0"/>
            </w:pPr>
            <w:r/>
            <w:r>
              <w:rPr>
                <w:rFonts w:ascii="Arial" w:hAnsi="Arial"/>
                <w:b w:val="0"/>
                <w:color w:val="18323F"/>
                <w:sz w:val="17"/>
              </w:rPr>
              <w:t>5.76</w:t>
            </w:r>
          </w:p>
        </w:tc>
        <w:tc>
          <w:tcPr>
            <w:tcW w:type="dxa" w:w="1440"/>
            <w:vAlign w:val="center"/>
            <w:shd w:fill="EAF3F6"/>
          </w:tcPr>
          <w:p>
            <w:pPr>
              <w:spacing w:after="0"/>
            </w:pPr>
            <w:r/>
            <w:r>
              <w:rPr>
                <w:rFonts w:ascii="Arial" w:hAnsi="Arial"/>
                <w:b w:val="0"/>
                <w:color w:val="18323F"/>
                <w:sz w:val="17"/>
              </w:rPr>
              <w:t>7.24</w:t>
            </w:r>
          </w:p>
        </w:tc>
        <w:tc>
          <w:tcPr>
            <w:tcW w:type="dxa" w:w="1296"/>
            <w:vAlign w:val="center"/>
            <w:shd w:fill="EAF3F6"/>
          </w:tcPr>
          <w:p>
            <w:pPr>
              <w:spacing w:after="0"/>
            </w:pPr>
            <w:r/>
            <w:r>
              <w:rPr>
                <w:rFonts w:ascii="Arial" w:hAnsi="Arial"/>
                <w:b w:val="0"/>
                <w:color w:val="18323F"/>
                <w:sz w:val="17"/>
              </w:rPr>
              <w:t>0.18</w:t>
            </w:r>
          </w:p>
        </w:tc>
        <w:tc>
          <w:tcPr>
            <w:tcW w:type="dxa" w:w="1440"/>
            <w:vAlign w:val="center"/>
            <w:shd w:fill="EAF3F6"/>
          </w:tcPr>
          <w:p>
            <w:pPr>
              <w:spacing w:after="0"/>
            </w:pPr>
            <w:r/>
            <w:r>
              <w:rPr>
                <w:rFonts w:ascii="Arial" w:hAnsi="Arial"/>
                <w:b w:val="0"/>
                <w:color w:val="18323F"/>
                <w:sz w:val="17"/>
              </w:rPr>
              <w:t>+0.87</w:t>
            </w:r>
          </w:p>
        </w:tc>
      </w:tr>
      <w:tr>
        <w:tc>
          <w:tcPr>
            <w:tcW w:type="dxa" w:w="1584"/>
            <w:vAlign w:val="center"/>
          </w:tcPr>
          <w:p>
            <w:pPr>
              <w:spacing w:after="0"/>
            </w:pPr>
            <w:r/>
            <w:r>
              <w:rPr>
                <w:rFonts w:ascii="Arial" w:hAnsi="Arial"/>
                <w:b w:val="0"/>
                <w:color w:val="18323F"/>
                <w:sz w:val="17"/>
              </w:rPr>
              <w:t>2024</w:t>
            </w:r>
          </w:p>
        </w:tc>
        <w:tc>
          <w:tcPr>
            <w:tcW w:type="dxa" w:w="864"/>
            <w:vAlign w:val="center"/>
          </w:tcPr>
          <w:p>
            <w:pPr>
              <w:spacing w:after="0"/>
            </w:pPr>
            <w:r/>
            <w:r>
              <w:rPr>
                <w:rFonts w:ascii="Arial" w:hAnsi="Arial"/>
                <w:b w:val="0"/>
                <w:color w:val="18323F"/>
                <w:sz w:val="17"/>
              </w:rPr>
              <w:t>41</w:t>
            </w:r>
          </w:p>
        </w:tc>
        <w:tc>
          <w:tcPr>
            <w:tcW w:type="dxa" w:w="1440"/>
            <w:vAlign w:val="center"/>
          </w:tcPr>
          <w:p>
            <w:pPr>
              <w:spacing w:after="0"/>
            </w:pPr>
            <w:r/>
            <w:r>
              <w:rPr>
                <w:rFonts w:ascii="Arial" w:hAnsi="Arial"/>
                <w:b w:val="0"/>
                <w:color w:val="18323F"/>
                <w:sz w:val="17"/>
              </w:rPr>
              <w:t>5.60</w:t>
            </w:r>
          </w:p>
        </w:tc>
        <w:tc>
          <w:tcPr>
            <w:tcW w:type="dxa" w:w="1440"/>
            <w:vAlign w:val="center"/>
          </w:tcPr>
          <w:p>
            <w:pPr>
              <w:spacing w:after="0"/>
            </w:pPr>
            <w:r/>
            <w:r>
              <w:rPr>
                <w:rFonts w:ascii="Arial" w:hAnsi="Arial"/>
                <w:b w:val="0"/>
                <w:color w:val="18323F"/>
                <w:sz w:val="17"/>
              </w:rPr>
              <w:t>7.06</w:t>
            </w:r>
          </w:p>
        </w:tc>
        <w:tc>
          <w:tcPr>
            <w:tcW w:type="dxa" w:w="1296"/>
            <w:vAlign w:val="center"/>
          </w:tcPr>
          <w:p>
            <w:pPr>
              <w:spacing w:after="0"/>
            </w:pPr>
            <w:r/>
            <w:r>
              <w:rPr>
                <w:rFonts w:ascii="Arial" w:hAnsi="Arial"/>
                <w:b w:val="0"/>
                <w:color w:val="18323F"/>
                <w:sz w:val="17"/>
              </w:rPr>
              <w:t>-0.29</w:t>
            </w:r>
          </w:p>
        </w:tc>
        <w:tc>
          <w:tcPr>
            <w:tcW w:type="dxa" w:w="1440"/>
            <w:vAlign w:val="center"/>
          </w:tcPr>
          <w:p>
            <w:pPr>
              <w:spacing w:after="0"/>
            </w:pPr>
            <w:r/>
            <w:r>
              <w:rPr>
                <w:rFonts w:ascii="Arial" w:hAnsi="Arial"/>
                <w:b w:val="0"/>
                <w:color w:val="18323F"/>
                <w:sz w:val="17"/>
              </w:rPr>
              <w:t>+2.26</w:t>
            </w:r>
          </w:p>
        </w:tc>
      </w:tr>
      <w:tr>
        <w:tc>
          <w:tcPr>
            <w:tcW w:type="dxa" w:w="1584"/>
            <w:vAlign w:val="center"/>
            <w:shd w:fill="EAF3F6"/>
          </w:tcPr>
          <w:p>
            <w:pPr>
              <w:spacing w:after="0"/>
            </w:pPr>
            <w:r/>
            <w:r>
              <w:rPr>
                <w:rFonts w:ascii="Arial" w:hAnsi="Arial"/>
                <w:b w:val="0"/>
                <w:color w:val="18323F"/>
                <w:sz w:val="17"/>
              </w:rPr>
              <w:t>2025</w:t>
            </w:r>
          </w:p>
        </w:tc>
        <w:tc>
          <w:tcPr>
            <w:tcW w:type="dxa" w:w="864"/>
            <w:vAlign w:val="center"/>
            <w:shd w:fill="EAF3F6"/>
          </w:tcPr>
          <w:p>
            <w:pPr>
              <w:spacing w:after="0"/>
            </w:pPr>
            <w:r/>
            <w:r>
              <w:rPr>
                <w:rFonts w:ascii="Arial" w:hAnsi="Arial"/>
                <w:b w:val="0"/>
                <w:color w:val="18323F"/>
                <w:sz w:val="17"/>
              </w:rPr>
              <w:t>40</w:t>
            </w:r>
          </w:p>
        </w:tc>
        <w:tc>
          <w:tcPr>
            <w:tcW w:type="dxa" w:w="1440"/>
            <w:vAlign w:val="center"/>
            <w:shd w:fill="EAF3F6"/>
          </w:tcPr>
          <w:p>
            <w:pPr>
              <w:spacing w:after="0"/>
            </w:pPr>
            <w:r/>
            <w:r>
              <w:rPr>
                <w:rFonts w:ascii="Arial" w:hAnsi="Arial"/>
                <w:b w:val="0"/>
                <w:color w:val="18323F"/>
                <w:sz w:val="17"/>
              </w:rPr>
              <w:t>5.38</w:t>
            </w:r>
          </w:p>
        </w:tc>
        <w:tc>
          <w:tcPr>
            <w:tcW w:type="dxa" w:w="1440"/>
            <w:vAlign w:val="center"/>
            <w:shd w:fill="EAF3F6"/>
          </w:tcPr>
          <w:p>
            <w:pPr>
              <w:spacing w:after="0"/>
            </w:pPr>
            <w:r/>
            <w:r>
              <w:rPr>
                <w:rFonts w:ascii="Arial" w:hAnsi="Arial"/>
                <w:b w:val="0"/>
                <w:color w:val="18323F"/>
                <w:sz w:val="17"/>
              </w:rPr>
              <w:t>6.74</w:t>
            </w:r>
          </w:p>
        </w:tc>
        <w:tc>
          <w:tcPr>
            <w:tcW w:type="dxa" w:w="1296"/>
            <w:vAlign w:val="center"/>
            <w:shd w:fill="EAF3F6"/>
          </w:tcPr>
          <w:p>
            <w:pPr>
              <w:spacing w:after="0"/>
            </w:pPr>
            <w:r/>
            <w:r>
              <w:rPr>
                <w:rFonts w:ascii="Arial" w:hAnsi="Arial"/>
                <w:b w:val="0"/>
                <w:color w:val="18323F"/>
                <w:sz w:val="17"/>
              </w:rPr>
              <w:t>-0.65</w:t>
            </w:r>
          </w:p>
        </w:tc>
        <w:tc>
          <w:tcPr>
            <w:tcW w:type="dxa" w:w="1440"/>
            <w:vAlign w:val="center"/>
            <w:shd w:fill="EAF3F6"/>
          </w:tcPr>
          <w:p>
            <w:pPr>
              <w:spacing w:after="0"/>
            </w:pPr>
            <w:r/>
            <w:r>
              <w:rPr>
                <w:rFonts w:ascii="Arial" w:hAnsi="Arial"/>
                <w:b w:val="0"/>
                <w:color w:val="18323F"/>
                <w:sz w:val="17"/>
              </w:rPr>
              <w:t>+4.45</w:t>
            </w:r>
          </w:p>
        </w:tc>
      </w:tr>
    </w:tbl>
    <w:p>
      <w:pPr>
        <w:jc w:val="center"/>
      </w:pPr>
      <w:r>
        <w:drawing>
          <wp:inline xmlns:a="http://schemas.openxmlformats.org/drawingml/2006/main" xmlns:pic="http://schemas.openxmlformats.org/drawingml/2006/picture">
            <wp:extent cx="5760720" cy="4608576"/>
            <wp:docPr id="5" name="Picture 5"/>
            <wp:cNvGraphicFramePr>
              <a:graphicFrameLocks noChangeAspect="1"/>
            </wp:cNvGraphicFramePr>
            <a:graphic>
              <a:graphicData uri="http://schemas.openxmlformats.org/drawingml/2006/picture">
                <pic:pic>
                  <pic:nvPicPr>
                    <pic:cNvPr id="0" name="07_actual_vs_predicted_oof.png"/>
                    <pic:cNvPicPr/>
                  </pic:nvPicPr>
                  <pic:blipFill>
                    <a:blip r:embed="rId15"/>
                    <a:stretch>
                      <a:fillRect/>
                    </a:stretch>
                  </pic:blipFill>
                  <pic:spPr>
                    <a:xfrm>
                      <a:off x="0" y="0"/>
                      <a:ext cx="5760720" cy="4608576"/>
                    </a:xfrm>
                    <a:prstGeom prst="rect"/>
                  </pic:spPr>
                </pic:pic>
              </a:graphicData>
            </a:graphic>
          </wp:inline>
        </w:drawing>
      </w:r>
    </w:p>
    <w:p>
      <w:pPr>
        <w:spacing w:after="120"/>
        <w:jc w:val="center"/>
      </w:pPr>
      <w:r>
        <w:rPr>
          <w:i/>
          <w:sz w:val="17"/>
        </w:rPr>
        <w:t>Figure 5. Held-forward observations and selected-model predictions.</w:t>
      </w:r>
    </w:p>
    <w:p>
      <w:pPr>
        <w:spacing w:line="283" w:lineRule="auto" w:after="120"/>
      </w:pPr>
      <w:r>
        <w:rPr>
          <w:b w:val="0"/>
          <w:i w:val="0"/>
          <w:color w:val="18323F"/>
        </w:rPr>
        <w:t>Performance is unstable by year. In particular, negative R2 in 2024 and 2025 means the model did not explain those years better than their year-specific means. Predictions shrink towards the centre and miss extremes. The displayed bounds use pooled 2.5th and 97.5th percentiles of held-forward residuals; they are empirical screening ranges, not formal confidence intervals.</w:t>
      </w:r>
    </w:p>
    <w:p>
      <w:r>
        <w:br w:type="page"/>
      </w:r>
    </w:p>
    <w:p>
      <w:pPr>
        <w:pStyle w:val="Heading1"/>
        <w:keepNext/>
        <w:spacing w:before="180" w:after="80"/>
      </w:pPr>
      <w:r>
        <w:t>5. Associated factors</w:t>
      </w:r>
    </w:p>
    <w:p>
      <w:pPr>
        <w:jc w:val="center"/>
      </w:pPr>
      <w:r>
        <w:drawing>
          <wp:inline xmlns:a="http://schemas.openxmlformats.org/drawingml/2006/main" xmlns:pic="http://schemas.openxmlformats.org/drawingml/2006/picture">
            <wp:extent cx="5943600" cy="2011680"/>
            <wp:docPr id="6" name="Picture 6"/>
            <wp:cNvGraphicFramePr>
              <a:graphicFrameLocks noChangeAspect="1"/>
            </wp:cNvGraphicFramePr>
            <a:graphic>
              <a:graphicData uri="http://schemas.openxmlformats.org/drawingml/2006/picture">
                <pic:pic>
                  <pic:nvPicPr>
                    <pic:cNvPr id="0" name="10_factor_relationships.png"/>
                    <pic:cNvPicPr/>
                  </pic:nvPicPr>
                  <pic:blipFill>
                    <a:blip r:embed="rId16"/>
                    <a:stretch>
                      <a:fillRect/>
                    </a:stretch>
                  </pic:blipFill>
                  <pic:spPr>
                    <a:xfrm>
                      <a:off x="0" y="0"/>
                      <a:ext cx="5943600" cy="2011680"/>
                    </a:xfrm>
                    <a:prstGeom prst="rect"/>
                  </pic:spPr>
                </pic:pic>
              </a:graphicData>
            </a:graphic>
          </wp:inline>
        </w:drawing>
      </w:r>
    </w:p>
    <w:p>
      <w:pPr>
        <w:spacing w:after="120"/>
        <w:jc w:val="center"/>
      </w:pPr>
      <w:r>
        <w:rPr>
          <w:i/>
          <w:sz w:val="17"/>
        </w:rPr>
        <w:t>Figure 6. Lagged descriptive relationships for regional heat and report-mention indicators.</w:t>
      </w:r>
    </w:p>
    <w:p>
      <w:pPr>
        <w:spacing w:line="283" w:lineRule="auto" w:after="120"/>
      </w:pPr>
      <w:r>
        <w:rPr>
          <w:b w:val="0"/>
          <w:i w:val="0"/>
          <w:color w:val="18323F"/>
        </w:rPr>
        <w:t>Regional maximum DHW has a weak negative Spearman association with the next observed change (rho -0.10, p=0.051, n=348). This supports a field-verification question, not a causal claim. Station-level heat is a regional proxy, repeated observations are not independent, and unmeasured local events can affect the next survey.</w:t>
      </w:r>
    </w:p>
    <w:p>
      <w:pPr>
        <w:jc w:val="center"/>
      </w:pPr>
      <w:r>
        <w:drawing>
          <wp:inline xmlns:a="http://schemas.openxmlformats.org/drawingml/2006/main" xmlns:pic="http://schemas.openxmlformats.org/drawingml/2006/picture">
            <wp:extent cx="5760720" cy="2419502"/>
            <wp:docPr id="7" name="Picture 7"/>
            <wp:cNvGraphicFramePr>
              <a:graphicFrameLocks noChangeAspect="1"/>
            </wp:cNvGraphicFramePr>
            <a:graphic>
              <a:graphicData uri="http://schemas.openxmlformats.org/drawingml/2006/picture">
                <pic:pic>
                  <pic:nvPicPr>
                    <pic:cNvPr id="0" name="03_satellite_thermal_stress_dhw.png"/>
                    <pic:cNvPicPr/>
                  </pic:nvPicPr>
                  <pic:blipFill>
                    <a:blip r:embed="rId17"/>
                    <a:stretch>
                      <a:fillRect/>
                    </a:stretch>
                  </pic:blipFill>
                  <pic:spPr>
                    <a:xfrm>
                      <a:off x="0" y="0"/>
                      <a:ext cx="5760720" cy="2419502"/>
                    </a:xfrm>
                    <a:prstGeom prst="rect"/>
                  </pic:spPr>
                </pic:pic>
              </a:graphicData>
            </a:graphic>
          </wp:inline>
        </w:drawing>
      </w:r>
    </w:p>
    <w:p>
      <w:pPr>
        <w:spacing w:after="120"/>
        <w:jc w:val="center"/>
      </w:pPr>
      <w:r>
        <w:rPr>
          <w:i/>
          <w:sz w:val="17"/>
        </w:rPr>
        <w:t>Figure 7. NOAA regional thermal context, explicitly outside the scored model.</w:t>
      </w:r>
    </w:p>
    <w:p>
      <w:pPr>
        <w:pStyle w:val="Heading2"/>
        <w:keepNext/>
        <w:spacing w:before="180" w:after="80"/>
      </w:pPr>
      <w:r>
        <w:t>Interpretation rule</w:t>
      </w:r>
    </w:p>
    <w:p>
      <w:pPr>
        <w:spacing w:line="283" w:lineRule="auto" w:after="120"/>
      </w:pPr>
      <w:r>
        <w:rPr>
          <w:b/>
          <w:i w:val="0"/>
          <w:color w:val="18323F"/>
        </w:rPr>
        <w:t>Correlation is useful here only to show whether a proposed factor has a measured relationship worth investigating. It is not a prerequisite that proves causation, and it does not justify converting coefficients or feature importance into percentages of reef loss.</w:t>
      </w:r>
    </w:p>
    <w:p>
      <w:r>
        <w:br w:type="page"/>
      </w:r>
    </w:p>
    <w:p>
      <w:pPr>
        <w:pStyle w:val="Heading1"/>
        <w:keepNext/>
        <w:spacing w:before="180" w:after="80"/>
      </w:pPr>
      <w:r>
        <w:t>6. Economic context</w:t>
      </w:r>
    </w:p>
    <w:p>
      <w:pPr>
        <w:spacing w:line="283" w:lineRule="auto" w:after="120"/>
      </w:pPr>
      <w:r>
        <w:rPr>
          <w:b w:val="0"/>
          <w:i w:val="0"/>
          <w:color w:val="18323F"/>
        </w:rPr>
        <w:t>The Department of Marine Park Malaysia booklet Total Economic Value of Marine Biodiversity: Malaysia Marine Parks reports a rounded annual Total Economic Value of RM8.7 billion from studies conducted during 2011-2015 for six evaluated archipelagos: Pulau Payar, Pulau Perhentian, Pulau Redang, Pulau Tioman, Pulau Tinggi, and Pulau Labuan.</w:t>
      </w:r>
    </w:p>
    <w:p>
      <w:pPr>
        <w:jc w:val="center"/>
      </w:pPr>
      <w:r>
        <w:drawing>
          <wp:inline xmlns:a="http://schemas.openxmlformats.org/drawingml/2006/main" xmlns:pic="http://schemas.openxmlformats.org/drawingml/2006/picture">
            <wp:extent cx="5760720" cy="2765146"/>
            <wp:docPr id="8" name="Picture 8"/>
            <wp:cNvGraphicFramePr>
              <a:graphicFrameLocks noChangeAspect="1"/>
            </wp:cNvGraphicFramePr>
            <a:graphic>
              <a:graphicData uri="http://schemas.openxmlformats.org/drawingml/2006/picture">
                <pic:pic>
                  <pic:nvPicPr>
                    <pic:cNvPr id="0" name="04_economic_valuation_pillars.png"/>
                    <pic:cNvPicPr/>
                  </pic:nvPicPr>
                  <pic:blipFill>
                    <a:blip r:embed="rId18"/>
                    <a:stretch>
                      <a:fillRect/>
                    </a:stretch>
                  </pic:blipFill>
                  <pic:spPr>
                    <a:xfrm>
                      <a:off x="0" y="0"/>
                      <a:ext cx="5760720" cy="2765146"/>
                    </a:xfrm>
                    <a:prstGeom prst="rect"/>
                  </pic:spPr>
                </pic:pic>
              </a:graphicData>
            </a:graphic>
          </wp:inline>
        </w:drawing>
      </w:r>
    </w:p>
    <w:p>
      <w:pPr>
        <w:spacing w:after="120"/>
        <w:jc w:val="center"/>
      </w:pPr>
      <w:r>
        <w:rPr>
          <w:i/>
          <w:sz w:val="17"/>
        </w:rPr>
        <w:t>Figure 8. Source-transcribed DMPM component values. The calculated sum is RM8.68699 billion before headline rounding.</w:t>
      </w:r>
    </w:p>
    <w:tbl>
      <w:tblPr>
        <w:tblStyle w:val="TableGrid"/>
        <w:tblW w:type="auto" w:w="0"/>
        <w:jc w:val="center"/>
        <w:tblLook w:firstColumn="1" w:firstRow="1" w:lastColumn="0" w:lastRow="0" w:noHBand="0" w:noVBand="1" w:val="04A0"/>
      </w:tblPr>
      <w:tblGrid>
        <w:gridCol w:w="3331"/>
        <w:gridCol w:w="3331"/>
        <w:gridCol w:w="3331"/>
      </w:tblGrid>
      <w:tr>
        <w:tc>
          <w:tcPr>
            <w:tcW w:type="dxa" w:w="3888"/>
            <w:vAlign w:val="center"/>
            <w:shd w:fill="12304A"/>
          </w:tcPr>
          <w:p>
            <w:pPr>
              <w:spacing w:after="0"/>
            </w:pPr>
            <w:r/>
            <w:r>
              <w:rPr>
                <w:rFonts w:ascii="Arial" w:hAnsi="Arial"/>
                <w:b/>
                <w:color w:val="FFFFFF"/>
                <w:sz w:val="16"/>
              </w:rPr>
              <w:t>Component</w:t>
            </w:r>
          </w:p>
        </w:tc>
        <w:tc>
          <w:tcPr>
            <w:tcW w:type="dxa" w:w="3024"/>
            <w:vAlign w:val="center"/>
            <w:shd w:fill="12304A"/>
          </w:tcPr>
          <w:p>
            <w:pPr>
              <w:spacing w:after="0"/>
            </w:pPr>
            <w:r/>
            <w:r>
              <w:rPr>
                <w:rFonts w:ascii="Arial" w:hAnsi="Arial"/>
                <w:b/>
                <w:color w:val="FFFFFF"/>
                <w:sz w:val="16"/>
              </w:rPr>
              <w:t>Annual value</w:t>
            </w:r>
          </w:p>
        </w:tc>
        <w:tc>
          <w:tcPr>
            <w:tcW w:type="dxa" w:w="1728"/>
            <w:vAlign w:val="center"/>
            <w:shd w:fill="12304A"/>
          </w:tcPr>
          <w:p>
            <w:pPr>
              <w:spacing w:after="0"/>
            </w:pPr>
            <w:r/>
            <w:r>
              <w:rPr>
                <w:rFonts w:ascii="Arial" w:hAnsi="Arial"/>
                <w:b/>
                <w:color w:val="FFFFFF"/>
                <w:sz w:val="16"/>
              </w:rPr>
              <w:t>Source page</w:t>
            </w:r>
          </w:p>
        </w:tc>
      </w:tr>
      <w:tr>
        <w:tc>
          <w:tcPr>
            <w:tcW w:type="dxa" w:w="3888"/>
            <w:vAlign w:val="center"/>
            <w:shd w:fill="EAF3F6"/>
          </w:tcPr>
          <w:p>
            <w:pPr>
              <w:spacing w:after="0"/>
            </w:pPr>
            <w:r/>
            <w:r>
              <w:rPr>
                <w:rFonts w:ascii="Arial" w:hAnsi="Arial"/>
                <w:b w:val="0"/>
                <w:color w:val="18323F"/>
                <w:sz w:val="17"/>
              </w:rPr>
              <w:t>Aesthetic value</w:t>
            </w:r>
          </w:p>
        </w:tc>
        <w:tc>
          <w:tcPr>
            <w:tcW w:type="dxa" w:w="3024"/>
            <w:vAlign w:val="center"/>
            <w:shd w:fill="EAF3F6"/>
          </w:tcPr>
          <w:p>
            <w:pPr>
              <w:spacing w:after="0"/>
            </w:pPr>
            <w:r/>
            <w:r>
              <w:rPr>
                <w:rFonts w:ascii="Arial" w:hAnsi="Arial"/>
                <w:b w:val="0"/>
                <w:color w:val="18323F"/>
                <w:sz w:val="17"/>
              </w:rPr>
              <w:t>RM8,000.00 million</w:t>
            </w:r>
          </w:p>
        </w:tc>
        <w:tc>
          <w:tcPr>
            <w:tcW w:type="dxa" w:w="1728"/>
            <w:vAlign w:val="center"/>
            <w:shd w:fill="EAF3F6"/>
          </w:tcPr>
          <w:p>
            <w:pPr>
              <w:spacing w:after="0"/>
            </w:pPr>
            <w:r/>
            <w:r>
              <w:rPr>
                <w:rFonts w:ascii="Arial" w:hAnsi="Arial"/>
                <w:b w:val="0"/>
                <w:color w:val="18323F"/>
                <w:sz w:val="17"/>
              </w:rPr>
              <w:t>9</w:t>
            </w:r>
          </w:p>
        </w:tc>
      </w:tr>
      <w:tr>
        <w:tc>
          <w:tcPr>
            <w:tcW w:type="dxa" w:w="3888"/>
            <w:vAlign w:val="center"/>
          </w:tcPr>
          <w:p>
            <w:pPr>
              <w:spacing w:after="0"/>
            </w:pPr>
            <w:r/>
            <w:r>
              <w:rPr>
                <w:rFonts w:ascii="Arial" w:hAnsi="Arial"/>
                <w:b w:val="0"/>
                <w:color w:val="18323F"/>
                <w:sz w:val="17"/>
              </w:rPr>
              <w:t>Fisheries</w:t>
            </w:r>
          </w:p>
        </w:tc>
        <w:tc>
          <w:tcPr>
            <w:tcW w:type="dxa" w:w="3024"/>
            <w:vAlign w:val="center"/>
          </w:tcPr>
          <w:p>
            <w:pPr>
              <w:spacing w:after="0"/>
            </w:pPr>
            <w:r/>
            <w:r>
              <w:rPr>
                <w:rFonts w:ascii="Arial" w:hAnsi="Arial"/>
                <w:b w:val="0"/>
                <w:color w:val="18323F"/>
                <w:sz w:val="17"/>
              </w:rPr>
              <w:t>RM580.40 million</w:t>
            </w:r>
          </w:p>
        </w:tc>
        <w:tc>
          <w:tcPr>
            <w:tcW w:type="dxa" w:w="1728"/>
            <w:vAlign w:val="center"/>
          </w:tcPr>
          <w:p>
            <w:pPr>
              <w:spacing w:after="0"/>
            </w:pPr>
            <w:r/>
            <w:r>
              <w:rPr>
                <w:rFonts w:ascii="Arial" w:hAnsi="Arial"/>
                <w:b w:val="0"/>
                <w:color w:val="18323F"/>
                <w:sz w:val="17"/>
              </w:rPr>
              <w:t>6</w:t>
            </w:r>
          </w:p>
        </w:tc>
      </w:tr>
      <w:tr>
        <w:tc>
          <w:tcPr>
            <w:tcW w:type="dxa" w:w="3888"/>
            <w:vAlign w:val="center"/>
            <w:shd w:fill="EAF3F6"/>
          </w:tcPr>
          <w:p>
            <w:pPr>
              <w:spacing w:after="0"/>
            </w:pPr>
            <w:r/>
            <w:r>
              <w:rPr>
                <w:rFonts w:ascii="Arial" w:hAnsi="Arial"/>
                <w:b w:val="0"/>
                <w:color w:val="18323F"/>
                <w:sz w:val="17"/>
              </w:rPr>
              <w:t>Coastal protection</w:t>
            </w:r>
          </w:p>
        </w:tc>
        <w:tc>
          <w:tcPr>
            <w:tcW w:type="dxa" w:w="3024"/>
            <w:vAlign w:val="center"/>
            <w:shd w:fill="EAF3F6"/>
          </w:tcPr>
          <w:p>
            <w:pPr>
              <w:spacing w:after="0"/>
            </w:pPr>
            <w:r/>
            <w:r>
              <w:rPr>
                <w:rFonts w:ascii="Arial" w:hAnsi="Arial"/>
                <w:b w:val="0"/>
                <w:color w:val="18323F"/>
                <w:sz w:val="17"/>
              </w:rPr>
              <w:t>RM56.25 million</w:t>
            </w:r>
          </w:p>
        </w:tc>
        <w:tc>
          <w:tcPr>
            <w:tcW w:type="dxa" w:w="1728"/>
            <w:vAlign w:val="center"/>
            <w:shd w:fill="EAF3F6"/>
          </w:tcPr>
          <w:p>
            <w:pPr>
              <w:spacing w:after="0"/>
            </w:pPr>
            <w:r/>
            <w:r>
              <w:rPr>
                <w:rFonts w:ascii="Arial" w:hAnsi="Arial"/>
                <w:b w:val="0"/>
                <w:color w:val="18323F"/>
                <w:sz w:val="17"/>
              </w:rPr>
              <w:t>11</w:t>
            </w:r>
          </w:p>
        </w:tc>
      </w:tr>
      <w:tr>
        <w:tc>
          <w:tcPr>
            <w:tcW w:type="dxa" w:w="3888"/>
            <w:vAlign w:val="center"/>
          </w:tcPr>
          <w:p>
            <w:pPr>
              <w:spacing w:after="0"/>
            </w:pPr>
            <w:r/>
            <w:r>
              <w:rPr>
                <w:rFonts w:ascii="Arial" w:hAnsi="Arial"/>
                <w:b w:val="0"/>
                <w:color w:val="18323F"/>
                <w:sz w:val="17"/>
              </w:rPr>
              <w:t>Carbon sequestration</w:t>
            </w:r>
          </w:p>
        </w:tc>
        <w:tc>
          <w:tcPr>
            <w:tcW w:type="dxa" w:w="3024"/>
            <w:vAlign w:val="center"/>
          </w:tcPr>
          <w:p>
            <w:pPr>
              <w:spacing w:after="0"/>
            </w:pPr>
            <w:r/>
            <w:r>
              <w:rPr>
                <w:rFonts w:ascii="Arial" w:hAnsi="Arial"/>
                <w:b w:val="0"/>
                <w:color w:val="18323F"/>
                <w:sz w:val="17"/>
              </w:rPr>
              <w:t>RM30.24 million</w:t>
            </w:r>
          </w:p>
        </w:tc>
        <w:tc>
          <w:tcPr>
            <w:tcW w:type="dxa" w:w="1728"/>
            <w:vAlign w:val="center"/>
          </w:tcPr>
          <w:p>
            <w:pPr>
              <w:spacing w:after="0"/>
            </w:pPr>
            <w:r/>
            <w:r>
              <w:rPr>
                <w:rFonts w:ascii="Arial" w:hAnsi="Arial"/>
                <w:b w:val="0"/>
                <w:color w:val="18323F"/>
                <w:sz w:val="17"/>
              </w:rPr>
              <w:t>12</w:t>
            </w:r>
          </w:p>
        </w:tc>
      </w:tr>
      <w:tr>
        <w:tc>
          <w:tcPr>
            <w:tcW w:type="dxa" w:w="3888"/>
            <w:vAlign w:val="center"/>
            <w:shd w:fill="EAF3F6"/>
          </w:tcPr>
          <w:p>
            <w:pPr>
              <w:spacing w:after="0"/>
            </w:pPr>
            <w:r/>
            <w:r>
              <w:rPr>
                <w:rFonts w:ascii="Arial" w:hAnsi="Arial"/>
                <w:b w:val="0"/>
                <w:color w:val="18323F"/>
                <w:sz w:val="17"/>
              </w:rPr>
              <w:t>Bequest value</w:t>
            </w:r>
          </w:p>
        </w:tc>
        <w:tc>
          <w:tcPr>
            <w:tcW w:type="dxa" w:w="3024"/>
            <w:vAlign w:val="center"/>
            <w:shd w:fill="EAF3F6"/>
          </w:tcPr>
          <w:p>
            <w:pPr>
              <w:spacing w:after="0"/>
            </w:pPr>
            <w:r/>
            <w:r>
              <w:rPr>
                <w:rFonts w:ascii="Arial" w:hAnsi="Arial"/>
                <w:b w:val="0"/>
                <w:color w:val="18323F"/>
                <w:sz w:val="17"/>
              </w:rPr>
              <w:t>RM14.50 million</w:t>
            </w:r>
          </w:p>
        </w:tc>
        <w:tc>
          <w:tcPr>
            <w:tcW w:type="dxa" w:w="1728"/>
            <w:vAlign w:val="center"/>
            <w:shd w:fill="EAF3F6"/>
          </w:tcPr>
          <w:p>
            <w:pPr>
              <w:spacing w:after="0"/>
            </w:pPr>
            <w:r/>
            <w:r>
              <w:rPr>
                <w:rFonts w:ascii="Arial" w:hAnsi="Arial"/>
                <w:b w:val="0"/>
                <w:color w:val="18323F"/>
                <w:sz w:val="17"/>
              </w:rPr>
              <w:t>13</w:t>
            </w:r>
          </w:p>
        </w:tc>
      </w:tr>
      <w:tr>
        <w:tc>
          <w:tcPr>
            <w:tcW w:type="dxa" w:w="3888"/>
            <w:vAlign w:val="center"/>
          </w:tcPr>
          <w:p>
            <w:pPr>
              <w:spacing w:after="0"/>
            </w:pPr>
            <w:r/>
            <w:r>
              <w:rPr>
                <w:rFonts w:ascii="Arial" w:hAnsi="Arial"/>
                <w:b w:val="0"/>
                <w:color w:val="18323F"/>
                <w:sz w:val="17"/>
              </w:rPr>
              <w:t>Tourism</w:t>
            </w:r>
          </w:p>
        </w:tc>
        <w:tc>
          <w:tcPr>
            <w:tcW w:type="dxa" w:w="3024"/>
            <w:vAlign w:val="center"/>
          </w:tcPr>
          <w:p>
            <w:pPr>
              <w:spacing w:after="0"/>
            </w:pPr>
            <w:r/>
            <w:r>
              <w:rPr>
                <w:rFonts w:ascii="Arial" w:hAnsi="Arial"/>
                <w:b w:val="0"/>
                <w:color w:val="18323F"/>
                <w:sz w:val="17"/>
              </w:rPr>
              <w:t>RM4.60 million</w:t>
            </w:r>
          </w:p>
        </w:tc>
        <w:tc>
          <w:tcPr>
            <w:tcW w:type="dxa" w:w="1728"/>
            <w:vAlign w:val="center"/>
          </w:tcPr>
          <w:p>
            <w:pPr>
              <w:spacing w:after="0"/>
            </w:pPr>
            <w:r/>
            <w:r>
              <w:rPr>
                <w:rFonts w:ascii="Arial" w:hAnsi="Arial"/>
                <w:b w:val="0"/>
                <w:color w:val="18323F"/>
                <w:sz w:val="17"/>
              </w:rPr>
              <w:t>7</w:t>
            </w:r>
          </w:p>
        </w:tc>
      </w:tr>
      <w:tr>
        <w:tc>
          <w:tcPr>
            <w:tcW w:type="dxa" w:w="3888"/>
            <w:vAlign w:val="center"/>
            <w:shd w:fill="EAF3F6"/>
          </w:tcPr>
          <w:p>
            <w:pPr>
              <w:spacing w:after="0"/>
            </w:pPr>
            <w:r/>
            <w:r>
              <w:rPr>
                <w:rFonts w:ascii="Arial" w:hAnsi="Arial"/>
                <w:b w:val="0"/>
                <w:color w:val="18323F"/>
                <w:sz w:val="17"/>
              </w:rPr>
              <w:t>Biological support</w:t>
            </w:r>
          </w:p>
        </w:tc>
        <w:tc>
          <w:tcPr>
            <w:tcW w:type="dxa" w:w="3024"/>
            <w:vAlign w:val="center"/>
            <w:shd w:fill="EAF3F6"/>
          </w:tcPr>
          <w:p>
            <w:pPr>
              <w:spacing w:after="0"/>
            </w:pPr>
            <w:r/>
            <w:r>
              <w:rPr>
                <w:rFonts w:ascii="Arial" w:hAnsi="Arial"/>
                <w:b w:val="0"/>
                <w:color w:val="18323F"/>
                <w:sz w:val="17"/>
              </w:rPr>
              <w:t>RM1.00 million</w:t>
            </w:r>
          </w:p>
        </w:tc>
        <w:tc>
          <w:tcPr>
            <w:tcW w:type="dxa" w:w="1728"/>
            <w:vAlign w:val="center"/>
            <w:shd w:fill="EAF3F6"/>
          </w:tcPr>
          <w:p>
            <w:pPr>
              <w:spacing w:after="0"/>
            </w:pPr>
            <w:r/>
            <w:r>
              <w:rPr>
                <w:rFonts w:ascii="Arial" w:hAnsi="Arial"/>
                <w:b w:val="0"/>
                <w:color w:val="18323F"/>
                <w:sz w:val="17"/>
              </w:rPr>
              <w:t>10</w:t>
            </w:r>
          </w:p>
        </w:tc>
      </w:tr>
    </w:tbl>
    <w:p>
      <w:pPr>
        <w:spacing w:line="283" w:lineRule="auto" w:after="120"/>
      </w:pPr>
      <w:r>
        <w:rPr>
          <w:b/>
          <w:i w:val="0"/>
          <w:color w:val="18323F"/>
        </w:rPr>
        <w:t>This benchmark is historical context. It is not a current national reef total, ReefSafe revenue estimate, island allocation, avoided loss, or net present value.</w:t>
      </w:r>
    </w:p>
    <w:p>
      <w:r>
        <w:br w:type="page"/>
      </w:r>
    </w:p>
    <w:p>
      <w:pPr>
        <w:pStyle w:val="Heading1"/>
        <w:keepNext/>
        <w:spacing w:before="180" w:after="80"/>
      </w:pPr>
      <w:r>
        <w:t>7. Field-verification output</w:t>
      </w:r>
    </w:p>
    <w:p>
      <w:pPr>
        <w:spacing w:line="283" w:lineRule="auto" w:after="120"/>
      </w:pPr>
      <w:r>
        <w:rPr>
          <w:b w:val="0"/>
          <w:i w:val="0"/>
          <w:color w:val="18323F"/>
        </w:rPr>
        <w:t>The final model scores the latest observation for each of 40 units. The top quartile is labelled High screening priority as a practical workload queue. Rank does not create a scientific threshold or regulatory instruction.</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720"/>
            <w:vAlign w:val="center"/>
            <w:shd w:fill="12304A"/>
          </w:tcPr>
          <w:p>
            <w:pPr>
              <w:spacing w:after="0"/>
            </w:pPr>
            <w:r/>
            <w:r>
              <w:rPr>
                <w:rFonts w:ascii="Arial" w:hAnsi="Arial"/>
                <w:b/>
                <w:color w:val="FFFFFF"/>
                <w:sz w:val="16"/>
              </w:rPr>
              <w:t>Rank</w:t>
            </w:r>
          </w:p>
        </w:tc>
        <w:tc>
          <w:tcPr>
            <w:tcW w:type="dxa" w:w="1440"/>
            <w:vAlign w:val="center"/>
            <w:shd w:fill="12304A"/>
          </w:tcPr>
          <w:p>
            <w:pPr>
              <w:spacing w:after="0"/>
            </w:pPr>
            <w:r/>
            <w:r>
              <w:rPr>
                <w:rFonts w:ascii="Arial" w:hAnsi="Arial"/>
                <w:b/>
                <w:color w:val="FFFFFF"/>
                <w:sz w:val="16"/>
              </w:rPr>
              <w:t>Unit</w:t>
            </w:r>
          </w:p>
        </w:tc>
        <w:tc>
          <w:tcPr>
            <w:tcW w:type="dxa" w:w="1440"/>
            <w:vAlign w:val="center"/>
            <w:shd w:fill="12304A"/>
          </w:tcPr>
          <w:p>
            <w:pPr>
              <w:spacing w:after="0"/>
            </w:pPr>
            <w:r/>
            <w:r>
              <w:rPr>
                <w:rFonts w:ascii="Arial" w:hAnsi="Arial"/>
                <w:b/>
                <w:color w:val="FFFFFF"/>
                <w:sz w:val="16"/>
              </w:rPr>
              <w:t>State</w:t>
            </w:r>
          </w:p>
        </w:tc>
        <w:tc>
          <w:tcPr>
            <w:tcW w:type="dxa" w:w="1440"/>
            <w:vAlign w:val="center"/>
            <w:shd w:fill="12304A"/>
          </w:tcPr>
          <w:p>
            <w:pPr>
              <w:spacing w:after="0"/>
            </w:pPr>
            <w:r/>
            <w:r>
              <w:rPr>
                <w:rFonts w:ascii="Arial" w:hAnsi="Arial"/>
                <w:b/>
                <w:color w:val="FFFFFF"/>
                <w:sz w:val="16"/>
              </w:rPr>
              <w:t>Estimate (pp/yr)</w:t>
            </w:r>
          </w:p>
        </w:tc>
        <w:tc>
          <w:tcPr>
            <w:tcW w:type="dxa" w:w="1584"/>
            <w:vAlign w:val="center"/>
            <w:shd w:fill="12304A"/>
          </w:tcPr>
          <w:p>
            <w:pPr>
              <w:spacing w:after="0"/>
            </w:pPr>
            <w:r/>
            <w:r>
              <w:rPr>
                <w:rFonts w:ascii="Arial" w:hAnsi="Arial"/>
                <w:b/>
                <w:color w:val="FFFFFF"/>
                <w:sz w:val="16"/>
              </w:rPr>
              <w:t>Empirical range</w:t>
            </w:r>
          </w:p>
        </w:tc>
        <w:tc>
          <w:tcPr>
            <w:tcW w:type="dxa" w:w="2880"/>
            <w:vAlign w:val="center"/>
            <w:shd w:fill="12304A"/>
          </w:tcPr>
          <w:p>
            <w:pPr>
              <w:spacing w:after="0"/>
            </w:pPr>
            <w:r/>
            <w:r>
              <w:rPr>
                <w:rFonts w:ascii="Arial" w:hAnsi="Arial"/>
                <w:b/>
                <w:color w:val="FFFFFF"/>
                <w:sz w:val="16"/>
              </w:rPr>
              <w:t>Next check</w:t>
            </w:r>
          </w:p>
        </w:tc>
      </w:tr>
      <w:tr>
        <w:tc>
          <w:tcPr>
            <w:tcW w:type="dxa" w:w="720"/>
            <w:vAlign w:val="center"/>
            <w:shd w:fill="EAF3F6"/>
          </w:tcPr>
          <w:p>
            <w:pPr>
              <w:spacing w:after="0"/>
            </w:pPr>
            <w:r/>
            <w:r>
              <w:rPr>
                <w:rFonts w:ascii="Arial" w:hAnsi="Arial"/>
                <w:b w:val="0"/>
                <w:color w:val="18323F"/>
                <w:sz w:val="17"/>
              </w:rPr>
              <w:t>1</w:t>
            </w:r>
          </w:p>
        </w:tc>
        <w:tc>
          <w:tcPr>
            <w:tcW w:type="dxa" w:w="1440"/>
            <w:vAlign w:val="center"/>
            <w:shd w:fill="EAF3F6"/>
          </w:tcPr>
          <w:p>
            <w:pPr>
              <w:spacing w:after="0"/>
            </w:pPr>
            <w:r/>
            <w:r>
              <w:rPr>
                <w:rFonts w:ascii="Arial" w:hAnsi="Arial"/>
                <w:b w:val="0"/>
                <w:color w:val="18323F"/>
                <w:sz w:val="17"/>
              </w:rPr>
              <w:t>Labuan</w:t>
            </w:r>
          </w:p>
        </w:tc>
        <w:tc>
          <w:tcPr>
            <w:tcW w:type="dxa" w:w="1440"/>
            <w:vAlign w:val="center"/>
            <w:shd w:fill="EAF3F6"/>
          </w:tcPr>
          <w:p>
            <w:pPr>
              <w:spacing w:after="0"/>
            </w:pPr>
            <w:r/>
            <w:r>
              <w:rPr>
                <w:rFonts w:ascii="Arial" w:hAnsi="Arial"/>
                <w:b w:val="0"/>
                <w:color w:val="18323F"/>
                <w:sz w:val="17"/>
              </w:rPr>
              <w:t>W.P. Labuan</w:t>
            </w:r>
          </w:p>
        </w:tc>
        <w:tc>
          <w:tcPr>
            <w:tcW w:type="dxa" w:w="1440"/>
            <w:vAlign w:val="center"/>
            <w:shd w:fill="EAF3F6"/>
          </w:tcPr>
          <w:p>
            <w:pPr>
              <w:spacing w:after="0"/>
            </w:pPr>
            <w:r/>
            <w:r>
              <w:rPr>
                <w:rFonts w:ascii="Arial" w:hAnsi="Arial"/>
                <w:b w:val="0"/>
                <w:color w:val="18323F"/>
                <w:sz w:val="17"/>
              </w:rPr>
              <w:t>-14.42</w:t>
            </w:r>
          </w:p>
        </w:tc>
        <w:tc>
          <w:tcPr>
            <w:tcW w:type="dxa" w:w="1584"/>
            <w:vAlign w:val="center"/>
            <w:shd w:fill="EAF3F6"/>
          </w:tcPr>
          <w:p>
            <w:pPr>
              <w:spacing w:after="0"/>
            </w:pPr>
            <w:r/>
            <w:r>
              <w:rPr>
                <w:rFonts w:ascii="Arial" w:hAnsi="Arial"/>
                <w:b w:val="0"/>
                <w:color w:val="18323F"/>
                <w:sz w:val="17"/>
              </w:rPr>
              <w:t>-30.7 to -0.8</w:t>
            </w:r>
          </w:p>
        </w:tc>
        <w:tc>
          <w:tcPr>
            <w:tcW w:type="dxa" w:w="2880"/>
            <w:vAlign w:val="center"/>
            <w:shd w:fill="EAF3F6"/>
          </w:tcPr>
          <w:p>
            <w:pPr>
              <w:spacing w:after="0"/>
            </w:pPr>
            <w:r/>
            <w:r>
              <w:rPr>
                <w:rFonts w:ascii="Arial" w:hAnsi="Arial"/>
                <w:b w:val="0"/>
                <w:color w:val="18323F"/>
                <w:sz w:val="17"/>
              </w:rPr>
              <w:t>Coordinate bleaching survey; do not attribute thermal loss to visitors</w:t>
            </w:r>
          </w:p>
        </w:tc>
      </w:tr>
      <w:tr>
        <w:tc>
          <w:tcPr>
            <w:tcW w:type="dxa" w:w="720"/>
            <w:vAlign w:val="center"/>
          </w:tcPr>
          <w:p>
            <w:pPr>
              <w:spacing w:after="0"/>
            </w:pPr>
            <w:r/>
            <w:r>
              <w:rPr>
                <w:rFonts w:ascii="Arial" w:hAnsi="Arial"/>
                <w:b w:val="0"/>
                <w:color w:val="18323F"/>
                <w:sz w:val="17"/>
              </w:rPr>
              <w:t>2</w:t>
            </w:r>
          </w:p>
        </w:tc>
        <w:tc>
          <w:tcPr>
            <w:tcW w:type="dxa" w:w="1440"/>
            <w:vAlign w:val="center"/>
          </w:tcPr>
          <w:p>
            <w:pPr>
              <w:spacing w:after="0"/>
            </w:pPr>
            <w:r/>
            <w:r>
              <w:rPr>
                <w:rFonts w:ascii="Arial" w:hAnsi="Arial"/>
                <w:b w:val="0"/>
                <w:color w:val="18323F"/>
                <w:sz w:val="17"/>
              </w:rPr>
              <w:t>Kapas</w:t>
            </w:r>
          </w:p>
        </w:tc>
        <w:tc>
          <w:tcPr>
            <w:tcW w:type="dxa" w:w="1440"/>
            <w:vAlign w:val="center"/>
          </w:tcPr>
          <w:p>
            <w:pPr>
              <w:spacing w:after="0"/>
            </w:pPr>
            <w:r/>
            <w:r>
              <w:rPr>
                <w:rFonts w:ascii="Arial" w:hAnsi="Arial"/>
                <w:b w:val="0"/>
                <w:color w:val="18323F"/>
                <w:sz w:val="17"/>
              </w:rPr>
              <w:t>Terengganu</w:t>
            </w:r>
          </w:p>
        </w:tc>
        <w:tc>
          <w:tcPr>
            <w:tcW w:type="dxa" w:w="1440"/>
            <w:vAlign w:val="center"/>
          </w:tcPr>
          <w:p>
            <w:pPr>
              <w:spacing w:after="0"/>
            </w:pPr>
            <w:r/>
            <w:r>
              <w:rPr>
                <w:rFonts w:ascii="Arial" w:hAnsi="Arial"/>
                <w:b w:val="0"/>
                <w:color w:val="18323F"/>
                <w:sz w:val="17"/>
              </w:rPr>
              <w:t>-5.75</w:t>
            </w:r>
          </w:p>
        </w:tc>
        <w:tc>
          <w:tcPr>
            <w:tcW w:type="dxa" w:w="1584"/>
            <w:vAlign w:val="center"/>
          </w:tcPr>
          <w:p>
            <w:pPr>
              <w:spacing w:after="0"/>
            </w:pPr>
            <w:r/>
            <w:r>
              <w:rPr>
                <w:rFonts w:ascii="Arial" w:hAnsi="Arial"/>
                <w:b w:val="0"/>
                <w:color w:val="18323F"/>
                <w:sz w:val="17"/>
              </w:rPr>
              <w:t>-22.0 to +7.9</w:t>
            </w:r>
          </w:p>
        </w:tc>
        <w:tc>
          <w:tcPr>
            <w:tcW w:type="dxa" w:w="2880"/>
            <w:vAlign w:val="center"/>
          </w:tcPr>
          <w:p>
            <w:pPr>
              <w:spacing w:after="0"/>
            </w:pPr>
            <w:r/>
            <w:r>
              <w:rPr>
                <w:rFonts w:ascii="Arial" w:hAnsi="Arial"/>
                <w:b w:val="0"/>
                <w:color w:val="18323F"/>
                <w:sz w:val="17"/>
              </w:rPr>
              <w:t>Prioritise field validation before imposing restrictions</w:t>
            </w:r>
          </w:p>
        </w:tc>
      </w:tr>
      <w:tr>
        <w:tc>
          <w:tcPr>
            <w:tcW w:type="dxa" w:w="720"/>
            <w:vAlign w:val="center"/>
            <w:shd w:fill="EAF3F6"/>
          </w:tcPr>
          <w:p>
            <w:pPr>
              <w:spacing w:after="0"/>
            </w:pPr>
            <w:r/>
            <w:r>
              <w:rPr>
                <w:rFonts w:ascii="Arial" w:hAnsi="Arial"/>
                <w:b w:val="0"/>
                <w:color w:val="18323F"/>
                <w:sz w:val="17"/>
              </w:rPr>
              <w:t>3</w:t>
            </w:r>
          </w:p>
        </w:tc>
        <w:tc>
          <w:tcPr>
            <w:tcW w:type="dxa" w:w="1440"/>
            <w:vAlign w:val="center"/>
            <w:shd w:fill="EAF3F6"/>
          </w:tcPr>
          <w:p>
            <w:pPr>
              <w:spacing w:after="0"/>
            </w:pPr>
            <w:r/>
            <w:r>
              <w:rPr>
                <w:rFonts w:ascii="Arial" w:hAnsi="Arial"/>
                <w:b w:val="0"/>
                <w:color w:val="18323F"/>
                <w:sz w:val="17"/>
              </w:rPr>
              <w:t>Seri Buat</w:t>
            </w:r>
          </w:p>
        </w:tc>
        <w:tc>
          <w:tcPr>
            <w:tcW w:type="dxa" w:w="1440"/>
            <w:vAlign w:val="center"/>
            <w:shd w:fill="EAF3F6"/>
          </w:tcPr>
          <w:p>
            <w:pPr>
              <w:spacing w:after="0"/>
            </w:pPr>
            <w:r/>
            <w:r>
              <w:rPr>
                <w:rFonts w:ascii="Arial" w:hAnsi="Arial"/>
                <w:b w:val="0"/>
                <w:color w:val="18323F"/>
                <w:sz w:val="17"/>
              </w:rPr>
              <w:t>Pahang</w:t>
            </w:r>
          </w:p>
        </w:tc>
        <w:tc>
          <w:tcPr>
            <w:tcW w:type="dxa" w:w="1440"/>
            <w:vAlign w:val="center"/>
            <w:shd w:fill="EAF3F6"/>
          </w:tcPr>
          <w:p>
            <w:pPr>
              <w:spacing w:after="0"/>
            </w:pPr>
            <w:r/>
            <w:r>
              <w:rPr>
                <w:rFonts w:ascii="Arial" w:hAnsi="Arial"/>
                <w:b w:val="0"/>
                <w:color w:val="18323F"/>
                <w:sz w:val="17"/>
              </w:rPr>
              <w:t>-5.15</w:t>
            </w:r>
          </w:p>
        </w:tc>
        <w:tc>
          <w:tcPr>
            <w:tcW w:type="dxa" w:w="1584"/>
            <w:vAlign w:val="center"/>
            <w:shd w:fill="EAF3F6"/>
          </w:tcPr>
          <w:p>
            <w:pPr>
              <w:spacing w:after="0"/>
            </w:pPr>
            <w:r/>
            <w:r>
              <w:rPr>
                <w:rFonts w:ascii="Arial" w:hAnsi="Arial"/>
                <w:b w:val="0"/>
                <w:color w:val="18323F"/>
                <w:sz w:val="17"/>
              </w:rPr>
              <w:t>-21.4 to +8.5</w:t>
            </w:r>
          </w:p>
        </w:tc>
        <w:tc>
          <w:tcPr>
            <w:tcW w:type="dxa" w:w="2880"/>
            <w:vAlign w:val="center"/>
            <w:shd w:fill="EAF3F6"/>
          </w:tcPr>
          <w:p>
            <w:pPr>
              <w:spacing w:after="0"/>
            </w:pPr>
            <w:r/>
            <w:r>
              <w:rPr>
                <w:rFonts w:ascii="Arial" w:hAnsi="Arial"/>
                <w:b w:val="0"/>
                <w:color w:val="18323F"/>
                <w:sz w:val="17"/>
              </w:rPr>
              <w:t>Inspect mooring availability and anchoring controls</w:t>
            </w:r>
          </w:p>
        </w:tc>
      </w:tr>
      <w:tr>
        <w:tc>
          <w:tcPr>
            <w:tcW w:type="dxa" w:w="720"/>
            <w:vAlign w:val="center"/>
          </w:tcPr>
          <w:p>
            <w:pPr>
              <w:spacing w:after="0"/>
            </w:pPr>
            <w:r/>
            <w:r>
              <w:rPr>
                <w:rFonts w:ascii="Arial" w:hAnsi="Arial"/>
                <w:b w:val="0"/>
                <w:color w:val="18323F"/>
                <w:sz w:val="17"/>
              </w:rPr>
              <w:t>4</w:t>
            </w:r>
          </w:p>
        </w:tc>
        <w:tc>
          <w:tcPr>
            <w:tcW w:type="dxa" w:w="1440"/>
            <w:vAlign w:val="center"/>
          </w:tcPr>
          <w:p>
            <w:pPr>
              <w:spacing w:after="0"/>
            </w:pPr>
            <w:r/>
            <w:r>
              <w:rPr>
                <w:rFonts w:ascii="Arial" w:hAnsi="Arial"/>
                <w:b w:val="0"/>
                <w:color w:val="18323F"/>
                <w:sz w:val="17"/>
              </w:rPr>
              <w:t>Mertang</w:t>
            </w:r>
          </w:p>
        </w:tc>
        <w:tc>
          <w:tcPr>
            <w:tcW w:type="dxa" w:w="1440"/>
            <w:vAlign w:val="center"/>
          </w:tcPr>
          <w:p>
            <w:pPr>
              <w:spacing w:after="0"/>
            </w:pPr>
            <w:r/>
            <w:r>
              <w:rPr>
                <w:rFonts w:ascii="Arial" w:hAnsi="Arial"/>
                <w:b w:val="0"/>
                <w:color w:val="18323F"/>
                <w:sz w:val="17"/>
              </w:rPr>
              <w:t>Johor</w:t>
            </w:r>
          </w:p>
        </w:tc>
        <w:tc>
          <w:tcPr>
            <w:tcW w:type="dxa" w:w="1440"/>
            <w:vAlign w:val="center"/>
          </w:tcPr>
          <w:p>
            <w:pPr>
              <w:spacing w:after="0"/>
            </w:pPr>
            <w:r/>
            <w:r>
              <w:rPr>
                <w:rFonts w:ascii="Arial" w:hAnsi="Arial"/>
                <w:b w:val="0"/>
                <w:color w:val="18323F"/>
                <w:sz w:val="17"/>
              </w:rPr>
              <w:t>-5.03</w:t>
            </w:r>
          </w:p>
        </w:tc>
        <w:tc>
          <w:tcPr>
            <w:tcW w:type="dxa" w:w="1584"/>
            <w:vAlign w:val="center"/>
          </w:tcPr>
          <w:p>
            <w:pPr>
              <w:spacing w:after="0"/>
            </w:pPr>
            <w:r/>
            <w:r>
              <w:rPr>
                <w:rFonts w:ascii="Arial" w:hAnsi="Arial"/>
                <w:b w:val="0"/>
                <w:color w:val="18323F"/>
                <w:sz w:val="17"/>
              </w:rPr>
              <w:t>-21.3 to +8.6</w:t>
            </w:r>
          </w:p>
        </w:tc>
        <w:tc>
          <w:tcPr>
            <w:tcW w:type="dxa" w:w="2880"/>
            <w:vAlign w:val="center"/>
          </w:tcPr>
          <w:p>
            <w:pPr>
              <w:spacing w:after="0"/>
            </w:pPr>
            <w:r/>
            <w:r>
              <w:rPr>
                <w:rFonts w:ascii="Arial" w:hAnsi="Arial"/>
                <w:b w:val="0"/>
                <w:color w:val="18323F"/>
                <w:sz w:val="17"/>
              </w:rPr>
              <w:t>Inspect mooring availability and anchoring controls</w:t>
            </w:r>
          </w:p>
        </w:tc>
      </w:tr>
      <w:tr>
        <w:tc>
          <w:tcPr>
            <w:tcW w:type="dxa" w:w="720"/>
            <w:vAlign w:val="center"/>
            <w:shd w:fill="EAF3F6"/>
          </w:tcPr>
          <w:p>
            <w:pPr>
              <w:spacing w:after="0"/>
            </w:pPr>
            <w:r/>
            <w:r>
              <w:rPr>
                <w:rFonts w:ascii="Arial" w:hAnsi="Arial"/>
                <w:b w:val="0"/>
                <w:color w:val="18323F"/>
                <w:sz w:val="17"/>
              </w:rPr>
              <w:t>5</w:t>
            </w:r>
          </w:p>
        </w:tc>
        <w:tc>
          <w:tcPr>
            <w:tcW w:type="dxa" w:w="1440"/>
            <w:vAlign w:val="center"/>
            <w:shd w:fill="EAF3F6"/>
          </w:tcPr>
          <w:p>
            <w:pPr>
              <w:spacing w:after="0"/>
            </w:pPr>
            <w:r/>
            <w:r>
              <w:rPr>
                <w:rFonts w:ascii="Arial" w:hAnsi="Arial"/>
                <w:b w:val="0"/>
                <w:color w:val="18323F"/>
                <w:sz w:val="17"/>
              </w:rPr>
              <w:t>Mensirip</w:t>
            </w:r>
          </w:p>
        </w:tc>
        <w:tc>
          <w:tcPr>
            <w:tcW w:type="dxa" w:w="1440"/>
            <w:vAlign w:val="center"/>
            <w:shd w:fill="EAF3F6"/>
          </w:tcPr>
          <w:p>
            <w:pPr>
              <w:spacing w:after="0"/>
            </w:pPr>
            <w:r/>
            <w:r>
              <w:rPr>
                <w:rFonts w:ascii="Arial" w:hAnsi="Arial"/>
                <w:b w:val="0"/>
                <w:color w:val="18323F"/>
                <w:sz w:val="17"/>
              </w:rPr>
              <w:t>Johor</w:t>
            </w:r>
          </w:p>
        </w:tc>
        <w:tc>
          <w:tcPr>
            <w:tcW w:type="dxa" w:w="1440"/>
            <w:vAlign w:val="center"/>
            <w:shd w:fill="EAF3F6"/>
          </w:tcPr>
          <w:p>
            <w:pPr>
              <w:spacing w:after="0"/>
            </w:pPr>
            <w:r/>
            <w:r>
              <w:rPr>
                <w:rFonts w:ascii="Arial" w:hAnsi="Arial"/>
                <w:b w:val="0"/>
                <w:color w:val="18323F"/>
                <w:sz w:val="17"/>
              </w:rPr>
              <w:t>-4.85</w:t>
            </w:r>
          </w:p>
        </w:tc>
        <w:tc>
          <w:tcPr>
            <w:tcW w:type="dxa" w:w="1584"/>
            <w:vAlign w:val="center"/>
            <w:shd w:fill="EAF3F6"/>
          </w:tcPr>
          <w:p>
            <w:pPr>
              <w:spacing w:after="0"/>
            </w:pPr>
            <w:r/>
            <w:r>
              <w:rPr>
                <w:rFonts w:ascii="Arial" w:hAnsi="Arial"/>
                <w:b w:val="0"/>
                <w:color w:val="18323F"/>
                <w:sz w:val="17"/>
              </w:rPr>
              <w:t>-21.1 to +8.8</w:t>
            </w:r>
          </w:p>
        </w:tc>
        <w:tc>
          <w:tcPr>
            <w:tcW w:type="dxa" w:w="2880"/>
            <w:vAlign w:val="center"/>
            <w:shd w:fill="EAF3F6"/>
          </w:tcPr>
          <w:p>
            <w:pPr>
              <w:spacing w:after="0"/>
            </w:pPr>
            <w:r/>
            <w:r>
              <w:rPr>
                <w:rFonts w:ascii="Arial" w:hAnsi="Arial"/>
                <w:b w:val="0"/>
                <w:color w:val="18323F"/>
                <w:sz w:val="17"/>
              </w:rPr>
              <w:t>Inspect waste and wastewater controls</w:t>
            </w:r>
          </w:p>
        </w:tc>
      </w:tr>
      <w:tr>
        <w:tc>
          <w:tcPr>
            <w:tcW w:type="dxa" w:w="720"/>
            <w:vAlign w:val="center"/>
          </w:tcPr>
          <w:p>
            <w:pPr>
              <w:spacing w:after="0"/>
            </w:pPr>
            <w:r/>
            <w:r>
              <w:rPr>
                <w:rFonts w:ascii="Arial" w:hAnsi="Arial"/>
                <w:b w:val="0"/>
                <w:color w:val="18323F"/>
                <w:sz w:val="17"/>
              </w:rPr>
              <w:t>6</w:t>
            </w:r>
          </w:p>
        </w:tc>
        <w:tc>
          <w:tcPr>
            <w:tcW w:type="dxa" w:w="1440"/>
            <w:vAlign w:val="center"/>
          </w:tcPr>
          <w:p>
            <w:pPr>
              <w:spacing w:after="0"/>
            </w:pPr>
            <w:r/>
            <w:r>
              <w:rPr>
                <w:rFonts w:ascii="Arial" w:hAnsi="Arial"/>
                <w:b w:val="0"/>
                <w:color w:val="18323F"/>
                <w:sz w:val="17"/>
              </w:rPr>
              <w:t>Tenggol</w:t>
            </w:r>
          </w:p>
        </w:tc>
        <w:tc>
          <w:tcPr>
            <w:tcW w:type="dxa" w:w="1440"/>
            <w:vAlign w:val="center"/>
          </w:tcPr>
          <w:p>
            <w:pPr>
              <w:spacing w:after="0"/>
            </w:pPr>
            <w:r/>
            <w:r>
              <w:rPr>
                <w:rFonts w:ascii="Arial" w:hAnsi="Arial"/>
                <w:b w:val="0"/>
                <w:color w:val="18323F"/>
                <w:sz w:val="17"/>
              </w:rPr>
              <w:t>Terengganu</w:t>
            </w:r>
          </w:p>
        </w:tc>
        <w:tc>
          <w:tcPr>
            <w:tcW w:type="dxa" w:w="1440"/>
            <w:vAlign w:val="center"/>
          </w:tcPr>
          <w:p>
            <w:pPr>
              <w:spacing w:after="0"/>
            </w:pPr>
            <w:r/>
            <w:r>
              <w:rPr>
                <w:rFonts w:ascii="Arial" w:hAnsi="Arial"/>
                <w:b w:val="0"/>
                <w:color w:val="18323F"/>
                <w:sz w:val="17"/>
              </w:rPr>
              <w:t>-4.64</w:t>
            </w:r>
          </w:p>
        </w:tc>
        <w:tc>
          <w:tcPr>
            <w:tcW w:type="dxa" w:w="1584"/>
            <w:vAlign w:val="center"/>
          </w:tcPr>
          <w:p>
            <w:pPr>
              <w:spacing w:after="0"/>
            </w:pPr>
            <w:r/>
            <w:r>
              <w:rPr>
                <w:rFonts w:ascii="Arial" w:hAnsi="Arial"/>
                <w:b w:val="0"/>
                <w:color w:val="18323F"/>
                <w:sz w:val="17"/>
              </w:rPr>
              <w:t>-20.9 to +9.0</w:t>
            </w:r>
          </w:p>
        </w:tc>
        <w:tc>
          <w:tcPr>
            <w:tcW w:type="dxa" w:w="2880"/>
            <w:vAlign w:val="center"/>
          </w:tcPr>
          <w:p>
            <w:pPr>
              <w:spacing w:after="0"/>
            </w:pPr>
            <w:r/>
            <w:r>
              <w:rPr>
                <w:rFonts w:ascii="Arial" w:hAnsi="Arial"/>
                <w:b w:val="0"/>
                <w:color w:val="18323F"/>
                <w:sz w:val="17"/>
              </w:rPr>
              <w:t>Inspect waste and wastewater controls</w:t>
            </w:r>
          </w:p>
        </w:tc>
      </w:tr>
      <w:tr>
        <w:tc>
          <w:tcPr>
            <w:tcW w:type="dxa" w:w="720"/>
            <w:vAlign w:val="center"/>
            <w:shd w:fill="EAF3F6"/>
          </w:tcPr>
          <w:p>
            <w:pPr>
              <w:spacing w:after="0"/>
            </w:pPr>
            <w:r/>
            <w:r>
              <w:rPr>
                <w:rFonts w:ascii="Arial" w:hAnsi="Arial"/>
                <w:b w:val="0"/>
                <w:color w:val="18323F"/>
                <w:sz w:val="17"/>
              </w:rPr>
              <w:t>7</w:t>
            </w:r>
          </w:p>
        </w:tc>
        <w:tc>
          <w:tcPr>
            <w:tcW w:type="dxa" w:w="1440"/>
            <w:vAlign w:val="center"/>
            <w:shd w:fill="EAF3F6"/>
          </w:tcPr>
          <w:p>
            <w:pPr>
              <w:spacing w:after="0"/>
            </w:pPr>
            <w:r/>
            <w:r>
              <w:rPr>
                <w:rFonts w:ascii="Arial" w:hAnsi="Arial"/>
                <w:b w:val="0"/>
                <w:color w:val="18323F"/>
                <w:sz w:val="17"/>
              </w:rPr>
              <w:t>Tinggi</w:t>
            </w:r>
          </w:p>
        </w:tc>
        <w:tc>
          <w:tcPr>
            <w:tcW w:type="dxa" w:w="1440"/>
            <w:vAlign w:val="center"/>
            <w:shd w:fill="EAF3F6"/>
          </w:tcPr>
          <w:p>
            <w:pPr>
              <w:spacing w:after="0"/>
            </w:pPr>
            <w:r/>
            <w:r>
              <w:rPr>
                <w:rFonts w:ascii="Arial" w:hAnsi="Arial"/>
                <w:b w:val="0"/>
                <w:color w:val="18323F"/>
                <w:sz w:val="17"/>
              </w:rPr>
              <w:t>Johor</w:t>
            </w:r>
          </w:p>
        </w:tc>
        <w:tc>
          <w:tcPr>
            <w:tcW w:type="dxa" w:w="1440"/>
            <w:vAlign w:val="center"/>
            <w:shd w:fill="EAF3F6"/>
          </w:tcPr>
          <w:p>
            <w:pPr>
              <w:spacing w:after="0"/>
            </w:pPr>
            <w:r/>
            <w:r>
              <w:rPr>
                <w:rFonts w:ascii="Arial" w:hAnsi="Arial"/>
                <w:b w:val="0"/>
                <w:color w:val="18323F"/>
                <w:sz w:val="17"/>
              </w:rPr>
              <w:t>-4.63</w:t>
            </w:r>
          </w:p>
        </w:tc>
        <w:tc>
          <w:tcPr>
            <w:tcW w:type="dxa" w:w="1584"/>
            <w:vAlign w:val="center"/>
            <w:shd w:fill="EAF3F6"/>
          </w:tcPr>
          <w:p>
            <w:pPr>
              <w:spacing w:after="0"/>
            </w:pPr>
            <w:r/>
            <w:r>
              <w:rPr>
                <w:rFonts w:ascii="Arial" w:hAnsi="Arial"/>
                <w:b w:val="0"/>
                <w:color w:val="18323F"/>
                <w:sz w:val="17"/>
              </w:rPr>
              <w:t>-20.9 to +9.0</w:t>
            </w:r>
          </w:p>
        </w:tc>
        <w:tc>
          <w:tcPr>
            <w:tcW w:type="dxa" w:w="2880"/>
            <w:vAlign w:val="center"/>
            <w:shd w:fill="EAF3F6"/>
          </w:tcPr>
          <w:p>
            <w:pPr>
              <w:spacing w:after="0"/>
            </w:pPr>
            <w:r/>
            <w:r>
              <w:rPr>
                <w:rFonts w:ascii="Arial" w:hAnsi="Arial"/>
                <w:b w:val="0"/>
                <w:color w:val="18323F"/>
                <w:sz w:val="17"/>
              </w:rPr>
              <w:t>Inspect mooring availability and anchoring controls</w:t>
            </w:r>
          </w:p>
        </w:tc>
      </w:tr>
      <w:tr>
        <w:tc>
          <w:tcPr>
            <w:tcW w:type="dxa" w:w="720"/>
            <w:vAlign w:val="center"/>
          </w:tcPr>
          <w:p>
            <w:pPr>
              <w:spacing w:after="0"/>
            </w:pPr>
            <w:r/>
            <w:r>
              <w:rPr>
                <w:rFonts w:ascii="Arial" w:hAnsi="Arial"/>
                <w:b w:val="0"/>
                <w:color w:val="18323F"/>
                <w:sz w:val="17"/>
              </w:rPr>
              <w:t>8</w:t>
            </w:r>
          </w:p>
        </w:tc>
        <w:tc>
          <w:tcPr>
            <w:tcW w:type="dxa" w:w="1440"/>
            <w:vAlign w:val="center"/>
          </w:tcPr>
          <w:p>
            <w:pPr>
              <w:spacing w:after="0"/>
            </w:pPr>
            <w:r/>
            <w:r>
              <w:rPr>
                <w:rFonts w:ascii="Arial" w:hAnsi="Arial"/>
                <w:b w:val="0"/>
                <w:color w:val="18323F"/>
                <w:sz w:val="17"/>
              </w:rPr>
              <w:t>Lima</w:t>
            </w:r>
          </w:p>
        </w:tc>
        <w:tc>
          <w:tcPr>
            <w:tcW w:type="dxa" w:w="1440"/>
            <w:vAlign w:val="center"/>
          </w:tcPr>
          <w:p>
            <w:pPr>
              <w:spacing w:after="0"/>
            </w:pPr>
            <w:r/>
            <w:r>
              <w:rPr>
                <w:rFonts w:ascii="Arial" w:hAnsi="Arial"/>
                <w:b w:val="0"/>
                <w:color w:val="18323F"/>
                <w:sz w:val="17"/>
              </w:rPr>
              <w:t>Johor</w:t>
            </w:r>
          </w:p>
        </w:tc>
        <w:tc>
          <w:tcPr>
            <w:tcW w:type="dxa" w:w="1440"/>
            <w:vAlign w:val="center"/>
          </w:tcPr>
          <w:p>
            <w:pPr>
              <w:spacing w:after="0"/>
            </w:pPr>
            <w:r/>
            <w:r>
              <w:rPr>
                <w:rFonts w:ascii="Arial" w:hAnsi="Arial"/>
                <w:b w:val="0"/>
                <w:color w:val="18323F"/>
                <w:sz w:val="17"/>
              </w:rPr>
              <w:t>-4.37</w:t>
            </w:r>
          </w:p>
        </w:tc>
        <w:tc>
          <w:tcPr>
            <w:tcW w:type="dxa" w:w="1584"/>
            <w:vAlign w:val="center"/>
          </w:tcPr>
          <w:p>
            <w:pPr>
              <w:spacing w:after="0"/>
            </w:pPr>
            <w:r/>
            <w:r>
              <w:rPr>
                <w:rFonts w:ascii="Arial" w:hAnsi="Arial"/>
                <w:b w:val="0"/>
                <w:color w:val="18323F"/>
                <w:sz w:val="17"/>
              </w:rPr>
              <w:t>-20.6 to +9.3</w:t>
            </w:r>
          </w:p>
        </w:tc>
        <w:tc>
          <w:tcPr>
            <w:tcW w:type="dxa" w:w="2880"/>
            <w:vAlign w:val="center"/>
          </w:tcPr>
          <w:p>
            <w:pPr>
              <w:spacing w:after="0"/>
            </w:pPr>
            <w:r/>
            <w:r>
              <w:rPr>
                <w:rFonts w:ascii="Arial" w:hAnsi="Arial"/>
                <w:b w:val="0"/>
                <w:color w:val="18323F"/>
                <w:sz w:val="17"/>
              </w:rPr>
              <w:t>Inspect mooring availability and anchoring controls</w:t>
            </w:r>
          </w:p>
        </w:tc>
      </w:tr>
      <w:tr>
        <w:tc>
          <w:tcPr>
            <w:tcW w:type="dxa" w:w="720"/>
            <w:vAlign w:val="center"/>
            <w:shd w:fill="EAF3F6"/>
          </w:tcPr>
          <w:p>
            <w:pPr>
              <w:spacing w:after="0"/>
            </w:pPr>
            <w:r/>
            <w:r>
              <w:rPr>
                <w:rFonts w:ascii="Arial" w:hAnsi="Arial"/>
                <w:b w:val="0"/>
                <w:color w:val="18323F"/>
                <w:sz w:val="17"/>
              </w:rPr>
              <w:t>9</w:t>
            </w:r>
          </w:p>
        </w:tc>
        <w:tc>
          <w:tcPr>
            <w:tcW w:type="dxa" w:w="1440"/>
            <w:vAlign w:val="center"/>
            <w:shd w:fill="EAF3F6"/>
          </w:tcPr>
          <w:p>
            <w:pPr>
              <w:spacing w:after="0"/>
            </w:pPr>
            <w:r/>
            <w:r>
              <w:rPr>
                <w:rFonts w:ascii="Arial" w:hAnsi="Arial"/>
                <w:b w:val="0"/>
                <w:color w:val="18323F"/>
                <w:sz w:val="17"/>
              </w:rPr>
              <w:t>Sibu</w:t>
            </w:r>
          </w:p>
        </w:tc>
        <w:tc>
          <w:tcPr>
            <w:tcW w:type="dxa" w:w="1440"/>
            <w:vAlign w:val="center"/>
            <w:shd w:fill="EAF3F6"/>
          </w:tcPr>
          <w:p>
            <w:pPr>
              <w:spacing w:after="0"/>
            </w:pPr>
            <w:r/>
            <w:r>
              <w:rPr>
                <w:rFonts w:ascii="Arial" w:hAnsi="Arial"/>
                <w:b w:val="0"/>
                <w:color w:val="18323F"/>
                <w:sz w:val="17"/>
              </w:rPr>
              <w:t>Johor</w:t>
            </w:r>
          </w:p>
        </w:tc>
        <w:tc>
          <w:tcPr>
            <w:tcW w:type="dxa" w:w="1440"/>
            <w:vAlign w:val="center"/>
            <w:shd w:fill="EAF3F6"/>
          </w:tcPr>
          <w:p>
            <w:pPr>
              <w:spacing w:after="0"/>
            </w:pPr>
            <w:r/>
            <w:r>
              <w:rPr>
                <w:rFonts w:ascii="Arial" w:hAnsi="Arial"/>
                <w:b w:val="0"/>
                <w:color w:val="18323F"/>
                <w:sz w:val="17"/>
              </w:rPr>
              <w:t>-4.34</w:t>
            </w:r>
          </w:p>
        </w:tc>
        <w:tc>
          <w:tcPr>
            <w:tcW w:type="dxa" w:w="1584"/>
            <w:vAlign w:val="center"/>
            <w:shd w:fill="EAF3F6"/>
          </w:tcPr>
          <w:p>
            <w:pPr>
              <w:spacing w:after="0"/>
            </w:pPr>
            <w:r/>
            <w:r>
              <w:rPr>
                <w:rFonts w:ascii="Arial" w:hAnsi="Arial"/>
                <w:b w:val="0"/>
                <w:color w:val="18323F"/>
                <w:sz w:val="17"/>
              </w:rPr>
              <w:t>-20.6 to +9.3</w:t>
            </w:r>
          </w:p>
        </w:tc>
        <w:tc>
          <w:tcPr>
            <w:tcW w:type="dxa" w:w="2880"/>
            <w:vAlign w:val="center"/>
            <w:shd w:fill="EAF3F6"/>
          </w:tcPr>
          <w:p>
            <w:pPr>
              <w:spacing w:after="0"/>
            </w:pPr>
            <w:r/>
            <w:r>
              <w:rPr>
                <w:rFonts w:ascii="Arial" w:hAnsi="Arial"/>
                <w:b w:val="0"/>
                <w:color w:val="18323F"/>
                <w:sz w:val="17"/>
              </w:rPr>
              <w:t>Inspect mooring availability and anchoring controls</w:t>
            </w:r>
          </w:p>
        </w:tc>
      </w:tr>
      <w:tr>
        <w:tc>
          <w:tcPr>
            <w:tcW w:type="dxa" w:w="720"/>
            <w:vAlign w:val="center"/>
          </w:tcPr>
          <w:p>
            <w:pPr>
              <w:spacing w:after="0"/>
            </w:pPr>
            <w:r/>
            <w:r>
              <w:rPr>
                <w:rFonts w:ascii="Arial" w:hAnsi="Arial"/>
                <w:b w:val="0"/>
                <w:color w:val="18323F"/>
                <w:sz w:val="17"/>
              </w:rPr>
              <w:t>10</w:t>
            </w:r>
          </w:p>
        </w:tc>
        <w:tc>
          <w:tcPr>
            <w:tcW w:type="dxa" w:w="1440"/>
            <w:vAlign w:val="center"/>
          </w:tcPr>
          <w:p>
            <w:pPr>
              <w:spacing w:after="0"/>
            </w:pPr>
            <w:r/>
            <w:r>
              <w:rPr>
                <w:rFonts w:ascii="Arial" w:hAnsi="Arial"/>
                <w:b w:val="0"/>
                <w:color w:val="18323F"/>
                <w:sz w:val="17"/>
              </w:rPr>
              <w:t>Lankayan</w:t>
            </w:r>
          </w:p>
        </w:tc>
        <w:tc>
          <w:tcPr>
            <w:tcW w:type="dxa" w:w="1440"/>
            <w:vAlign w:val="center"/>
          </w:tcPr>
          <w:p>
            <w:pPr>
              <w:spacing w:after="0"/>
            </w:pPr>
            <w:r/>
            <w:r>
              <w:rPr>
                <w:rFonts w:ascii="Arial" w:hAnsi="Arial"/>
                <w:b w:val="0"/>
                <w:color w:val="18323F"/>
                <w:sz w:val="17"/>
              </w:rPr>
              <w:t>Sabah</w:t>
            </w:r>
          </w:p>
        </w:tc>
        <w:tc>
          <w:tcPr>
            <w:tcW w:type="dxa" w:w="1440"/>
            <w:vAlign w:val="center"/>
          </w:tcPr>
          <w:p>
            <w:pPr>
              <w:spacing w:after="0"/>
            </w:pPr>
            <w:r/>
            <w:r>
              <w:rPr>
                <w:rFonts w:ascii="Arial" w:hAnsi="Arial"/>
                <w:b w:val="0"/>
                <w:color w:val="18323F"/>
                <w:sz w:val="17"/>
              </w:rPr>
              <w:t>-4.07</w:t>
            </w:r>
          </w:p>
        </w:tc>
        <w:tc>
          <w:tcPr>
            <w:tcW w:type="dxa" w:w="1584"/>
            <w:vAlign w:val="center"/>
          </w:tcPr>
          <w:p>
            <w:pPr>
              <w:spacing w:after="0"/>
            </w:pPr>
            <w:r/>
            <w:r>
              <w:rPr>
                <w:rFonts w:ascii="Arial" w:hAnsi="Arial"/>
                <w:b w:val="0"/>
                <w:color w:val="18323F"/>
                <w:sz w:val="17"/>
              </w:rPr>
              <w:t>-20.3 to +9.6</w:t>
            </w:r>
          </w:p>
        </w:tc>
        <w:tc>
          <w:tcPr>
            <w:tcW w:type="dxa" w:w="2880"/>
            <w:vAlign w:val="center"/>
          </w:tcPr>
          <w:p>
            <w:pPr>
              <w:spacing w:after="0"/>
            </w:pPr>
            <w:r/>
            <w:r>
              <w:rPr>
                <w:rFonts w:ascii="Arial" w:hAnsi="Arial"/>
                <w:b w:val="0"/>
                <w:color w:val="18323F"/>
                <w:sz w:val="17"/>
              </w:rPr>
              <w:t>Coordinate bleaching survey; do not attribute thermal loss to visitors</w:t>
            </w:r>
          </w:p>
        </w:tc>
      </w:tr>
    </w:tbl>
    <w:p>
      <w:pPr>
        <w:pStyle w:val="Heading2"/>
        <w:keepNext/>
        <w:spacing w:before="180" w:after="80"/>
      </w:pPr>
      <w:r>
        <w:t>Operating cycle</w:t>
      </w:r>
    </w:p>
    <w:tbl>
      <w:tblPr>
        <w:tblStyle w:val="TableGrid"/>
        <w:tblW w:type="auto" w:w="0"/>
        <w:jc w:val="center"/>
        <w:tblLook w:firstColumn="1" w:firstRow="1" w:lastColumn="0" w:lastRow="0" w:noHBand="0" w:noVBand="1" w:val="04A0"/>
      </w:tblPr>
      <w:tblGrid>
        <w:gridCol w:w="3331"/>
        <w:gridCol w:w="3331"/>
        <w:gridCol w:w="3331"/>
      </w:tblGrid>
      <w:tr>
        <w:tc>
          <w:tcPr>
            <w:tcW w:type="dxa" w:w="1296"/>
            <w:vAlign w:val="center"/>
            <w:shd w:fill="12304A"/>
          </w:tcPr>
          <w:p>
            <w:pPr>
              <w:spacing w:after="0"/>
            </w:pPr>
            <w:r/>
            <w:r>
              <w:rPr>
                <w:rFonts w:ascii="Arial" w:hAnsi="Arial"/>
                <w:b/>
                <w:color w:val="FFFFFF"/>
                <w:sz w:val="16"/>
              </w:rPr>
              <w:t>Step</w:t>
            </w:r>
          </w:p>
        </w:tc>
        <w:tc>
          <w:tcPr>
            <w:tcW w:type="dxa" w:w="2016"/>
            <w:vAlign w:val="center"/>
            <w:shd w:fill="12304A"/>
          </w:tcPr>
          <w:p>
            <w:pPr>
              <w:spacing w:after="0"/>
            </w:pPr>
            <w:r/>
            <w:r>
              <w:rPr>
                <w:rFonts w:ascii="Arial" w:hAnsi="Arial"/>
                <w:b/>
                <w:color w:val="FFFFFF"/>
                <w:sz w:val="16"/>
              </w:rPr>
              <w:t>Owner</w:t>
            </w:r>
          </w:p>
        </w:tc>
        <w:tc>
          <w:tcPr>
            <w:tcW w:type="dxa" w:w="5760"/>
            <w:vAlign w:val="center"/>
            <w:shd w:fill="12304A"/>
          </w:tcPr>
          <w:p>
            <w:pPr>
              <w:spacing w:after="0"/>
            </w:pPr>
            <w:r/>
            <w:r>
              <w:rPr>
                <w:rFonts w:ascii="Arial" w:hAnsi="Arial"/>
                <w:b/>
                <w:color w:val="FFFFFF"/>
                <w:sz w:val="16"/>
              </w:rPr>
              <w:t>Action</w:t>
            </w:r>
          </w:p>
        </w:tc>
      </w:tr>
      <w:tr>
        <w:tc>
          <w:tcPr>
            <w:tcW w:type="dxa" w:w="1296"/>
            <w:vAlign w:val="center"/>
            <w:shd w:fill="EAF3F6"/>
          </w:tcPr>
          <w:p>
            <w:pPr>
              <w:spacing w:after="0"/>
            </w:pPr>
            <w:r/>
            <w:r>
              <w:rPr>
                <w:rFonts w:ascii="Arial" w:hAnsi="Arial"/>
                <w:b w:val="0"/>
                <w:color w:val="18323F"/>
                <w:sz w:val="17"/>
              </w:rPr>
              <w:t>1. Refresh</w:t>
            </w:r>
          </w:p>
        </w:tc>
        <w:tc>
          <w:tcPr>
            <w:tcW w:type="dxa" w:w="2016"/>
            <w:vAlign w:val="center"/>
            <w:shd w:fill="EAF3F6"/>
          </w:tcPr>
          <w:p>
            <w:pPr>
              <w:spacing w:after="0"/>
            </w:pPr>
            <w:r/>
            <w:r>
              <w:rPr>
                <w:rFonts w:ascii="Arial" w:hAnsi="Arial"/>
                <w:b w:val="0"/>
                <w:color w:val="18323F"/>
                <w:sz w:val="17"/>
              </w:rPr>
              <w:t>Analyst</w:t>
            </w:r>
          </w:p>
        </w:tc>
        <w:tc>
          <w:tcPr>
            <w:tcW w:type="dxa" w:w="5760"/>
            <w:vAlign w:val="center"/>
            <w:shd w:fill="EAF3F6"/>
          </w:tcPr>
          <w:p>
            <w:pPr>
              <w:spacing w:after="0"/>
            </w:pPr>
            <w:r/>
            <w:r>
              <w:rPr>
                <w:rFonts w:ascii="Arial" w:hAnsi="Arial"/>
                <w:b w:val="0"/>
                <w:color w:val="18323F"/>
                <w:sz w:val="17"/>
              </w:rPr>
              <w:t>Run preprocessing, model, notebook, and dashboard builders.</w:t>
            </w:r>
          </w:p>
        </w:tc>
      </w:tr>
      <w:tr>
        <w:tc>
          <w:tcPr>
            <w:tcW w:type="dxa" w:w="1296"/>
            <w:vAlign w:val="center"/>
          </w:tcPr>
          <w:p>
            <w:pPr>
              <w:spacing w:after="0"/>
            </w:pPr>
            <w:r/>
            <w:r>
              <w:rPr>
                <w:rFonts w:ascii="Arial" w:hAnsi="Arial"/>
                <w:b w:val="0"/>
                <w:color w:val="18323F"/>
                <w:sz w:val="17"/>
              </w:rPr>
              <w:t>2. Review</w:t>
            </w:r>
          </w:p>
        </w:tc>
        <w:tc>
          <w:tcPr>
            <w:tcW w:type="dxa" w:w="2016"/>
            <w:vAlign w:val="center"/>
          </w:tcPr>
          <w:p>
            <w:pPr>
              <w:spacing w:after="0"/>
            </w:pPr>
            <w:r/>
            <w:r>
              <w:rPr>
                <w:rFonts w:ascii="Arial" w:hAnsi="Arial"/>
                <w:b w:val="0"/>
                <w:color w:val="18323F"/>
                <w:sz w:val="17"/>
              </w:rPr>
              <w:t>Reef scientist</w:t>
            </w:r>
          </w:p>
        </w:tc>
        <w:tc>
          <w:tcPr>
            <w:tcW w:type="dxa" w:w="5760"/>
            <w:vAlign w:val="center"/>
          </w:tcPr>
          <w:p>
            <w:pPr>
              <w:spacing w:after="0"/>
            </w:pPr>
            <w:r/>
            <w:r>
              <w:rPr>
                <w:rFonts w:ascii="Arial" w:hAnsi="Arial"/>
                <w:b w:val="0"/>
                <w:color w:val="18323F"/>
                <w:sz w:val="17"/>
              </w:rPr>
              <w:t>Check confidence, uncertainty, and source evidence.</w:t>
            </w:r>
          </w:p>
        </w:tc>
      </w:tr>
      <w:tr>
        <w:tc>
          <w:tcPr>
            <w:tcW w:type="dxa" w:w="1296"/>
            <w:vAlign w:val="center"/>
            <w:shd w:fill="EAF3F6"/>
          </w:tcPr>
          <w:p>
            <w:pPr>
              <w:spacing w:after="0"/>
            </w:pPr>
            <w:r/>
            <w:r>
              <w:rPr>
                <w:rFonts w:ascii="Arial" w:hAnsi="Arial"/>
                <w:b w:val="0"/>
                <w:color w:val="18323F"/>
                <w:sz w:val="17"/>
              </w:rPr>
              <w:t>3. Verify</w:t>
            </w:r>
          </w:p>
        </w:tc>
        <w:tc>
          <w:tcPr>
            <w:tcW w:type="dxa" w:w="2016"/>
            <w:vAlign w:val="center"/>
            <w:shd w:fill="EAF3F6"/>
          </w:tcPr>
          <w:p>
            <w:pPr>
              <w:spacing w:after="0"/>
            </w:pPr>
            <w:r/>
            <w:r>
              <w:rPr>
                <w:rFonts w:ascii="Arial" w:hAnsi="Arial"/>
                <w:b w:val="0"/>
                <w:color w:val="18323F"/>
                <w:sz w:val="17"/>
              </w:rPr>
              <w:t>Field team</w:t>
            </w:r>
          </w:p>
        </w:tc>
        <w:tc>
          <w:tcPr>
            <w:tcW w:type="dxa" w:w="5760"/>
            <w:vAlign w:val="center"/>
            <w:shd w:fill="EAF3F6"/>
          </w:tcPr>
          <w:p>
            <w:pPr>
              <w:spacing w:after="0"/>
            </w:pPr>
            <w:r/>
            <w:r>
              <w:rPr>
                <w:rFonts w:ascii="Arial" w:hAnsi="Arial"/>
                <w:b w:val="0"/>
                <w:color w:val="18323F"/>
                <w:sz w:val="17"/>
              </w:rPr>
              <w:t>Inspect the monitoring unit before any policy decision.</w:t>
            </w:r>
          </w:p>
        </w:tc>
      </w:tr>
      <w:tr>
        <w:tc>
          <w:tcPr>
            <w:tcW w:type="dxa" w:w="1296"/>
            <w:vAlign w:val="center"/>
          </w:tcPr>
          <w:p>
            <w:pPr>
              <w:spacing w:after="0"/>
            </w:pPr>
            <w:r/>
            <w:r>
              <w:rPr>
                <w:rFonts w:ascii="Arial" w:hAnsi="Arial"/>
                <w:b w:val="0"/>
                <w:color w:val="18323F"/>
                <w:sz w:val="17"/>
              </w:rPr>
              <w:t>4. Record</w:t>
            </w:r>
          </w:p>
        </w:tc>
        <w:tc>
          <w:tcPr>
            <w:tcW w:type="dxa" w:w="2016"/>
            <w:vAlign w:val="center"/>
          </w:tcPr>
          <w:p>
            <w:pPr>
              <w:spacing w:after="0"/>
            </w:pPr>
            <w:r/>
            <w:r>
              <w:rPr>
                <w:rFonts w:ascii="Arial" w:hAnsi="Arial"/>
                <w:b w:val="0"/>
                <w:color w:val="18323F"/>
                <w:sz w:val="17"/>
              </w:rPr>
              <w:t>Programme lead</w:t>
            </w:r>
          </w:p>
        </w:tc>
        <w:tc>
          <w:tcPr>
            <w:tcW w:type="dxa" w:w="5760"/>
            <w:vAlign w:val="center"/>
          </w:tcPr>
          <w:p>
            <w:pPr>
              <w:spacing w:after="0"/>
            </w:pPr>
            <w:r/>
            <w:r>
              <w:rPr>
                <w:rFonts w:ascii="Arial" w:hAnsi="Arial"/>
                <w:b w:val="0"/>
                <w:color w:val="18323F"/>
                <w:sz w:val="17"/>
              </w:rPr>
              <w:t>Log findings and correct the evidence register.</w:t>
            </w:r>
          </w:p>
        </w:tc>
      </w:tr>
    </w:tbl>
    <w:p>
      <w:r>
        <w:br w:type="page"/>
      </w:r>
    </w:p>
    <w:p>
      <w:pPr>
        <w:pStyle w:val="Heading1"/>
        <w:keepNext/>
        <w:spacing w:before="180" w:after="80"/>
      </w:pPr>
      <w:r>
        <w:t>8. Assumptions, conclusion, and references</w:t>
      </w:r>
    </w:p>
    <w:p>
      <w:pPr>
        <w:pStyle w:val="Heading2"/>
        <w:keepNext/>
        <w:spacing w:before="180" w:after="80"/>
      </w:pPr>
      <w:r>
        <w:t>Assumptions</w:t>
      </w:r>
    </w:p>
    <w:p>
      <w:pPr>
        <w:pStyle w:val="ListBullet"/>
        <w:spacing w:after="60"/>
      </w:pPr>
      <w:r>
        <w:t>An island label is sufficiently comparable across survey years; site-composition changes remain possible.</w:t>
      </w:r>
    </w:p>
    <w:p>
      <w:pPr>
        <w:pStyle w:val="ListBullet"/>
        <w:spacing w:after="60"/>
      </w:pPr>
      <w:r>
        <w:t>Annualised change summarises the interval between surveys; intermediate events are unobserved.</w:t>
      </w:r>
    </w:p>
    <w:p>
      <w:pPr>
        <w:pStyle w:val="ListBullet"/>
        <w:spacing w:after="60"/>
      </w:pPr>
      <w:r>
        <w:t>Earlier patterns have limited relevance to later years; forward validation measures this assumption imperfectly.</w:t>
      </w:r>
    </w:p>
    <w:p>
      <w:pPr>
        <w:pStyle w:val="ListBullet"/>
        <w:spacing w:after="60"/>
      </w:pPr>
      <w:r>
        <w:t>The top quartile is a workload queue, and all recommendations require field verification.</w:t>
      </w:r>
    </w:p>
    <w:p>
      <w:pPr>
        <w:pStyle w:val="ListBullet"/>
        <w:spacing w:after="60"/>
      </w:pPr>
      <w:r>
        <w:t>DMPM's RM8.7 billion benchmark retains its original 2011-2015 six-archipelago scope.</w:t>
      </w:r>
    </w:p>
    <w:p>
      <w:pPr>
        <w:pStyle w:val="Heading2"/>
        <w:keepNext/>
        <w:spacing w:before="180" w:after="80"/>
      </w:pPr>
      <w:r>
        <w:t>Conclusion</w:t>
      </w:r>
    </w:p>
    <w:p>
      <w:pPr>
        <w:spacing w:line="283" w:lineRule="auto" w:after="120"/>
      </w:pPr>
      <w:r>
        <w:rPr>
          <w:b/>
          <w:i w:val="0"/>
          <w:color w:val="18323F"/>
        </w:rPr>
        <w:t>ReefSafe's professional strength is restraint. The project presents what was observed, what the selected model estimates, how weak and uncertain that estimate is, which evidence should be checked next, and which tempting claims the available data cannot support.</w:t>
      </w:r>
    </w:p>
    <w:p>
      <w:pPr>
        <w:pStyle w:val="Heading2"/>
        <w:keepNext/>
        <w:spacing w:before="180" w:after="80"/>
      </w:pPr>
      <w:r>
        <w:t>References</w:t>
      </w:r>
    </w:p>
    <w:p>
      <w:pPr>
        <w:pStyle w:val="ListBullet"/>
        <w:spacing w:after="60"/>
      </w:pPr>
      <w:r>
        <w:t>Reef Check Malaysia. Annual Survey Reports. https://reefcheck.org.my/annualsurveyreports/</w:t>
      </w:r>
    </w:p>
    <w:p>
      <w:pPr>
        <w:pStyle w:val="ListBullet"/>
        <w:spacing w:after="60"/>
      </w:pPr>
      <w:r>
        <w:t>NOAA Coral Reef Watch. 5 km Virtual Stations. https://coralreefwatch.noaa.gov/product/vs/data.php</w:t>
      </w:r>
    </w:p>
    <w:p>
      <w:pPr>
        <w:pStyle w:val="ListBullet"/>
        <w:spacing w:after="60"/>
      </w:pPr>
      <w:r>
        <w:t>Jabatan Taman Laut Malaysia / data.gov.my. Jumlah Pelawat Taman Laut Malaysia, 2000-2009. https://archive.data.gov.my/data/ms_MY/dataset/jumlah-pelawat-taman-laut-malaysia-dari-tahun-2000-hingga-2009-</w:t>
      </w:r>
    </w:p>
    <w:p>
      <w:pPr>
        <w:pStyle w:val="ListBullet"/>
        <w:spacing w:after="60"/>
      </w:pPr>
      <w:r>
        <w:t>Department of Marine Park Malaysia. Total Economic Value of Marine Biodiversity: Malaysia Marine Parks. Studies 2011-2015. Archived PDF: https://wdpa.s3.amazonaws.com/Country_informations/MYS/TOTAL%20ECONOMIC%20VALUE%20OF%20MARINE%20BIODIVERSITY.pdf</w:t>
      </w:r>
    </w:p>
    <w:p>
      <w:pPr>
        <w:pStyle w:val="ListBullet"/>
        <w:spacing w:after="60"/>
      </w:pPr>
      <w:r>
        <w:t>Burke, L., Reytar, K., and Spalding, M. (2012). Reefs at Risk Revisited in the Coral Triangle. World Resources Institute. ISBN 978-1-56973-791-0. Used for regional context, not the RM8.7 billion benchmark.</w:t>
      </w:r>
    </w:p>
    <w:p>
      <w:pPr>
        <w:pStyle w:val="ListBullet"/>
        <w:spacing w:after="60"/>
      </w:pPr>
      <w:r>
        <w:t>Department of Statistics Malaysia. OpenDOSM data catalogue. https://open.dosm.gov.my/data-catalogue</w:t>
      </w:r>
    </w:p>
    <w:p>
      <w:pPr>
        <w:spacing w:line="283" w:lineRule="auto" w:after="120"/>
      </w:pPr>
      <w:r>
        <w:rPr>
          <w:b w:val="0"/>
          <w:i w:val="0"/>
          <w:color w:val="60727C"/>
        </w:rPr>
        <w:t>Reproducible artifacts: notebooks/01_reproducible_pipeline.ipynb; data/provenance_manifest.csv; docs/assumptions.md; output/model_evaluation_metrics.json.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Evidence-bounded screening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ReefSafe | DOSM Datathon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