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Концепция конструктора OCR Pipeline Creator</w:t>
      </w:r>
    </w:p>
    <w:p>
      <w:pPr>
        <w:pStyle w:val="ConceptSubtitle"/>
        <w:rPr/>
      </w:pPr>
      <w:r>
        <w:rPr/>
        <w:t>Настраиваемая обработка документов и извлечение данных с помощью языковых моделей</w:t>
      </w:r>
    </w:p>
    <w:p>
      <w:pPr>
        <w:pStyle w:val="Heading1"/>
        <w:keepNext w:val="true"/>
        <w:rPr/>
      </w:pPr>
      <w:r>
        <w:rPr/>
        <w:t>Назначение системы</w:t>
      </w:r>
    </w:p>
    <w:p>
      <w:pPr>
        <w:pStyle w:val="BodyText"/>
        <w:rPr/>
      </w:pPr>
      <w:r>
        <w:rPr/>
        <w:t>Система предназначена для распознавания документов и преобразования их содержимого в текст или набор заданных полей. Пользователь настраивает сценарий обработки в визуальном конструкторе, сохраняет его как пайплайн и применяет к новым файлам. Результаты доступны в общей истории рабочего пространства и через API для внешних систем.</w:t>
      </w:r>
    </w:p>
    <w:p>
      <w:pPr>
        <w:pStyle w:val="Heading1"/>
        <w:keepNext w:val="true"/>
        <w:rPr/>
      </w:pPr>
      <w:r>
        <w:rPr/>
        <w:t>Основной принцип</w:t>
      </w:r>
    </w:p>
    <w:p>
      <w:pPr>
        <w:pStyle w:val="BodyText"/>
        <w:rPr/>
      </w:pPr>
      <w:r>
        <w:rPr/>
        <w:t>В системе разделяются получение текста и его дальнейшая обработка. Текст извлекается из цифрового документа либо распознается по скану. Затем языковая модель выполняет инструкцию или заполняет заданные поля. Каждый этап настраивается отдельно; если обработка моделью отключена, результатом остается полученный текст.</w:t>
      </w:r>
    </w:p>
    <w:tbl>
      <w:tblPr>
        <w:tblW w:w="9879" w:type="dxa"/>
        <w:jc w:val="center"/>
        <w:tblInd w:w="0" w:type="dxa"/>
        <w:tblLayout w:type="fixed"/>
        <w:tblCellMar>
          <w:top w:w="110" w:type="dxa"/>
          <w:left w:w="130" w:type="dxa"/>
          <w:bottom w:w="110" w:type="dxa"/>
          <w:right w:w="130" w:type="dxa"/>
        </w:tblCellMar>
        <w:tblLook w:firstRow="1" w:noVBand="1" w:lastRow="0" w:firstColumn="1" w:lastColumn="0" w:noHBand="0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w="329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1F4E78"/>
            <w:vAlign w:val="center"/>
          </w:tcPr>
          <w:p>
            <w:pPr>
              <w:pStyle w:val="Normal"/>
              <w:widowControl/>
              <w:spacing w:before="0" w:after="200"/>
              <w:jc w:val="center"/>
              <w:rPr/>
            </w:pPr>
            <w:r>
              <w:rPr>
                <w:b/>
                <w:color w:val="FFFFFF"/>
                <w:sz w:val="19"/>
              </w:rPr>
              <w:t>Этап</w:t>
            </w:r>
          </w:p>
        </w:tc>
        <w:tc>
          <w:tcPr>
            <w:tcW w:w="329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1F4E78"/>
            <w:vAlign w:val="center"/>
          </w:tcPr>
          <w:p>
            <w:pPr>
              <w:pStyle w:val="Normal"/>
              <w:widowControl/>
              <w:spacing w:before="0" w:after="200"/>
              <w:jc w:val="center"/>
              <w:rPr/>
            </w:pPr>
            <w:r>
              <w:rPr>
                <w:b/>
                <w:color w:val="FFFFFF"/>
                <w:sz w:val="19"/>
              </w:rPr>
              <w:t>Содержимое</w:t>
            </w:r>
          </w:p>
        </w:tc>
        <w:tc>
          <w:tcPr>
            <w:tcW w:w="329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1F4E78"/>
            <w:vAlign w:val="center"/>
          </w:tcPr>
          <w:p>
            <w:pPr>
              <w:pStyle w:val="Normal"/>
              <w:widowControl/>
              <w:spacing w:before="0" w:after="200"/>
              <w:jc w:val="center"/>
              <w:rPr/>
            </w:pPr>
            <w:r>
              <w:rPr>
                <w:b/>
                <w:color w:val="FFFFFF"/>
                <w:sz w:val="19"/>
              </w:rPr>
              <w:t>Назначение</w:t>
            </w:r>
          </w:p>
        </w:tc>
      </w:tr>
      <w:tr>
        <w:trPr/>
        <w:tc>
          <w:tcPr>
            <w:tcW w:w="329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pStyle w:val="Normal"/>
              <w:widowControl/>
              <w:spacing w:before="0" w:after="200"/>
              <w:jc w:val="left"/>
              <w:rPr/>
            </w:pPr>
            <w:r>
              <w:rPr>
                <w:sz w:val="18"/>
              </w:rPr>
              <w:t>Получение текста</w:t>
            </w:r>
          </w:p>
        </w:tc>
        <w:tc>
          <w:tcPr>
            <w:tcW w:w="329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pStyle w:val="Normal"/>
              <w:widowControl/>
              <w:spacing w:before="0" w:after="200"/>
              <w:jc w:val="left"/>
              <w:rPr/>
            </w:pPr>
            <w:r>
              <w:rPr>
                <w:sz w:val="18"/>
              </w:rPr>
              <w:t>Чтение цифрового файла или OCR скана</w:t>
            </w:r>
          </w:p>
        </w:tc>
        <w:tc>
          <w:tcPr>
            <w:tcW w:w="329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pStyle w:val="Normal"/>
              <w:widowControl/>
              <w:spacing w:before="0" w:after="200"/>
              <w:jc w:val="left"/>
              <w:rPr/>
            </w:pPr>
            <w:r>
              <w:rPr>
                <w:sz w:val="18"/>
              </w:rPr>
              <w:t>Подготовка текста для дальнейшей обработки</w:t>
            </w:r>
          </w:p>
        </w:tc>
      </w:tr>
      <w:tr>
        <w:trPr/>
        <w:tc>
          <w:tcPr>
            <w:tcW w:w="329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3F6F9"/>
            <w:vAlign w:val="center"/>
          </w:tcPr>
          <w:p>
            <w:pPr>
              <w:pStyle w:val="Normal"/>
              <w:widowControl/>
              <w:spacing w:before="0" w:after="200"/>
              <w:jc w:val="left"/>
              <w:rPr/>
            </w:pPr>
            <w:r>
              <w:rPr>
                <w:sz w:val="18"/>
              </w:rPr>
              <w:t>Обработка текста</w:t>
            </w:r>
          </w:p>
        </w:tc>
        <w:tc>
          <w:tcPr>
            <w:tcW w:w="329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3F6F9"/>
            <w:vAlign w:val="center"/>
          </w:tcPr>
          <w:p>
            <w:pPr>
              <w:pStyle w:val="Normal"/>
              <w:widowControl/>
              <w:spacing w:before="0" w:after="200"/>
              <w:jc w:val="left"/>
              <w:rPr/>
            </w:pPr>
            <w:r>
              <w:rPr>
                <w:sz w:val="18"/>
              </w:rPr>
              <w:t>Инструкция, модель и схема извлекаемых полей</w:t>
            </w:r>
          </w:p>
        </w:tc>
        <w:tc>
          <w:tcPr>
            <w:tcW w:w="329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3F6F9"/>
            <w:vAlign w:val="center"/>
          </w:tcPr>
          <w:p>
            <w:pPr>
              <w:pStyle w:val="Normal"/>
              <w:widowControl/>
              <w:spacing w:before="0" w:after="200"/>
              <w:jc w:val="left"/>
              <w:rPr/>
            </w:pPr>
            <w:r>
              <w:rPr>
                <w:sz w:val="18"/>
              </w:rPr>
              <w:t>Свободный текст или структурированный JSON</w:t>
            </w:r>
          </w:p>
        </w:tc>
      </w:tr>
    </w:tbl>
    <w:p>
      <w:pPr>
        <w:pStyle w:val="Heading1"/>
        <w:keepNext w:val="true"/>
        <w:rPr/>
      </w:pPr>
      <w:r>
        <w:rPr/>
        <w:t>Структура пайплайна</w:t>
      </w:r>
    </w:p>
    <w:p>
      <w:pPr>
        <w:pStyle w:val="BodyText"/>
        <w:rPr/>
      </w:pPr>
      <w:r>
        <w:rPr/>
        <w:t>Пайплайн объединяет настройки для повторяемой обработки документов:</w:t>
      </w:r>
    </w:p>
    <w:p>
      <w:pPr>
        <w:pStyle w:val="ListBullet"/>
        <w:numPr>
          <w:ilvl w:val="0"/>
          <w:numId w:val="1"/>
        </w:numPr>
        <w:rPr/>
      </w:pPr>
      <w:r>
        <w:rPr/>
        <w:t>Сохраненный сценарий обработки</w:t>
      </w:r>
    </w:p>
    <w:p>
      <w:pPr>
        <w:pStyle w:val="ListBullet2"/>
        <w:numPr>
          <w:ilvl w:val="0"/>
          <w:numId w:val="2"/>
        </w:numPr>
        <w:rPr/>
      </w:pPr>
      <w:r>
        <w:rPr/>
        <w:t>Уникальный идентификатор и название</w:t>
      </w:r>
    </w:p>
    <w:p>
      <w:pPr>
        <w:pStyle w:val="ListBullet2"/>
        <w:numPr>
          <w:ilvl w:val="0"/>
          <w:numId w:val="2"/>
        </w:numPr>
        <w:rPr/>
      </w:pPr>
      <w:r>
        <w:rPr/>
        <w:t>Тип источника — цифровой документ или скан</w:t>
      </w:r>
    </w:p>
    <w:p>
      <w:pPr>
        <w:pStyle w:val="ListBullet2"/>
        <w:numPr>
          <w:ilvl w:val="0"/>
          <w:numId w:val="2"/>
        </w:numPr>
        <w:rPr/>
      </w:pPr>
      <w:r>
        <w:rPr/>
        <w:t>Способ OCR — vision-модель или внешний сервис</w:t>
      </w:r>
    </w:p>
    <w:p>
      <w:pPr>
        <w:pStyle w:val="ListBullet2"/>
        <w:numPr>
          <w:ilvl w:val="0"/>
          <w:numId w:val="2"/>
        </w:numPr>
        <w:rPr/>
      </w:pPr>
      <w:r>
        <w:rPr/>
        <w:t>Модель извлечения и параметры генерации</w:t>
      </w:r>
    </w:p>
    <w:p>
      <w:pPr>
        <w:pStyle w:val="ListBullet2"/>
        <w:numPr>
          <w:ilvl w:val="0"/>
          <w:numId w:val="2"/>
        </w:numPr>
        <w:rPr/>
      </w:pPr>
      <w:r>
        <w:rPr/>
        <w:t>Инструкция для обработки текста</w:t>
      </w:r>
    </w:p>
    <w:p>
      <w:pPr>
        <w:pStyle w:val="ListBullet2"/>
        <w:numPr>
          <w:ilvl w:val="0"/>
          <w:numId w:val="2"/>
        </w:numPr>
        <w:rPr/>
      </w:pPr>
      <w:r>
        <w:rPr/>
        <w:t>Имена и описания извлекаемых полей</w:t>
      </w:r>
    </w:p>
    <w:p>
      <w:pPr>
        <w:pStyle w:val="ListBullet2"/>
        <w:numPr>
          <w:ilvl w:val="0"/>
          <w:numId w:val="2"/>
        </w:numPr>
        <w:rPr/>
      </w:pPr>
      <w:r>
        <w:rPr/>
        <w:t>Переключатели OCR, инструкции и извлечения полей</w:t>
      </w:r>
    </w:p>
    <w:p>
      <w:pPr>
        <w:pStyle w:val="BodyText"/>
        <w:rPr/>
      </w:pPr>
      <w:r>
        <w:rPr/>
        <w:t>Конструктор состоит из трех этапов: название, источник и обработка. Инструкция и поля включаются независимо; при совместном включении инструкция уточняет правила извлечения. Пайплайн хранится в PostgreSQL, имеет постоянный ID и используется как в интерфейсе, так и при запуске через API.</w:t>
      </w:r>
    </w:p>
    <w:p>
      <w:pPr>
        <w:pStyle w:val="Heading1"/>
        <w:keepNext w:val="true"/>
        <w:rPr/>
        <w:pageBreakBefore/>
      </w:pPr>
      <w:r>
        <w:rPr/>
        <w:t>Подготовка и настройка обработки</w:t>
      </w:r>
    </w:p>
    <w:p>
      <w:pPr>
        <w:pStyle w:val="BodyText"/>
        <w:spacing w:before="0" w:after="60"/>
        <w:ind w:hanging="403" w:left="403"/>
        <w:rPr/>
      </w:pPr>
      <w:r>
        <w:rPr>
          <w:b w:val="false"/>
        </w:rPr>
        <w:t xml:space="preserve">1. Администратор задает название и уникальный ID пайплайна, по которому внешние системы смогут запускать обработку.</w:t>
      </w:r>
      <w:r>
        <w:rPr/>
        <w:t/>
      </w:r>
    </w:p>
    <w:p>
      <w:pPr>
        <w:pStyle w:val="BodyText"/>
        <w:spacing w:before="0" w:after="60"/>
        <w:ind w:hanging="403" w:left="403"/>
        <w:rPr/>
      </w:pPr>
      <w:r>
        <w:rPr>
          <w:b w:val="false"/>
        </w:rPr>
        <w:t xml:space="preserve">2. Выбирается тип источника. PDF с текстовым слоем, DOCX и текстовые файлы читаются напрямую; для сканов и изображений настраивается OCR.</w:t>
      </w:r>
      <w:r>
        <w:rPr/>
        <w:t/>
      </w:r>
    </w:p>
    <w:p>
      <w:pPr>
        <w:pStyle w:val="BodyText"/>
        <w:spacing w:before="0" w:after="60"/>
        <w:ind w:hanging="403" w:left="403"/>
        <w:rPr/>
      </w:pPr>
      <w:r>
        <w:rPr>
          <w:b w:val="false"/>
        </w:rPr>
        <w:t xml:space="preserve">3. Для распознавания указывается vision-модель через LiteLLM либо адрес OCR-сервиса с необходимыми параметрами.</w:t>
      </w:r>
      <w:r>
        <w:rPr/>
        <w:t/>
      </w:r>
    </w:p>
    <w:p>
      <w:pPr>
        <w:pStyle w:val="BodyText"/>
        <w:spacing w:before="0" w:after="60"/>
        <w:ind w:hanging="403" w:left="403"/>
        <w:rPr/>
      </w:pPr>
      <w:r>
        <w:rPr>
          <w:b w:val="false"/>
        </w:rPr>
        <w:t xml:space="preserve">4. Для дальнейшей обработки выбирается модель, задается инструкция и при необходимости список полей с описаниями.</w:t>
      </w:r>
      <w:r>
        <w:rPr/>
        <w:t/>
      </w:r>
    </w:p>
    <w:p>
      <w:pPr>
        <w:pStyle w:val="BodyText"/>
        <w:spacing w:before="0" w:after="60"/>
        <w:ind w:hanging="403" w:left="403"/>
        <w:rPr/>
      </w:pPr>
      <w:r>
        <w:rPr>
          <w:b w:val="false"/>
        </w:rPr>
        <w:t xml:space="preserve">5. Настройки сохраняются. Качество сценария следует проверять на характерных документах перед подключением к рабочему процессу.</w:t>
      </w:r>
      <w:r>
        <w:rPr/>
        <w:t/>
      </w:r>
    </w:p>
    <w:p>
      <w:pPr>
        <w:pStyle w:val="Heading1"/>
        <w:keepNext w:val="true"/>
        <w:rPr/>
      </w:pPr>
      <w:r>
        <w:rPr/>
        <w:t>Обработка пользовательского документа</w:t>
      </w:r>
    </w:p>
    <w:p>
      <w:pPr>
        <w:pStyle w:val="BodyText"/>
        <w:spacing w:before="0" w:after="60"/>
        <w:ind w:hanging="403" w:left="403"/>
        <w:rPr/>
      </w:pPr>
      <w:r>
        <w:rPr>
          <w:b w:val="false"/>
        </w:rPr>
        <w:t xml:space="preserve">1. Пользователь выбирает сохраненный пайплайн и загружает файл. Внешняя система передает файл и ID пайплайна через API.</w:t>
      </w:r>
      <w:r>
        <w:rPr/>
        <w:t/>
      </w:r>
    </w:p>
    <w:p>
      <w:pPr>
        <w:pStyle w:val="BodyText"/>
        <w:spacing w:before="0" w:after="60"/>
        <w:ind w:hanging="403" w:left="403"/>
        <w:rPr/>
      </w:pPr>
      <w:r>
        <w:rPr>
          <w:b w:val="false"/>
        </w:rPr>
        <w:t xml:space="preserve">2. При фоновом запуске исходник сохраняется в S3, а задача и событие ее отправки — в PostgreSQL. Диспетчер передает задачу в очередь Redis.</w:t>
      </w:r>
      <w:r>
        <w:rPr/>
        <w:t/>
      </w:r>
    </w:p>
    <w:p>
      <w:pPr>
        <w:pStyle w:val="BodyText"/>
        <w:spacing w:before="0" w:after="60"/>
        <w:ind w:hanging="403" w:left="403"/>
        <w:rPr/>
      </w:pPr>
      <w:r>
        <w:rPr>
          <w:b w:val="false"/>
        </w:rPr>
        <w:t xml:space="preserve">3. Воркер получает файл и извлекает текст напрямую либо выполняет OCR. При включенной обработке текст передается выбранной модели.</w:t>
      </w:r>
      <w:r>
        <w:rPr/>
        <w:t/>
      </w:r>
    </w:p>
    <w:p>
      <w:pPr>
        <w:pStyle w:val="BodyText"/>
        <w:spacing w:before="0" w:after="60"/>
        <w:ind w:hanging="403" w:left="403"/>
        <w:rPr/>
      </w:pPr>
      <w:r>
        <w:rPr>
          <w:b w:val="false"/>
        </w:rPr>
        <w:t xml:space="preserve">4. Для режима полей проверяются формат JSON, состав ключей и типы значений. Некорректный ответ завершает задачу с ошибкой.</w:t>
      </w:r>
      <w:r>
        <w:rPr/>
        <w:t/>
      </w:r>
    </w:p>
    <w:p>
      <w:pPr>
        <w:pStyle w:val="BodyText"/>
        <w:spacing w:before="0" w:after="60"/>
        <w:ind w:hanging="403" w:left="403"/>
        <w:rPr/>
      </w:pPr>
      <w:r>
        <w:rPr>
          <w:b w:val="false"/>
        </w:rPr>
        <w:t xml:space="preserve">5. Успешный результат сохраняется в истории. Пользователь просматривает исходник, текст и поля; интеграция получает результат через API.</w:t>
      </w:r>
      <w:r>
        <w:rPr/>
        <w:t/>
      </w:r>
    </w:p>
    <w:p>
      <w:pPr>
        <w:pStyle w:val="Heading1"/>
        <w:keepNext w:val="true"/>
        <w:rPr/>
      </w:pPr>
      <w:r>
        <w:rPr/>
        <w:t>Режимы обработки и интеграция</w:t>
      </w:r>
    </w:p>
    <w:p>
      <w:pPr>
        <w:pStyle w:val="BodyText"/>
        <w:rPr/>
      </w:pPr>
      <w:r>
        <w:rPr/>
        <w:t>Интерфейс запускает обработку в фоне с отображением состояния задачи. API поддерживает синхронный ответ и фоновый запуск с идентификатором для проверки статуса. Для каждой интеграции создается отдельный API-ключ с доступом к выбранным пайплайнам. Ключ позволяет получать только собственные задачи и документы.</w:t>
      </w:r>
    </w:p>
    <w:p>
      <w:pPr>
        <w:pStyle w:val="Heading1"/>
        <w:keepNext w:val="true"/>
        <w:rPr/>
      </w:pPr>
      <w:r>
        <w:rPr/>
        <w:t>Хранение и проверка результатов</w:t>
      </w:r>
    </w:p>
    <w:p>
      <w:pPr>
        <w:pStyle w:val="BodyText"/>
        <w:rPr/>
      </w:pPr>
      <w:r>
        <w:rPr/>
        <w:t>Исходные файлы хранятся в приватном S3-хранилище, а настройки, задачи, распознанный текст и результаты — в PostgreSQL. В истории можно открыть или скачать исходник и исправить извлеченные поля. Правки не изменяют исходный файл и первоначальный ответ модели. Контроль ревизии предотвращает перезапись конфликтующих изменений.</w:t>
      </w:r>
    </w:p>
    <w:p>
      <w:pPr>
        <w:pStyle w:val="ListBullet"/>
        <w:numPr>
          <w:ilvl w:val="0"/>
          <w:numId w:val="1"/>
        </w:numPr>
        <w:rPr/>
      </w:pPr>
      <w:r>
        <w:rPr/>
        <w:t>Исходник — загруженный документ для последующей проверки</w:t>
      </w:r>
    </w:p>
    <w:p>
      <w:pPr>
        <w:pStyle w:val="ListBullet"/>
        <w:numPr>
          <w:ilvl w:val="0"/>
          <w:numId w:val="1"/>
        </w:numPr>
        <w:rPr/>
      </w:pPr>
      <w:r>
        <w:rPr/>
        <w:t>Текст — содержимое после чтения файла или OCR</w:t>
      </w:r>
    </w:p>
    <w:p>
      <w:pPr>
        <w:pStyle w:val="ListBullet"/>
        <w:numPr>
          <w:ilvl w:val="0"/>
          <w:numId w:val="1"/>
        </w:numPr>
        <w:rPr/>
      </w:pPr>
      <w:r>
        <w:rPr/>
        <w:t>Результат — исходный ответ модели в виде текста или JSON</w:t>
      </w:r>
    </w:p>
    <w:p>
      <w:pPr>
        <w:pStyle w:val="ListBullet"/>
        <w:numPr>
          <w:ilvl w:val="0"/>
          <w:numId w:val="1"/>
        </w:numPr>
        <w:rPr/>
      </w:pPr>
      <w:r>
        <w:rPr/>
        <w:t>Поля — текущие значения с учетом правок пользователя</w:t>
      </w:r>
    </w:p>
    <w:p>
      <w:pPr>
        <w:pStyle w:val="ListBullet"/>
        <w:numPr>
          <w:ilvl w:val="0"/>
          <w:numId w:val="1"/>
        </w:numPr>
        <w:rPr/>
      </w:pPr>
      <w:r>
        <w:rPr/>
        <w:t>Задача — состояние обработки, число попыток и сведения об ошибке</w:t>
      </w:r>
    </w:p>
    <w:p>
      <w:pPr>
        <w:pStyle w:val="Heading1"/>
        <w:keepNext w:val="true"/>
        <w:rPr/>
      </w:pPr>
      <w:r>
        <w:rPr/>
        <w:t>Правила надежности</w:t>
      </w:r>
    </w:p>
    <w:p>
      <w:pPr>
        <w:pStyle w:val="ListBullet"/>
        <w:keepNext w:val="true"/>
        <w:numPr>
          <w:ilvl w:val="0"/>
          <w:numId w:val="1"/>
        </w:numPr>
        <w:rPr/>
      </w:pPr>
      <w:r>
        <w:rPr/>
        <w:t>Сохранение исходника. Результат можно сверить с загруженным документом.</w:t>
      </w:r>
    </w:p>
    <w:p>
      <w:pPr>
        <w:pStyle w:val="ListBullet"/>
        <w:keepNext w:val="true"/>
        <w:numPr>
          <w:ilvl w:val="0"/>
          <w:numId w:val="1"/>
        </w:numPr>
        <w:rPr/>
      </w:pPr>
      <w:r>
        <w:rPr/>
        <w:t>Строгая схема. В режиме полей допускаются только заданные ключи и значения в виде строк или null.</w:t>
      </w:r>
    </w:p>
    <w:p>
      <w:pPr>
        <w:pStyle w:val="ListBullet"/>
        <w:keepNext w:val="true"/>
        <w:numPr>
          <w:ilvl w:val="0"/>
          <w:numId w:val="1"/>
        </w:numPr>
        <w:rPr/>
      </w:pPr>
      <w:r>
        <w:rPr/>
        <w:t>Явная ошибка. Отказ модели или неверный JSON не сохраняется как успешный документ.</w:t>
      </w:r>
    </w:p>
    <w:p>
      <w:pPr>
        <w:pStyle w:val="ListBullet"/>
        <w:keepNext w:val="true"/>
        <w:numPr>
          <w:ilvl w:val="0"/>
          <w:numId w:val="1"/>
        </w:numPr>
        <w:rPr/>
      </w:pPr>
      <w:r>
        <w:rPr/>
        <w:t>Контроль повторов. Временные сбои обрабатываются повторными попытками в пределах лимитов.</w:t>
      </w:r>
    </w:p>
    <w:p>
      <w:pPr>
        <w:pStyle w:val="ListBullet"/>
        <w:keepNext w:val="true"/>
        <w:numPr>
          <w:ilvl w:val="0"/>
          <w:numId w:val="1"/>
        </w:numPr>
        <w:rPr/>
      </w:pPr>
      <w:r>
        <w:rPr/>
        <w:t>Защита результата. Устаревшие запуски задачи не могут перезаписать итог обработки.</w:t>
      </w:r>
    </w:p>
    <w:p>
      <w:pPr>
        <w:pStyle w:val="ListBullet"/>
        <w:numPr>
          <w:ilvl w:val="0"/>
          <w:numId w:val="1"/>
        </w:numPr>
        <w:rPr/>
      </w:pPr>
      <w:r>
        <w:rPr/>
        <w:t>Разграничение доступа. Администратор управляет настройками, пользователь работает с документами, API-ключ ограничен своей интеграцией.</w:t>
      </w:r>
    </w:p>
    <w:p>
      <w:pPr>
        <w:pStyle w:val="Heading1"/>
        <w:keepNext w:val="true"/>
        <w:rPr/>
      </w:pPr>
      <w:r>
        <w:rPr/>
        <w:t>Оценка качества</w:t>
      </w:r>
    </w:p>
    <w:tbl>
      <w:tblPr>
        <w:tblW w:w="9878" w:type="dxa"/>
        <w:jc w:val="center"/>
        <w:tblInd w:w="0" w:type="dxa"/>
        <w:tblLayout w:type="fixed"/>
        <w:tblCellMar>
          <w:top w:w="110" w:type="dxa"/>
          <w:left w:w="130" w:type="dxa"/>
          <w:bottom w:w="110" w:type="dxa"/>
          <w:right w:w="130" w:type="dxa"/>
        </w:tblCellMar>
        <w:tblLook w:firstRow="1" w:noVBand="1" w:lastRow="0" w:firstColumn="1" w:lastColumn="0" w:noHBand="0" w:val="04a0"/>
      </w:tblPr>
      <w:tblGrid>
        <w:gridCol w:w="4939"/>
        <w:gridCol w:w="4938"/>
      </w:tblGrid>
      <w:tr>
        <w:trPr>
          <w:tblHeader w:val="true"/>
        </w:trPr>
        <w:tc>
          <w:tcPr>
            <w:tcW w:w="493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1F4E78"/>
            <w:vAlign w:val="center"/>
          </w:tcPr>
          <w:p>
            <w:pPr>
              <w:pStyle w:val="Normal"/>
              <w:widowControl/>
              <w:spacing w:before="0" w:after="200"/>
              <w:jc w:val="center"/>
              <w:rPr/>
            </w:pPr>
            <w:r>
              <w:rPr>
                <w:b/>
                <w:color w:val="FFFFFF"/>
                <w:sz w:val="19"/>
              </w:rPr>
              <w:t>Метрика</w:t>
            </w:r>
          </w:p>
        </w:tc>
        <w:tc>
          <w:tcPr>
            <w:tcW w:w="49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1F4E78"/>
            <w:vAlign w:val="center"/>
          </w:tcPr>
          <w:p>
            <w:pPr>
              <w:pStyle w:val="Normal"/>
              <w:widowControl/>
              <w:spacing w:before="0" w:after="200"/>
              <w:jc w:val="center"/>
              <w:rPr/>
            </w:pPr>
            <w:r>
              <w:rPr>
                <w:b/>
                <w:color w:val="FFFFFF"/>
                <w:sz w:val="19"/>
              </w:rPr>
              <w:t>Что измеряет</w:t>
            </w:r>
          </w:p>
        </w:tc>
      </w:tr>
      <w:tr>
        <w:trPr/>
        <w:tc>
          <w:tcPr>
            <w:tcW w:w="493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5" w:type="dxa"/>
              <w:bottom w:w="95" w:type="dxa"/>
            </w:tcMar>
            <w:vAlign w:val="center"/>
          </w:tcPr>
          <w:p>
            <w:pPr>
              <w:pStyle w:val="Normal"/>
              <w:widowControl/>
              <w:spacing w:before="0" w:after="200"/>
              <w:rPr/>
            </w:pPr>
            <w:r>
              <w:rPr>
                <w:sz w:val="18"/>
              </w:rPr>
              <w:t>Ошибки распознавания</w:t>
            </w:r>
          </w:p>
        </w:tc>
        <w:tc>
          <w:tcPr>
            <w:tcW w:w="49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5" w:type="dxa"/>
              <w:bottom w:w="95" w:type="dxa"/>
            </w:tcMar>
            <w:vAlign w:val="center"/>
          </w:tcPr>
          <w:p>
            <w:pPr>
              <w:pStyle w:val="Normal"/>
              <w:widowControl/>
              <w:spacing w:before="0" w:after="200"/>
              <w:rPr/>
            </w:pPr>
            <w:r>
              <w:rPr>
                <w:sz w:val="18"/>
              </w:rPr>
              <w:t>Доля ошибок в символах и словах относительно эталонного текста</w:t>
            </w:r>
          </w:p>
        </w:tc>
      </w:tr>
      <w:tr>
        <w:trPr/>
        <w:tc>
          <w:tcPr>
            <w:tcW w:w="493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3F6F9"/>
            <w:tcMar>
              <w:top w:w="95" w:type="dxa"/>
              <w:bottom w:w="95" w:type="dxa"/>
            </w:tcMar>
            <w:vAlign w:val="center"/>
          </w:tcPr>
          <w:p>
            <w:pPr>
              <w:pStyle w:val="Normal"/>
              <w:widowControl/>
              <w:spacing w:before="0" w:after="200"/>
              <w:rPr/>
            </w:pPr>
            <w:r>
              <w:rPr>
                <w:sz w:val="18"/>
              </w:rPr>
              <w:t>Точность значений полей</w:t>
            </w:r>
          </w:p>
        </w:tc>
        <w:tc>
          <w:tcPr>
            <w:tcW w:w="49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3F6F9"/>
            <w:tcMar>
              <w:top w:w="95" w:type="dxa"/>
              <w:bottom w:w="95" w:type="dxa"/>
            </w:tcMar>
            <w:vAlign w:val="center"/>
          </w:tcPr>
          <w:p>
            <w:pPr>
              <w:pStyle w:val="Normal"/>
              <w:widowControl/>
              <w:spacing w:before="0" w:after="200"/>
              <w:rPr/>
            </w:pPr>
            <w:r>
              <w:rPr>
                <w:sz w:val="18"/>
              </w:rPr>
              <w:t>Доля полей, значения которых совпадают с эталоном</w:t>
            </w:r>
          </w:p>
        </w:tc>
      </w:tr>
      <w:tr>
        <w:trPr/>
        <w:tc>
          <w:tcPr>
            <w:tcW w:w="493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5" w:type="dxa"/>
              <w:bottom w:w="95" w:type="dxa"/>
            </w:tcMar>
            <w:vAlign w:val="center"/>
          </w:tcPr>
          <w:p>
            <w:pPr>
              <w:pStyle w:val="Normal"/>
              <w:widowControl/>
              <w:spacing w:before="0" w:after="200"/>
              <w:rPr/>
            </w:pPr>
            <w:r>
              <w:rPr>
                <w:sz w:val="18"/>
              </w:rPr>
              <w:t>Полнота извлечения</w:t>
            </w:r>
          </w:p>
        </w:tc>
        <w:tc>
          <w:tcPr>
            <w:tcW w:w="49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5" w:type="dxa"/>
              <w:bottom w:w="95" w:type="dxa"/>
            </w:tcMar>
            <w:vAlign w:val="center"/>
          </w:tcPr>
          <w:p>
            <w:pPr>
              <w:pStyle w:val="Normal"/>
              <w:widowControl/>
              <w:spacing w:before="0" w:after="200"/>
              <w:rPr/>
            </w:pPr>
            <w:r>
              <w:rPr>
                <w:sz w:val="18"/>
              </w:rPr>
              <w:t>Доля присутствующих в документе целевых значений, которые удалось извлечь</w:t>
            </w:r>
          </w:p>
        </w:tc>
      </w:tr>
      <w:tr>
        <w:trPr/>
        <w:tc>
          <w:tcPr>
            <w:tcW w:w="493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3F6F9"/>
            <w:tcMar>
              <w:top w:w="95" w:type="dxa"/>
              <w:bottom w:w="95" w:type="dxa"/>
            </w:tcMar>
            <w:vAlign w:val="center"/>
          </w:tcPr>
          <w:p>
            <w:pPr>
              <w:pStyle w:val="Normal"/>
              <w:widowControl/>
              <w:spacing w:before="0" w:after="200"/>
              <w:rPr/>
            </w:pPr>
            <w:r>
              <w:rPr>
                <w:sz w:val="18"/>
              </w:rPr>
              <w:t>Соответствие схеме</w:t>
            </w:r>
          </w:p>
        </w:tc>
        <w:tc>
          <w:tcPr>
            <w:tcW w:w="49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3F6F9"/>
            <w:tcMar>
              <w:top w:w="95" w:type="dxa"/>
              <w:bottom w:w="95" w:type="dxa"/>
            </w:tcMar>
            <w:vAlign w:val="center"/>
          </w:tcPr>
          <w:p>
            <w:pPr>
              <w:pStyle w:val="Normal"/>
              <w:widowControl/>
              <w:spacing w:before="0" w:after="200"/>
              <w:rPr/>
            </w:pPr>
            <w:r>
              <w:rPr>
                <w:sz w:val="18"/>
              </w:rPr>
              <w:t>Доля ответов модели, прошедших проверку JSON и типов значений</w:t>
            </w:r>
          </w:p>
        </w:tc>
      </w:tr>
      <w:tr>
        <w:trPr/>
        <w:tc>
          <w:tcPr>
            <w:tcW w:w="493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5" w:type="dxa"/>
              <w:bottom w:w="95" w:type="dxa"/>
            </w:tcMar>
            <w:vAlign w:val="center"/>
          </w:tcPr>
          <w:p>
            <w:pPr>
              <w:pStyle w:val="Normal"/>
              <w:widowControl/>
              <w:spacing w:before="0" w:after="200"/>
              <w:rPr/>
            </w:pPr>
            <w:r>
              <w:rPr>
                <w:sz w:val="18"/>
              </w:rPr>
              <w:t>Время обработки</w:t>
            </w:r>
          </w:p>
        </w:tc>
        <w:tc>
          <w:tcPr>
            <w:tcW w:w="49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5" w:type="dxa"/>
              <w:bottom w:w="95" w:type="dxa"/>
            </w:tcMar>
            <w:vAlign w:val="center"/>
          </w:tcPr>
          <w:p>
            <w:pPr>
              <w:pStyle w:val="Normal"/>
              <w:widowControl/>
              <w:spacing w:before="0" w:after="200"/>
              <w:rPr/>
            </w:pPr>
            <w:r>
              <w:rPr>
                <w:sz w:val="18"/>
              </w:rPr>
              <w:t>Полное время от приема файла до результата, включая ожидание в очереди</w:t>
            </w:r>
          </w:p>
        </w:tc>
      </w:tr>
      <w:tr>
        <w:trPr/>
        <w:tc>
          <w:tcPr>
            <w:tcW w:w="493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3F6F9"/>
            <w:tcMar>
              <w:top w:w="95" w:type="dxa"/>
              <w:bottom w:w="95" w:type="dxa"/>
            </w:tcMar>
            <w:vAlign w:val="center"/>
          </w:tcPr>
          <w:p>
            <w:pPr>
              <w:pStyle w:val="Normal"/>
              <w:widowControl/>
              <w:spacing w:before="0" w:after="200"/>
              <w:rPr/>
            </w:pPr>
            <w:r>
              <w:rPr>
                <w:sz w:val="18"/>
              </w:rPr>
              <w:t>Доля ручных исправлений</w:t>
            </w:r>
          </w:p>
        </w:tc>
        <w:tc>
          <w:tcPr>
            <w:tcW w:w="49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3F6F9"/>
            <w:tcMar>
              <w:top w:w="95" w:type="dxa"/>
              <w:bottom w:w="95" w:type="dxa"/>
            </w:tcMar>
            <w:vAlign w:val="center"/>
          </w:tcPr>
          <w:p>
            <w:pPr>
              <w:pStyle w:val="Normal"/>
              <w:widowControl/>
              <w:spacing w:before="0" w:after="200"/>
              <w:rPr/>
            </w:pPr>
            <w:r>
              <w:rPr>
                <w:sz w:val="18"/>
              </w:rPr>
              <w:t>Доля извлеченных полей, исправленных пользователем после обработки</w:t>
            </w:r>
          </w:p>
        </w:tc>
      </w:tr>
    </w:tbl>
    <w:p>
      <w:pPr>
        <w:pStyle w:val="Heading1"/>
        <w:keepNext w:val="true"/>
        <w:rPr/>
      </w:pPr>
      <w:r>
        <w:rPr/>
        <w:t>Ожидаемый результат</w:t>
      </w:r>
    </w:p>
    <w:p>
      <w:pPr>
        <w:pStyle w:val="BodyText"/>
        <w:widowControl/>
        <w:spacing w:lineRule="auto" w:line="268" w:before="0" w:after="120"/>
        <w:rPr/>
      </w:pPr>
      <w:r>
        <w:rPr/>
        <w:t>Проект объединяет распознавание, извлечение данных и проверку результатов в настраиваемый процесс. Ожидаемый эффект — сокращение ручного переноса сведений и времени подключения новых типов документов. Пайплайны позволяют повторно использовать настройки, а API — включать обработку в другие системы. Качество зависит от исходных файлов и выбранных моделей; его следует оценивать на эталонной выборке с проверкой результатов человеком.</w:t>
      </w:r>
    </w:p>
    <w:sectPr>
      <w:type w:val="nextPage"/>
      <w:pgSz w:w="12240" w:h="15840"/>
      <w:pgMar w:left="1181" w:right="1181" w:gutter="0" w:header="0" w:top="1037" w:footer="0" w:bottom="103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mbria">
    <w:charset w:val="cc"/>
    <w:family w:val="roman"/>
    <w:pitch w:val="variable"/>
  </w:font>
  <w:font w:name="Arial">
    <w:charset w:val="cc"/>
    <w:family w:val="roman"/>
    <w:pitch w:val="variable"/>
  </w:font>
  <w:font w:name="Calibri">
    <w:charset w:val="cc"/>
    <w:family w:val="roman"/>
    <w:pitch w:val="variable"/>
  </w:font>
  <w:font w:name="Courier">
    <w:altName w:val="Courier New"/>
    <w:charset w:val="cc"/>
    <w:family w:val="roman"/>
    <w:pitch w:val="variable"/>
  </w:font>
  <w:font w:name="Liberation Sans">
    <w:altName w:val="Arial"/>
    <w:charset w:val="cc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Arial" w:hAnsi="Arial" w:eastAsia="Arial" w:cs=""/>
      <w:color w:val="000000"/>
      <w:kern w:val="0"/>
      <w:sz w:val="21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280" w:after="12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180" w:after="8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Style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widowControl/>
      <w:spacing w:lineRule="auto" w:line="268" w:before="0" w:after="120"/>
    </w:pPr>
    <w:rPr>
      <w:rFonts w:ascii="Arial" w:hAnsi="Arial"/>
      <w:sz w:val="21"/>
    </w:rPr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Style6">
    <w:name w:val="Указатель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lineRule="auto" w:line="240" w:before="0" w:after="160"/>
      <w:contextualSpacing/>
    </w:pPr>
    <w:rPr>
      <w:rFonts w:ascii="Calibri" w:hAnsi="Calibri" w:eastAsia="ＭＳ ゴシック" w:cs="" w:asciiTheme="majorHAnsi" w:cstheme="majorBidi" w:eastAsiaTheme="majorEastAsia" w:hAnsiTheme="majorHAnsi"/>
      <w:b/>
      <w:color w:val="000000"/>
      <w:spacing w:val="5"/>
      <w:kern w:val="2"/>
      <w:sz w:val="44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lineRule="auto" w:line="259" w:before="0" w:after="60"/>
      <w:contextualSpacing/>
    </w:pPr>
    <w:rPr>
      <w:rFonts w:ascii="Arial" w:hAnsi="Arial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lineRule="auto" w:line="259" w:before="0" w:after="60"/>
      <w:contextualSpacing/>
    </w:pPr>
    <w:rPr>
      <w:rFonts w:ascii="Arial" w:hAnsi="Arial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lineRule="auto" w:line="259" w:before="0" w:after="60"/>
      <w:contextualSpacing/>
    </w:pPr>
    <w:rPr>
      <w:rFonts w:ascii="Arial" w:hAnsi="Arial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Style5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ConceptSubtitle" w:customStyle="1">
    <w:name w:val="Concept Subtitle"/>
    <w:qFormat/>
    <w:pPr>
      <w:widowControl/>
      <w:bidi w:val="0"/>
      <w:spacing w:lineRule="auto" w:line="276" w:before="0" w:after="360"/>
      <w:jc w:val="left"/>
    </w:pPr>
    <w:rPr>
      <w:rFonts w:ascii="Arial" w:hAnsi="Arial" w:eastAsia="ＭＳ 明朝" w:cs=""/>
      <w:color w:val="505050"/>
      <w:kern w:val="0"/>
      <w:sz w:val="22"/>
      <w:szCs w:val="22"/>
      <w:lang w:val="en-US" w:eastAsia="en-US" w:bidi="ar-SA"/>
    </w:rPr>
  </w:style>
  <w:style w:type="numbering" w:styleId="Style7" w:default="1">
    <w:name w:val="Без списка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Application>LibreOffice/24.2.7.2$Windows_X86_64 LibreOffice_project/ee3885777aa7032db5a9b65deec9457448a91162</Application>
  <AppVersion>15.0000</AppVersion>
  <Pages>3</Pages>
  <Words>687</Words>
  <Characters>4768</Characters>
  <CharactersWithSpaces>5371</CharactersWithSpaces>
  <Paragraphs>71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keywords>НПА ИИ ассистент иерархический RAG поиск доказательства</cp:keywords>
  <dc:language>ru-RU</dc:language>
  <cp:lastModifiedBy/>
  <dcterms:modified xsi:type="dcterms:W3CDTF">2026-09-16T09:48:53Z</dcterms:modified>
  <cp:revision>2</cp:revision>
  <dc:subject>Иерархическая система поиска и ответов по НПА</dc:subject>
  <dc:title>Концепция ИИ ассистента по нормативным правовым актам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