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金工期末题</w:t>
      </w:r>
    </w:p>
    <w:p>
      <w:pPr>
        <w:pStyle w:val="2"/>
      </w:pPr>
      <w:bookmarkStart w:id="0" w:name="金工期末题"/>
      <w:r>
        <w:t>金工期末题</w:t>
      </w:r>
    </w:p>
    <w:p>
      <w:pPr>
        <w:pStyle w:val="4"/>
      </w:pPr>
      <w:bookmarkStart w:id="1" w:name="请回忆中航油陈久霖先生的故事你认为可以从中学到什么"/>
      <w:r>
        <w:t>1. 请回忆中航油陈久霖先生的故事，你认为可以从中学到什么？</w:t>
      </w:r>
    </w:p>
    <w:p>
      <w:pPr>
        <w:pStyle w:val="5"/>
      </w:pPr>
      <w:bookmarkStart w:id="2" w:name="卖出看涨期权与买入看跌期权"/>
      <w:r>
        <w:t>（1）卖出看涨期权与买入看跌期权</w:t>
      </w:r>
    </w:p>
    <w:p>
      <w:pPr>
        <w:pStyle w:val="23"/>
      </w:pPr>
      <w:r>
        <w:t>有不少人认为，中航油应该买入看跌期权，因为他不看涨，就意味着看跌。卖出看涨期权与买入看跌期权的区别之一在于：买入看跌期权一般认为未来价格会有较大的下跌；而卖出看涨期权认为未来价格不会有大的下跌。在本案中，即便买入5200万桶看跌期权，也一样亏损，只不过作为买方风险不会进一步扩大。 更重要的是，卖出期权是收取权利金，帐面是收入，即便价格上涨亏损也是虚亏；而买入期权是支付权利金，一旦成交，帐面就是支出。</w:t>
      </w:r>
    </w:p>
    <w:bookmarkEnd w:id="2"/>
    <w:p>
      <w:pPr>
        <w:pStyle w:val="5"/>
      </w:pPr>
      <w:bookmarkStart w:id="3" w:name="中航油没有落实内控制度"/>
      <w:r>
        <w:t>（2）中航油没有落实内控制度</w:t>
      </w:r>
    </w:p>
    <w:p>
      <w:pPr>
        <w:pStyle w:val="23"/>
      </w:pPr>
      <w:r>
        <w:t>中航油其实有严格的内控制度，但没有执行。 中航油内部有严格的交易制度：每位中航油期货交易员，每笔交易损失20万美元以上时，继续交易与否要提交给公司的风险管理委员会评估；累计损失超过35万美元的交易必须得到总裁的同意才能继续；任何将导致50万美元以上损失的交易将自动平仓。换句话说，中航油10位交易员的损失额上限本来只有500万美元，最终却损失5.5亿美元，110倍，或者说有110次的斩仓机会。 一根火柴的价值只有一分钱，但是它能毁掉价值千万的大厦。 建立一个成功的企业需要长年的努力，而毁掉它，只需要一个错误的决策。</w:t>
      </w:r>
    </w:p>
    <w:bookmarkEnd w:id="3"/>
    <w:p>
      <w:pPr>
        <w:pStyle w:val="5"/>
      </w:pPr>
      <w:bookmarkStart w:id="4" w:name="缺乏风险管理意识"/>
      <w:r>
        <w:t>（3）缺乏风险管理意识</w:t>
      </w:r>
    </w:p>
    <w:p>
      <w:pPr>
        <w:pStyle w:val="23"/>
      </w:pPr>
      <w:r>
        <w:t>国内绝大部分企业普遍缺乏风险管理意识。 投机的同时，缺乏相应的控制手段，内控方面出现严重问题。 期货市场绝对可以帮助企业控制风险而不是放大企业的风险，只有在不当使用的情况下才会放大企业的风险，给企业经营带来危险甚至导致企业的破产。加强内部控制是首当其冲的事情。</w:t>
      </w:r>
    </w:p>
    <w:bookmarkEnd w:id="4"/>
    <w:p>
      <w:pPr>
        <w:pStyle w:val="5"/>
      </w:pPr>
      <w:bookmarkStart w:id="5" w:name="赌徒心理"/>
      <w:r>
        <w:t>（4）赌徒心理</w:t>
      </w:r>
    </w:p>
    <w:p>
      <w:pPr>
        <w:pStyle w:val="23"/>
      </w:pPr>
      <w:r>
        <w:t>越输越赌，越赌越输。 赌博中输的人，一般会丧失理性，越丧失理性决策就越草率，越草率就越输，越输就越想反本。这种现象的存在对公司的风险管理是一种威胁。在国外，很多金融机构包括非金融企业，之所以在期货等金融交易过程中要进行平仓等强制性的措施，对实际损失宁可制定一个上限，也绝不会采取“博一把可能就赚回来”的做法，实际上也正是基于人性的这一弱点的考虑。</w:t>
      </w:r>
    </w:p>
    <w:p>
      <w:pPr>
        <w:pStyle w:val="5"/>
        <w:rPr>
          <w:rFonts w:hint="default" w:eastAsiaTheme="majorEastAsia"/>
          <w:lang w:val="en-US" w:eastAsia="zh-CN"/>
        </w:rPr>
      </w:pPr>
      <w:r>
        <w:t>（</w:t>
      </w:r>
      <w:r>
        <w:rPr>
          <w:rFonts w:hint="eastAsia"/>
          <w:lang w:val="en-US" w:eastAsia="zh-CN"/>
        </w:rPr>
        <w:t>5</w:t>
      </w:r>
      <w:r>
        <w:t>）</w:t>
      </w:r>
      <w:r>
        <w:rPr>
          <w:rFonts w:hint="eastAsia"/>
          <w:lang w:val="en-US" w:eastAsia="zh-CN"/>
        </w:rPr>
        <w:t>期货无罪</w:t>
      </w:r>
      <w:bookmarkStart w:id="15" w:name="_GoBack"/>
      <w:bookmarkEnd w:id="15"/>
    </w:p>
    <w:p>
      <w:pPr>
        <w:pStyle w:val="3"/>
      </w:pPr>
    </w:p>
    <w:p>
      <w:pPr>
        <w:pStyle w:val="3"/>
      </w:pPr>
    </w:p>
    <w:p>
      <w:pPr>
        <w:pStyle w:val="3"/>
      </w:pPr>
      <w:r>
        <w:drawing>
          <wp:inline distT="0" distB="0" distL="114300" distR="114300">
            <wp:extent cx="5486400" cy="1053465"/>
            <wp:effectExtent l="0" t="0" r="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486400" cy="1053465"/>
                    </a:xfrm>
                    <a:prstGeom prst="rect">
                      <a:avLst/>
                    </a:prstGeom>
                    <a:noFill/>
                    <a:ln>
                      <a:noFill/>
                    </a:ln>
                  </pic:spPr>
                </pic:pic>
              </a:graphicData>
            </a:graphic>
          </wp:inline>
        </w:drawing>
      </w:r>
    </w:p>
    <w:bookmarkEnd w:id="1"/>
    <w:bookmarkEnd w:id="5"/>
    <w:p>
      <w:pPr>
        <w:pStyle w:val="4"/>
      </w:pPr>
      <w:bookmarkStart w:id="6" w:name="请回忆香港在97年金融危机中遇到的各种问题回答你从中学到了什么"/>
      <w:r>
        <w:t>2. 请回忆香港在97年金融危机中遇到的各种问题，回答你从中学到了什么？</w:t>
      </w:r>
    </w:p>
    <w:p>
      <w:pPr>
        <w:pStyle w:val="5"/>
      </w:pPr>
      <w:bookmarkStart w:id="7" w:name="货币一次性大幅贬值往往是危机的开端"/>
      <w:r>
        <w:t>（1）货币一次性大幅贬值往往是危机的开端</w:t>
      </w:r>
    </w:p>
    <w:p>
      <w:pPr>
        <w:pStyle w:val="23"/>
      </w:pPr>
      <w:r>
        <w:t>亚洲金融危机中，泰国一次性贬值的教训提示我们，认为一次性贬值策略可以解决问题太具有理想化色彩。在实践中，汇率波动往往会放大，预期非但不会因为一次性贬值而消退，反而使再一次贬值的预期更加强烈。一次性贬值很难达到所谓的理想中的合理水平，反而助长贬值大幅超出预期，造成难以挽回的后果。</w:t>
      </w:r>
    </w:p>
    <w:bookmarkEnd w:id="7"/>
    <w:p>
      <w:pPr>
        <w:pStyle w:val="5"/>
      </w:pPr>
      <w:bookmarkStart w:id="8" w:name="增强资本流动可以但重回资本管制需谨慎"/>
      <w:r>
        <w:t>（2）增强资本流动可以，但重回资本管制需谨慎</w:t>
      </w:r>
    </w:p>
    <w:p>
      <w:pPr>
        <w:pStyle w:val="23"/>
      </w:pPr>
      <w:r>
        <w:t>建议一方面继续放开资本流入的管制，暂停进一步鼓励资本流出的措施，特别是严堵资本外流的非法和灰色渠道，如地下钱庄等，另一方面通过反洗钱和宏观审镇工具，如采取托宾税的方式，降低资金外流的压力，稳定市场预期。</w:t>
      </w:r>
    </w:p>
    <w:bookmarkEnd w:id="8"/>
    <w:p>
      <w:pPr>
        <w:pStyle w:val="5"/>
      </w:pPr>
      <w:bookmarkStart w:id="9" w:name="政府干预市场需要对症下药"/>
      <w:r>
        <w:t>（3）政府干预市场需要对症下药</w:t>
      </w:r>
    </w:p>
    <w:p>
      <w:pPr>
        <w:pStyle w:val="23"/>
      </w:pPr>
      <w:r>
        <w:t>为防止亚洲金融危机重演，从各国应对危机的经验和教训来看，此时中国切勿采取一次性大幅贬值与资本管制的方式应对危机。相反，保持定力，稳定预期，加大与市场沟通仍然是防范金融危机的良方。</w:t>
      </w:r>
    </w:p>
    <w:bookmarkEnd w:id="9"/>
    <w:p>
      <w:pPr>
        <w:pStyle w:val="5"/>
      </w:pPr>
      <w:bookmarkStart w:id="10" w:name="抓紧培植新的经济增长点"/>
      <w:r>
        <w:t>（4）抓紧培植新的经济增长点</w:t>
      </w:r>
    </w:p>
    <w:p>
      <w:pPr>
        <w:pStyle w:val="23"/>
      </w:pPr>
      <w:r>
        <w:t>在加大对基础工业、能源和农业等投入的基础上，有选择的发展一些生物工程、海洋科技等高科技产业，抓紧培植新的经济增长点。</w:t>
      </w:r>
    </w:p>
    <w:bookmarkEnd w:id="10"/>
    <w:p>
      <w:pPr>
        <w:pStyle w:val="5"/>
      </w:pPr>
      <w:bookmarkStart w:id="11" w:name="加强对金融系统的监管对外逐步开放金融市场建立健康有序的金融市场"/>
      <w:r>
        <w:t>（5）加强对金融系统的监管，对外逐步开放金融市场，建立健康、有序的金融市场。</w:t>
      </w:r>
    </w:p>
    <w:bookmarkEnd w:id="6"/>
    <w:bookmarkEnd w:id="11"/>
    <w:p>
      <w:pPr>
        <w:pStyle w:val="4"/>
      </w:pPr>
      <w:bookmarkStart w:id="12" w:name="回忆中信泰富荣智健先生的故事回答你从中学到了什么"/>
      <w:r>
        <w:t>3. 回忆中信泰富荣智健先生的故事，回答你从中学到了什么？</w:t>
      </w:r>
    </w:p>
    <w:p>
      <w:pPr>
        <w:pStyle w:val="5"/>
      </w:pPr>
      <w:bookmarkStart w:id="13" w:name="缺乏群体决策"/>
      <w:r>
        <w:t>（1）缺乏群体决策</w:t>
      </w:r>
    </w:p>
    <w:p>
      <w:pPr>
        <w:pStyle w:val="23"/>
      </w:pPr>
      <w:r>
        <w:t xml:space="preserve">由于现代投资市场的高风险以及决策规范化和民主化的要求，国际上许多大型金融企业都实行群体决策制度，如董事会制、委员会制等。但是，对于一个组织而言如果高层管理者中存在一个特殊人物，群体决策就会陷入少数人统治的境地。 </w:t>
      </w:r>
      <w:r>
        <w:drawing>
          <wp:inline distT="0" distB="0" distL="114300" distR="114300">
            <wp:extent cx="5334000" cy="42805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5334000" cy="4280741"/>
                    </a:xfrm>
                    <a:prstGeom prst="rect">
                      <a:avLst/>
                    </a:prstGeom>
                    <a:noFill/>
                    <a:ln w="9525">
                      <a:noFill/>
                    </a:ln>
                  </pic:spPr>
                </pic:pic>
              </a:graphicData>
            </a:graphic>
          </wp:inline>
        </w:drawing>
      </w:r>
    </w:p>
    <w:bookmarkEnd w:id="12"/>
    <w:bookmarkEnd w:id="13"/>
    <w:p>
      <w:pPr>
        <w:pStyle w:val="4"/>
      </w:pPr>
      <w:bookmarkStart w:id="14" w:name="Xa875e8ded5b452f02826a03f207530419785290"/>
      <w:r>
        <w:t>5. 认真阅读 十四五规划 中国制造2025等规划性文件，请在此基础上判断什么产业有较大的发展空间，结合自身特点，阐述你应该如何从这些产业中获得价值？</w:t>
      </w:r>
    </w:p>
    <w:p>
      <w:pPr>
        <w:pStyle w:val="23"/>
      </w:pPr>
      <w:r>
        <w:t>新一代信息技术、生物技术、新能源、新材料、高端装备、新能源汽车、绿色环保以及航空航天、海洋装备，生物技术和信息技术融合创新，生物医药、生物育种、生物材料、生物能源等产业，生物经济。</w:t>
      </w:r>
    </w:p>
    <w:p>
      <w:pPr>
        <w:pStyle w:val="3"/>
      </w:pPr>
      <w:r>
        <w:t xml:space="preserve">新一代信息技术产业。 集成电路及专用装备。着力提升集成电路设计水平，不断丰富知识产权（IP）和设计工具，突破关系国家信息与网络安全及电子整机产业发展的核心通用芯片，提升国产芯片的应用适配能力。掌握高密度封装及三维（3D）微组装技术，提升封装产业和测试的自主发展能力。形成关键制造装备供货能力。 </w:t>
      </w:r>
      <w:r>
        <w:drawing>
          <wp:inline distT="0" distB="0" distL="114300" distR="114300">
            <wp:extent cx="5334000" cy="19119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5334000" cy="1912451"/>
                    </a:xfrm>
                    <a:prstGeom prst="rect">
                      <a:avLst/>
                    </a:prstGeom>
                    <a:noFill/>
                    <a:ln w="9525">
                      <a:noFill/>
                    </a:ln>
                  </pic:spPr>
                </pic:pic>
              </a:graphicData>
            </a:graphic>
          </wp:inline>
        </w:drawing>
      </w:r>
    </w:p>
    <w:bookmarkEnd w:id="0"/>
    <w:bookmarkEnd w:id="14"/>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79B74584"/>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2021-12-30T10:23:00Z</dcterms:created>
  <dc:creator>Modest</dc:creator>
  <cp:lastModifiedBy>Modest</cp:lastModifiedBy>
  <dcterms:modified xsi:type="dcterms:W3CDTF">2021-12-30T10:25:07Z</dcterms:modified>
  <dc:title>金工期末题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228BE094D49E49A1B43CA7DE4EF903C5</vt:lpwstr>
  </property>
</Properties>
</file>